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7ADD1">
      <w:pPr>
        <w:pStyle w:val="31"/>
        <w:widowControl/>
      </w:pPr>
      <w:r>
        <w:t>TDSC 研究 SOP</w:t>
      </w:r>
      <w:r>
        <w:t>10</w:t>
      </w:r>
      <w:r>
        <w:t>：DAIDS AE 分级表 + PRO-CTCAE® 的联合应用（Integrated AE Capture）</w:t>
      </w:r>
    </w:p>
    <w:p w14:paraId="2310B3BA">
      <w:r>
        <w:t>（实现“患者体验—研究者判定—监管上报”三位一体的安全性闭环）</w:t>
      </w:r>
    </w:p>
    <w:p w14:paraId="20047773"/>
    <w:p w14:paraId="31C8AC4E">
      <w:pPr>
        <w:pStyle w:val="3"/>
        <w:widowControl/>
      </w:pPr>
      <w:r>
        <w:t>文件控制信息</w:t>
      </w:r>
    </w:p>
    <w:p w14:paraId="7B69E567">
      <w:r>
        <w:rPr>
          <w:b/>
        </w:rPr>
        <w:t>SOP编号：</w:t>
      </w:r>
      <w:r>
        <w:t>TDSC-SOP06</w:t>
      </w:r>
      <w:bookmarkStart w:id="0" w:name="_GoBack"/>
      <w:bookmarkEnd w:id="0"/>
    </w:p>
    <w:p w14:paraId="5DD00E16">
      <w:r>
        <w:t>版本：V1.2</w:t>
      </w:r>
    </w:p>
    <w:p w14:paraId="451D24DD">
      <w:r>
        <w:t>生效日期：2026-03-04</w:t>
      </w:r>
    </w:p>
    <w:p w14:paraId="340A550E">
      <w:pPr>
        <w:pStyle w:val="19"/>
        <w:widowControl/>
      </w:pPr>
      <w:r>
        <w:t>变更摘要：V1.2 将原SOP07与SOP08合并为本SOP附录A/附录B，用于减少文件数量并避免重复维护。</w:t>
      </w:r>
    </w:p>
    <w:p w14:paraId="05C23ADF">
      <w:pPr>
        <w:pStyle w:val="19"/>
        <w:widowControl/>
      </w:pPr>
      <w:r>
        <w:rPr>
          <w:b/>
        </w:rPr>
        <w:t>适用对象：</w:t>
      </w:r>
      <w:r>
        <w:t>研究医生、研究护士、CRC、数据管理员、PMO/质控人员</w:t>
      </w:r>
    </w:p>
    <w:p w14:paraId="73E7BF10">
      <w:pPr>
        <w:pStyle w:val="19"/>
        <w:widowControl/>
      </w:pPr>
      <w:r>
        <w:t>关联文件：TDSC研究方案V2.0（2026-02-28）；SOP10《研究药物不良反应处理方法（AE Management Playbook）》；SOP09《EDC自动分级规则表：实验室与心电（DAIDS）》；SOP12《随机与分配实施（信息隔离/受控访问）》；SOP05《PRO + 生活质量 + 呼吸功能相关量表评估》；本SOP附录A（原SOP07：PRO-CTCAE®量表规格书）；本SOP附录B（原SOP08：常见AE速查表）。</w:t>
      </w:r>
    </w:p>
    <w:p w14:paraId="10B2776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0B7845D6">
      <w:pPr>
        <w:pStyle w:val="19"/>
        <w:widowControl/>
      </w:pPr>
      <w:r>
        <w:t>规范TDSC研究中不良事件（AE）数据的生成、采集、分级、记录、对账与上报流程，确保研究者分级（DAIDS AE Grading Table）与患者报告（PRO-CTCAE®）互补协同，实现：①安全信号早识别；②分级阈值统一；③跨中心数据一致；④满足申办方/监管/网络规范要求。</w:t>
      </w:r>
    </w:p>
    <w:p w14:paraId="5A5DA05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79981493">
      <w:pPr>
        <w:pStyle w:val="19"/>
        <w:widowControl/>
      </w:pPr>
      <w:r>
        <w:t>适用于TDSC研究全部中心、全部受试者、全部研究期（筛选/基线、治疗期、随访期）中与安全性相关的信息采集与管理，包括症状体征、实验室检查、心电图（QTcF）、影像（如用于毒性判定）、合并用药、住院/急诊、妊娠等。</w:t>
      </w:r>
    </w:p>
    <w:p w14:paraId="11864B4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参考文件与标准</w:t>
      </w:r>
    </w:p>
    <w:p w14:paraId="09292885">
      <w:pPr>
        <w:pStyle w:val="16"/>
        <w:bidi w:val="0"/>
        <w:ind w:left="360" w:leftChars="0" w:hanging="360" w:firstLineChars="0"/>
      </w:pPr>
      <w:r>
        <w:t>DAIDS AE Grading Table Corrected Version 2.1 (July 2017).</w:t>
      </w:r>
    </w:p>
    <w:p w14:paraId="74B8F3CB">
      <w:pPr>
        <w:pStyle w:val="16"/>
        <w:bidi w:val="0"/>
        <w:ind w:left="360" w:leftChars="0" w:hanging="360" w:firstLineChars="0"/>
      </w:pPr>
      <w:r>
        <w:t>NCI PRO-CTCAE® Item Library（中文简体，Universal），Version 1.0，Version date: 2025-02-24（遵循NCI Terms of Use）。</w:t>
      </w:r>
    </w:p>
    <w:p w14:paraId="7C1ADA79">
      <w:pPr>
        <w:pStyle w:val="16"/>
        <w:bidi w:val="0"/>
        <w:ind w:left="360" w:leftChars="0" w:hanging="360" w:firstLineChars="0"/>
      </w:pPr>
      <w:r>
        <w:t>研究方案中关于AE/SAE/AESI/IRE定义、上报时限、停药与退出标准等条款（以最终版为准）。</w:t>
      </w:r>
    </w:p>
    <w:p w14:paraId="52B1D4C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核心概念与一致性原则</w:t>
      </w:r>
    </w:p>
    <w:p w14:paraId="0313EA82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DAIDS 与 PRO-CTCAE® 的角色定位</w:t>
      </w:r>
    </w:p>
    <w:p w14:paraId="37CC96E9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DAIDS：用于“研究安全性判定与监管上报”的严重程度分级（Grade 1–5）。</w:t>
      </w:r>
    </w:p>
    <w:p w14:paraId="3AB4B46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PRO-CTCAE®：用于“耐受性/体验”量化与安全信号早提示（回忆期：过去7天），不直接替代DAIDS分级。</w:t>
      </w:r>
    </w:p>
    <w:p w14:paraId="280F9625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方案红线优先：当研究方案规定停药/上报触发阈值时（如DILI或QTcF红线），无论DAIDS分级结果如何，均按方案触发并执行。</w:t>
      </w:r>
    </w:p>
    <w:p w14:paraId="2DD03F3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低于DAIDS 1级阈值的检查异常不分级；事件严重程度介于两级之间时取更高等级。</w:t>
      </w:r>
    </w:p>
    <w:p w14:paraId="182F5BF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安全性数据的“多源合并”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1E03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E007E75">
            <w:pPr>
              <w:spacing w:after="0" w:line="240" w:lineRule="auto"/>
            </w:pPr>
            <w:r>
              <w:t>数据来源</w:t>
            </w:r>
          </w:p>
        </w:tc>
        <w:tc>
          <w:tcPr>
            <w:tcW w:w="1666" w:type="pct"/>
          </w:tcPr>
          <w:p w14:paraId="63FE3E13">
            <w:pPr>
              <w:spacing w:after="0" w:line="240" w:lineRule="auto"/>
            </w:pPr>
            <w:r>
              <w:t>典型内容</w:t>
            </w:r>
          </w:p>
        </w:tc>
        <w:tc>
          <w:tcPr>
            <w:tcW w:w="1666" w:type="pct"/>
          </w:tcPr>
          <w:p w14:paraId="6770EB30">
            <w:pPr>
              <w:spacing w:after="0" w:line="240" w:lineRule="auto"/>
            </w:pPr>
            <w:r>
              <w:t>进入AE流程的方式</w:t>
            </w:r>
          </w:p>
        </w:tc>
      </w:tr>
      <w:tr w14:paraId="3A54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6CA2D14">
            <w:pPr>
              <w:spacing w:after="0" w:line="240" w:lineRule="auto"/>
            </w:pPr>
            <w:r>
              <w:t>研究者问诊/体检</w:t>
            </w:r>
          </w:p>
        </w:tc>
        <w:tc>
          <w:tcPr>
            <w:tcW w:w="1666" w:type="pct"/>
          </w:tcPr>
          <w:p w14:paraId="4234EADA">
            <w:pPr>
              <w:spacing w:after="0" w:line="240" w:lineRule="auto"/>
            </w:pPr>
            <w:r>
              <w:t>症状、体征、用药相关不适</w:t>
            </w:r>
          </w:p>
        </w:tc>
        <w:tc>
          <w:tcPr>
            <w:tcW w:w="1666" w:type="pct"/>
          </w:tcPr>
          <w:p w14:paraId="6CE3DD63">
            <w:pPr>
              <w:spacing w:after="0" w:line="240" w:lineRule="auto"/>
            </w:pPr>
            <w:r>
              <w:t>研究者判定“医学相关性/临床意义”则记录AE并DAIDS分级</w:t>
            </w:r>
          </w:p>
        </w:tc>
      </w:tr>
      <w:tr w14:paraId="13FA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5AF2303">
            <w:pPr>
              <w:spacing w:after="0" w:line="240" w:lineRule="auto"/>
            </w:pPr>
            <w:r>
              <w:t>实验室检查</w:t>
            </w:r>
          </w:p>
        </w:tc>
        <w:tc>
          <w:tcPr>
            <w:tcW w:w="1666" w:type="pct"/>
          </w:tcPr>
          <w:p w14:paraId="1B3DA40B">
            <w:pPr>
              <w:spacing w:after="0" w:line="240" w:lineRule="auto"/>
            </w:pPr>
            <w:r>
              <w:t>肝肾功能、电解质、血常规等</w:t>
            </w:r>
          </w:p>
        </w:tc>
        <w:tc>
          <w:tcPr>
            <w:tcW w:w="1666" w:type="pct"/>
          </w:tcPr>
          <w:p w14:paraId="2AD73002">
            <w:pPr>
              <w:spacing w:after="0" w:line="240" w:lineRule="auto"/>
            </w:pPr>
            <w:r>
              <w:t>达DAIDS阈值建议记录；分级/自动规则见SOP09</w:t>
            </w:r>
          </w:p>
        </w:tc>
      </w:tr>
      <w:tr w14:paraId="7ED0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60683C6">
            <w:pPr>
              <w:spacing w:after="0" w:line="240" w:lineRule="auto"/>
            </w:pPr>
            <w:r>
              <w:t>心电图</w:t>
            </w:r>
          </w:p>
        </w:tc>
        <w:tc>
          <w:tcPr>
            <w:tcW w:w="1666" w:type="pct"/>
          </w:tcPr>
          <w:p w14:paraId="14F9F07C">
            <w:pPr>
              <w:spacing w:after="0" w:line="240" w:lineRule="auto"/>
            </w:pPr>
            <w:r>
              <w:t>QTcF等</w:t>
            </w:r>
          </w:p>
        </w:tc>
        <w:tc>
          <w:tcPr>
            <w:tcW w:w="1666" w:type="pct"/>
          </w:tcPr>
          <w:p w14:paraId="22D7FC56">
            <w:pPr>
              <w:spacing w:after="0" w:line="240" w:lineRule="auto"/>
            </w:pPr>
            <w:r>
              <w:t>达DAIDS或方案红线阈值，记录AE；红线按AESI/IRE处理</w:t>
            </w:r>
          </w:p>
        </w:tc>
      </w:tr>
      <w:tr w14:paraId="66C3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E4A5E7F">
            <w:pPr>
              <w:spacing w:after="0" w:line="240" w:lineRule="auto"/>
            </w:pPr>
            <w:r>
              <w:t>影像/其他检查</w:t>
            </w:r>
          </w:p>
        </w:tc>
        <w:tc>
          <w:tcPr>
            <w:tcW w:w="1666" w:type="pct"/>
          </w:tcPr>
          <w:p w14:paraId="3B6F707B">
            <w:pPr>
              <w:spacing w:after="0" w:line="240" w:lineRule="auto"/>
            </w:pPr>
            <w:r>
              <w:t>用于毒性判定的发现</w:t>
            </w:r>
          </w:p>
        </w:tc>
        <w:tc>
          <w:tcPr>
            <w:tcW w:w="1666" w:type="pct"/>
          </w:tcPr>
          <w:p w14:paraId="322402ED">
            <w:pPr>
              <w:spacing w:after="0" w:line="240" w:lineRule="auto"/>
            </w:pPr>
            <w:r>
              <w:t>研究者判定后记录AE并分级（如适用）</w:t>
            </w:r>
          </w:p>
        </w:tc>
      </w:tr>
      <w:tr w14:paraId="3219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DABD2F2">
            <w:pPr>
              <w:spacing w:after="0" w:line="240" w:lineRule="auto"/>
            </w:pPr>
            <w:r>
              <w:t>受试者主动报告/ePRO</w:t>
            </w:r>
          </w:p>
        </w:tc>
        <w:tc>
          <w:tcPr>
            <w:tcW w:w="1666" w:type="pct"/>
          </w:tcPr>
          <w:p w14:paraId="304B7107">
            <w:pPr>
              <w:spacing w:after="0" w:line="240" w:lineRule="auto"/>
            </w:pPr>
            <w:r>
              <w:t>PRO-CTCAE®红旗提示、电话报告</w:t>
            </w:r>
          </w:p>
        </w:tc>
        <w:tc>
          <w:tcPr>
            <w:tcW w:w="1666" w:type="pct"/>
          </w:tcPr>
          <w:p w14:paraId="6A0EABF6">
            <w:pPr>
              <w:spacing w:after="0" w:line="240" w:lineRule="auto"/>
            </w:pPr>
            <w:r>
              <w:t>触发随访/复评；若确认符合AE则录入并DAIDS分级</w:t>
            </w:r>
          </w:p>
        </w:tc>
      </w:tr>
      <w:tr w14:paraId="76D3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BC58A79">
            <w:pPr>
              <w:spacing w:after="0" w:line="240" w:lineRule="auto"/>
            </w:pPr>
            <w:r>
              <w:t>住院/急诊/合并用药</w:t>
            </w:r>
          </w:p>
        </w:tc>
        <w:tc>
          <w:tcPr>
            <w:tcW w:w="1666" w:type="pct"/>
          </w:tcPr>
          <w:p w14:paraId="72EA09B4">
            <w:pPr>
              <w:spacing w:after="0" w:line="240" w:lineRule="auto"/>
            </w:pPr>
            <w:r>
              <w:t>住院原因、抢救、药物过量等</w:t>
            </w:r>
          </w:p>
        </w:tc>
        <w:tc>
          <w:tcPr>
            <w:tcW w:w="1666" w:type="pct"/>
          </w:tcPr>
          <w:p w14:paraId="7D36507B">
            <w:pPr>
              <w:spacing w:after="0" w:line="240" w:lineRule="auto"/>
            </w:pPr>
            <w:r>
              <w:t>可能触发SAE/IRE；按24小时上报流程执行</w:t>
            </w:r>
          </w:p>
        </w:tc>
      </w:tr>
    </w:tbl>
    <w:p w14:paraId="1BCF3DB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职责分工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5AF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FF72F4F">
            <w:pPr>
              <w:spacing w:after="0" w:line="240" w:lineRule="auto"/>
            </w:pPr>
            <w:r>
              <w:t>角色</w:t>
            </w:r>
          </w:p>
        </w:tc>
        <w:tc>
          <w:tcPr>
            <w:tcW w:w="2500" w:type="pct"/>
          </w:tcPr>
          <w:p w14:paraId="2B7ED9B9">
            <w:pPr>
              <w:spacing w:after="0" w:line="240" w:lineRule="auto"/>
            </w:pPr>
            <w:r>
              <w:t>主要职责（要点）</w:t>
            </w:r>
          </w:p>
        </w:tc>
      </w:tr>
      <w:tr w14:paraId="509F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A04D0EB">
            <w:pPr>
              <w:spacing w:after="0" w:line="240" w:lineRule="auto"/>
            </w:pPr>
            <w:r>
              <w:t>研究医生/PI</w:t>
            </w:r>
          </w:p>
        </w:tc>
        <w:tc>
          <w:tcPr>
            <w:tcW w:w="2500" w:type="pct"/>
          </w:tcPr>
          <w:p w14:paraId="108B4EED">
            <w:pPr>
              <w:spacing w:after="0" w:line="240" w:lineRule="auto"/>
            </w:pPr>
            <w:r>
              <w:t>AE医学判定、DAIDS分级、逐药因果关系评估与处置决策；确认SAE/AESI/IRE并审核上报。</w:t>
            </w:r>
          </w:p>
        </w:tc>
      </w:tr>
      <w:tr w14:paraId="7564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</w:tcPr>
          <w:p w14:paraId="50342469">
            <w:pPr>
              <w:spacing w:after="0" w:line="240" w:lineRule="auto"/>
            </w:pPr>
            <w:r>
              <w:t>研究护士/CRC</w:t>
            </w:r>
          </w:p>
        </w:tc>
        <w:tc>
          <w:tcPr>
            <w:tcW w:w="2500" w:type="pct"/>
          </w:tcPr>
          <w:p w14:paraId="085932D8">
            <w:r>
              <w:t>ePRO组织与提醒；红旗触发后的24小时随访/复评安排；PRO-AE对账报表跟进与查询闭环；糖代谢相关红旗（严重低血糖、疑似DKA/HHS）快速协同就诊；源文件完整性。</w:t>
            </w:r>
          </w:p>
        </w:tc>
      </w:tr>
      <w:tr w14:paraId="2DA4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A4F28D4">
            <w:pPr>
              <w:spacing w:after="0" w:line="240" w:lineRule="auto"/>
            </w:pPr>
            <w:r>
              <w:t>研究药师/发药人员（如适用）</w:t>
            </w:r>
          </w:p>
        </w:tc>
        <w:tc>
          <w:tcPr>
            <w:tcW w:w="2500" w:type="pct"/>
          </w:tcPr>
          <w:p w14:paraId="250660B4">
            <w:pPr>
              <w:spacing w:after="0" w:line="240" w:lineRule="auto"/>
            </w:pPr>
            <w:r>
              <w:t>用药错误/过量等事件协助核实；提供药品批号与追溯信息。</w:t>
            </w:r>
          </w:p>
        </w:tc>
      </w:tr>
      <w:tr w14:paraId="7423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6BDD81E">
            <w:pPr>
              <w:spacing w:after="0" w:line="240" w:lineRule="auto"/>
            </w:pPr>
            <w:r>
              <w:t>数据管理员/EDC团队</w:t>
            </w:r>
          </w:p>
        </w:tc>
        <w:tc>
          <w:tcPr>
            <w:tcW w:w="2500" w:type="pct"/>
          </w:tcPr>
          <w:p w14:paraId="658928F4">
            <w:pPr>
              <w:spacing w:after="0" w:line="240" w:lineRule="auto"/>
            </w:pPr>
            <w:r>
              <w:t>ePRO入库、不可修改与审计追踪；自动分级规则（SOP09）与对账报表生成；数据查询与一致性核查。</w:t>
            </w:r>
          </w:p>
        </w:tc>
      </w:tr>
      <w:tr w14:paraId="0549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7702ACF">
            <w:pPr>
              <w:spacing w:after="0" w:line="240" w:lineRule="auto"/>
            </w:pPr>
            <w:r>
              <w:t>PMO/质控</w:t>
            </w:r>
          </w:p>
        </w:tc>
        <w:tc>
          <w:tcPr>
            <w:tcW w:w="2500" w:type="pct"/>
          </w:tcPr>
          <w:p w14:paraId="7F62803B">
            <w:pPr>
              <w:spacing w:after="0" w:line="240" w:lineRule="auto"/>
            </w:pPr>
            <w:r>
              <w:t>培训与再培训；中心间完成率/缺失率/对账闭环指标监测；文件版本与授权归档（SOP00）。</w:t>
            </w:r>
          </w:p>
        </w:tc>
      </w:tr>
    </w:tbl>
    <w:p w14:paraId="338B068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ePRO（PRO-CTCAE®）采集与红旗规则</w:t>
      </w:r>
    </w:p>
    <w:p w14:paraId="0ABA3220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回忆期与填写窗口</w:t>
      </w:r>
    </w:p>
    <w:p w14:paraId="27E0261B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回忆期：过去7天。</w:t>
      </w:r>
    </w:p>
    <w:p w14:paraId="10A9257F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填写窗口：建议在每次计划访视前24小时内完成（允许访视当天补填）。</w:t>
      </w:r>
    </w:p>
    <w:p w14:paraId="386D95B3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受试者支持：CRC可提供操作指导（扫码/提交），不得引导答案；如需代填，须记录原因并遵循受试者口述。</w:t>
      </w:r>
    </w:p>
    <w:p w14:paraId="217761A5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缺失处理：未按时完成时，访视当日提醒补填；连续缺失≥2次，记录为方案偏差并启动原因分析。</w:t>
      </w:r>
    </w:p>
    <w:p w14:paraId="2B906AC6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系统要求：ePRO自动写入EDC（不可修改，保留审计追踪）。</w:t>
      </w:r>
    </w:p>
    <w:p w14:paraId="39AD6019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红旗规则（触发后必须在24小时内随访/复评）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48D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53B619E">
            <w:pPr>
              <w:spacing w:after="0" w:line="240" w:lineRule="auto"/>
            </w:pPr>
            <w:r>
              <w:t>触发维度</w:t>
            </w:r>
          </w:p>
        </w:tc>
        <w:tc>
          <w:tcPr>
            <w:tcW w:w="1666" w:type="pct"/>
          </w:tcPr>
          <w:p w14:paraId="27D46EBC">
            <w:pPr>
              <w:spacing w:after="0" w:line="240" w:lineRule="auto"/>
            </w:pPr>
            <w:r>
              <w:t>触发条件（建议）</w:t>
            </w:r>
          </w:p>
        </w:tc>
        <w:tc>
          <w:tcPr>
            <w:tcW w:w="1666" w:type="pct"/>
          </w:tcPr>
          <w:p w14:paraId="6EC0D1EA">
            <w:pPr>
              <w:spacing w:after="0" w:line="240" w:lineRule="auto"/>
            </w:pPr>
            <w:r>
              <w:t>处置要求</w:t>
            </w:r>
          </w:p>
        </w:tc>
      </w:tr>
      <w:tr w14:paraId="70FA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C158FD3">
            <w:pPr>
              <w:spacing w:after="0" w:line="240" w:lineRule="auto"/>
            </w:pPr>
            <w:r>
              <w:t>最严重程度</w:t>
            </w:r>
          </w:p>
        </w:tc>
        <w:tc>
          <w:tcPr>
            <w:tcW w:w="1666" w:type="pct"/>
          </w:tcPr>
          <w:p w14:paraId="202CD0EE">
            <w:pPr>
              <w:spacing w:after="0" w:line="240" w:lineRule="auto"/>
            </w:pPr>
            <w:r>
              <w:t>“严重/很严重”</w:t>
            </w:r>
          </w:p>
        </w:tc>
        <w:tc>
          <w:tcPr>
            <w:tcW w:w="1666" w:type="pct"/>
          </w:tcPr>
          <w:p w14:paraId="7618CA2B">
            <w:pPr>
              <w:spacing w:after="0" w:line="240" w:lineRule="auto"/>
            </w:pPr>
            <w:r>
              <w:t>当日复评；必要时加做检查；若符合AE则录入并DAIDS分级。</w:t>
            </w:r>
          </w:p>
        </w:tc>
      </w:tr>
      <w:tr w14:paraId="0DB6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1053D54">
            <w:pPr>
              <w:spacing w:after="0" w:line="240" w:lineRule="auto"/>
            </w:pPr>
            <w:r>
              <w:t>频率</w:t>
            </w:r>
          </w:p>
        </w:tc>
        <w:tc>
          <w:tcPr>
            <w:tcW w:w="1666" w:type="pct"/>
          </w:tcPr>
          <w:p w14:paraId="5A4633F8">
            <w:pPr>
              <w:spacing w:after="0" w:line="240" w:lineRule="auto"/>
            </w:pPr>
            <w:r>
              <w:t>“经常/几乎是持续的”</w:t>
            </w:r>
          </w:p>
        </w:tc>
        <w:tc>
          <w:tcPr>
            <w:tcW w:w="1666" w:type="pct"/>
          </w:tcPr>
          <w:p w14:paraId="738AF73D">
            <w:pPr>
              <w:spacing w:after="0" w:line="240" w:lineRule="auto"/>
            </w:pPr>
            <w:r>
              <w:t>48小时内复评；评估脱水、出血、用药依从性等。</w:t>
            </w:r>
          </w:p>
        </w:tc>
      </w:tr>
      <w:tr w14:paraId="470E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BD3AD4A">
            <w:pPr>
              <w:spacing w:after="0" w:line="240" w:lineRule="auto"/>
            </w:pPr>
            <w:r>
              <w:t>干扰程度</w:t>
            </w:r>
          </w:p>
        </w:tc>
        <w:tc>
          <w:tcPr>
            <w:tcW w:w="1666" w:type="pct"/>
          </w:tcPr>
          <w:p w14:paraId="4DC3F920">
            <w:pPr>
              <w:spacing w:after="0" w:line="240" w:lineRule="auto"/>
            </w:pPr>
            <w:r>
              <w:t>“蛮多/很多”</w:t>
            </w:r>
          </w:p>
        </w:tc>
        <w:tc>
          <w:tcPr>
            <w:tcW w:w="1666" w:type="pct"/>
          </w:tcPr>
          <w:p w14:paraId="7B18A58F">
            <w:pPr>
              <w:spacing w:after="0" w:line="240" w:lineRule="auto"/>
            </w:pPr>
            <w:r>
              <w:t>复评功能受损与安全风险；必要时调整/停药。</w:t>
            </w:r>
          </w:p>
        </w:tc>
      </w:tr>
      <w:tr w14:paraId="2634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B711B89">
            <w:pPr>
              <w:spacing w:after="0" w:line="240" w:lineRule="auto"/>
            </w:pPr>
            <w:r>
              <w:t>关键症状域</w:t>
            </w:r>
          </w:p>
        </w:tc>
        <w:tc>
          <w:tcPr>
            <w:tcW w:w="1666" w:type="pct"/>
          </w:tcPr>
          <w:p w14:paraId="4216CE67">
            <w:r>
              <w:t>胸痛、呼吸困难、晕厥/抽搐、黑便/呕血、黄疸、明显视力变化、严重皮疹、严重低血糖症状（意识改变/昏迷）或疑似DKA/HHS（多饮多尿、呕吐/腹痛、深大呼吸、意识改变）等任一阳性</w:t>
            </w:r>
          </w:p>
        </w:tc>
        <w:tc>
          <w:tcPr>
            <w:tcW w:w="1666" w:type="pct"/>
          </w:tcPr>
          <w:p w14:paraId="292B2B53">
            <w:pPr>
              <w:spacing w:after="0" w:line="240" w:lineRule="auto"/>
            </w:pPr>
            <w:r>
              <w:t>按急症流程评估；必要时急诊/住院；同步IRE判定。</w:t>
            </w:r>
          </w:p>
        </w:tc>
      </w:tr>
    </w:tbl>
    <w:p w14:paraId="1ED50B9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AE识别、记录与DAIDS分级流程</w:t>
      </w:r>
    </w:p>
    <w:p w14:paraId="563B78EE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AE识别来源</w:t>
      </w:r>
    </w:p>
    <w:p w14:paraId="66017B5B">
      <w:pPr>
        <w:pStyle w:val="19"/>
        <w:widowControl/>
        <w:numPr>
          <w:ilvl w:val="0"/>
          <w:numId w:val="13"/>
        </w:numPr>
      </w:pPr>
      <w:r>
        <w:t>研究者问诊/体检、实验室检查、心电图、影像、合并用药与住院信息、受试者主动报告（含ePRO红旗提示）。</w:t>
      </w:r>
    </w:p>
    <w:p w14:paraId="3F68DCBD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是否记录为AE（“临床意义”与“避免漏报”原则）</w:t>
      </w:r>
    </w:p>
    <w:p w14:paraId="2B8FBE6F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筛选期后观察到且被研究者判定为“具有医学相关性/临床意义”的异常，应记录在源文件与AE eCRF。</w:t>
      </w:r>
    </w:p>
    <w:p w14:paraId="14451758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仅当研究者认为该异常具有临床意义（出现相关症状、需要纠正治疗或进一步评估、导致停药/住院、或满足SAE标准）时，方记录为AE。</w:t>
      </w:r>
    </w:p>
    <w:p w14:paraId="4E2CC684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若异常值达到DAIDS分级阈值但无任何临床意义处理，也建议记录为AE（避免漏报无症状重要毒性），并在处置字段注明“无症状/未干预”。</w:t>
      </w:r>
    </w:p>
    <w:p w14:paraId="4A7B7DCB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低于DAIDS 1级阈值的异常不分级；是否在eCRF另行记录由CRF结构决定。</w:t>
      </w:r>
    </w:p>
    <w:p w14:paraId="5DF49B5C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DAIDS分级与逐药因果关系</w:t>
      </w:r>
    </w:p>
    <w:p w14:paraId="01386E79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所有需分级的事件使用DAIDS v2.1；当严重程度介于两级之间时，选择更高等级。</w:t>
      </w:r>
    </w:p>
    <w:p w14:paraId="1982D643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结核治疗为多药联合：每个AE需分别评价其与“每一种研究药物/关键合并用药”的关系，并分别记录对各药物采取的措施（继续/暂停/永久停用/其他）。</w:t>
      </w:r>
    </w:p>
    <w:p w14:paraId="4B73B254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实验室与心电图分级建议由EDC自动计算并提示，研究者复核签名（详见SOP09）。</w:t>
      </w:r>
    </w:p>
    <w:p w14:paraId="61BCDF3B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基线症状与既往异常的处理（避免误判）</w:t>
      </w:r>
    </w:p>
    <w:p w14:paraId="63F71F6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基线既有症状：在随机/给药前存在的症状，需作为“基线症状”记录（来源：病史/体检/基线PRO）。</w:t>
      </w:r>
    </w:p>
    <w:p w14:paraId="15B99F98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治疗后加重：既往症状在治疗中明显加重（频率/程度/干扰上升或需额外处理）时，应作为AE记录，并注明“基线已存在，治疗期加重”。</w:t>
      </w:r>
    </w:p>
    <w:p w14:paraId="6A73ECDA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恢复/波动：按eCRF规则更新严重程度与结局；中断后再出现且符合“新发事件”定义时，可新建AE。</w:t>
      </w:r>
    </w:p>
    <w:p w14:paraId="0E793E4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PRO-AE 对账与闭环（核心）</w:t>
      </w:r>
    </w:p>
    <w:p w14:paraId="5BCE26E3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对账目的</w:t>
      </w:r>
    </w:p>
    <w:p w14:paraId="6F27DFE0">
      <w:pPr>
        <w:pStyle w:val="19"/>
        <w:widowControl/>
      </w:pPr>
      <w:r>
        <w:t>避免“PRO有症状但eCRF漏报AE”或“AE已处置但PRO缺失”，确保安全信号闭环。</w:t>
      </w:r>
    </w:p>
    <w:p w14:paraId="4A599BC2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对账频率</w:t>
      </w:r>
    </w:p>
    <w:p w14:paraId="4D0F330F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治疗期：每周至少一次自动生成“PRO-AE对账报表”。</w:t>
      </w:r>
    </w:p>
    <w:p w14:paraId="53561577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随访期：至少每月一次。</w:t>
      </w:r>
    </w:p>
    <w:p w14:paraId="49906D13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对账规则（推荐）</w:t>
      </w:r>
    </w:p>
    <w:p w14:paraId="6AFC15BF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同一访视窗口内，PRO出现新症状/显著加重而AE eCRF无对应记录：CRC于48小时内发起质疑并安排研究医师复评。</w:t>
      </w:r>
    </w:p>
    <w:p w14:paraId="52F1FF5B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AE eCRF记录的症状类事件但对应窗口内PRO缺失：核查未填写/提交失败；必要时补填并记录偏差。</w:t>
      </w:r>
    </w:p>
    <w:p w14:paraId="29FCE1CD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同一症状跨多窗口持续：以首次发生为同一AE起点；后续加重按eCRF规则更新或新建（视CRF设计）。</w:t>
      </w:r>
    </w:p>
    <w:p w14:paraId="2B589EDB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PRO不直接映射DAIDS等级；PRO用于触发复评与完善AE记录，最终以研究医师判定为准。</w:t>
      </w:r>
    </w:p>
    <w:p w14:paraId="2F42F74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TDSC重点 AESI 与“红线”触发</w:t>
      </w:r>
    </w:p>
    <w:p w14:paraId="1FF4A164">
      <w:pPr>
        <w:pStyle w:val="19"/>
        <w:widowControl/>
      </w:pPr>
      <w:r>
        <w:t>本节为执行层必须优先处理的事件清单。各中心可结合TDSC方案与药物特性细化，但不得弱化方案要求。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E98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5B074C0A">
            <w:pPr>
              <w:spacing w:after="0" w:line="240" w:lineRule="auto"/>
            </w:pPr>
            <w:r>
              <w:t>红线事件</w:t>
            </w:r>
          </w:p>
        </w:tc>
        <w:tc>
          <w:tcPr>
            <w:tcW w:w="1666" w:type="pct"/>
          </w:tcPr>
          <w:p w14:paraId="5E0CCF53">
            <w:pPr>
              <w:spacing w:after="0" w:line="240" w:lineRule="auto"/>
            </w:pPr>
            <w:r>
              <w:t>触发阈值（按方案/常用规则）</w:t>
            </w:r>
          </w:p>
        </w:tc>
        <w:tc>
          <w:tcPr>
            <w:tcW w:w="1666" w:type="pct"/>
          </w:tcPr>
          <w:p w14:paraId="331CC963">
            <w:pPr>
              <w:spacing w:after="0" w:line="240" w:lineRule="auto"/>
            </w:pPr>
            <w:r>
              <w:t>立即处置</w:t>
            </w:r>
          </w:p>
        </w:tc>
      </w:tr>
      <w:tr w14:paraId="1C80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341B90C">
            <w:pPr>
              <w:spacing w:after="0" w:line="240" w:lineRule="auto"/>
            </w:pPr>
            <w:r>
              <w:t>药物性肝损伤（DILI）</w:t>
            </w:r>
          </w:p>
        </w:tc>
        <w:tc>
          <w:tcPr>
            <w:tcW w:w="1666" w:type="pct"/>
          </w:tcPr>
          <w:p w14:paraId="0F4DA0E3">
            <w:pPr>
              <w:spacing w:after="0" w:line="240" w:lineRule="auto"/>
            </w:pPr>
            <w:r>
              <w:t>ALT/AST&gt;3×ULN伴肝炎症状；或ALT/AST&gt;5×ULN；或TBIL&gt;2×ULN</w:t>
            </w:r>
          </w:p>
        </w:tc>
        <w:tc>
          <w:tcPr>
            <w:tcW w:w="1666" w:type="pct"/>
          </w:tcPr>
          <w:p w14:paraId="76E99766">
            <w:pPr>
              <w:spacing w:after="0" w:line="240" w:lineRule="auto"/>
            </w:pPr>
            <w:r>
              <w:t>立即停用疑似肝毒性研究药物；启动鉴别诊断与复测；判定AESI/IRE并上报。</w:t>
            </w:r>
          </w:p>
        </w:tc>
      </w:tr>
      <w:tr w14:paraId="289B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981DD07">
            <w:pPr>
              <w:spacing w:after="0" w:line="240" w:lineRule="auto"/>
            </w:pPr>
            <w:r>
              <w:t>QTcF延长</w:t>
            </w:r>
          </w:p>
        </w:tc>
        <w:tc>
          <w:tcPr>
            <w:tcW w:w="1666" w:type="pct"/>
          </w:tcPr>
          <w:p w14:paraId="1F895AF6">
            <w:pPr>
              <w:spacing w:after="0" w:line="240" w:lineRule="auto"/>
            </w:pPr>
            <w:r>
              <w:t>QTcF&gt;500 ms 或较基线延长&gt;60 ms</w:t>
            </w:r>
          </w:p>
        </w:tc>
        <w:tc>
          <w:tcPr>
            <w:tcW w:w="1666" w:type="pct"/>
          </w:tcPr>
          <w:p w14:paraId="625A6114">
            <w:pPr>
              <w:spacing w:after="0" w:line="240" w:lineRule="auto"/>
            </w:pPr>
            <w:r>
              <w:t>停用可疑致QT药物；复测心电图与电解质；必要时住院监护；判定AESI/IRE并上报。</w:t>
            </w:r>
          </w:p>
        </w:tc>
      </w:tr>
      <w:tr w14:paraId="2FCF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C8D7D1E">
            <w:pPr>
              <w:spacing w:after="0" w:line="240" w:lineRule="auto"/>
            </w:pPr>
            <w:r>
              <w:t>严重过敏/全身皮疹</w:t>
            </w:r>
          </w:p>
        </w:tc>
        <w:tc>
          <w:tcPr>
            <w:tcW w:w="1666" w:type="pct"/>
          </w:tcPr>
          <w:p w14:paraId="22DA9A5F">
            <w:pPr>
              <w:spacing w:after="0" w:line="240" w:lineRule="auto"/>
            </w:pPr>
            <w:r>
              <w:t>伴黏膜受累、呼吸道症状或血流动力学不稳</w:t>
            </w:r>
          </w:p>
        </w:tc>
        <w:tc>
          <w:tcPr>
            <w:tcW w:w="1666" w:type="pct"/>
          </w:tcPr>
          <w:p w14:paraId="0A2D7D0B">
            <w:pPr>
              <w:spacing w:after="0" w:line="240" w:lineRule="auto"/>
            </w:pPr>
            <w:r>
              <w:t>急救与住院；SAE/IRE 24小时内上报。</w:t>
            </w:r>
          </w:p>
        </w:tc>
      </w:tr>
      <w:tr w14:paraId="0A2E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304D5490">
            <w:pPr>
              <w:spacing w:after="0" w:line="240" w:lineRule="auto"/>
            </w:pPr>
            <w:r>
              <w:t>妊娠</w:t>
            </w:r>
          </w:p>
        </w:tc>
        <w:tc>
          <w:tcPr>
            <w:tcW w:w="1666" w:type="pct"/>
          </w:tcPr>
          <w:p w14:paraId="003EDC37">
            <w:pPr>
              <w:spacing w:after="0" w:line="240" w:lineRule="auto"/>
            </w:pPr>
            <w:r>
              <w:t>受试者妊娠</w:t>
            </w:r>
          </w:p>
        </w:tc>
        <w:tc>
          <w:tcPr>
            <w:tcW w:w="1666" w:type="pct"/>
          </w:tcPr>
          <w:p w14:paraId="0AF27055">
            <w:pPr>
              <w:spacing w:after="0" w:line="240" w:lineRule="auto"/>
            </w:pPr>
            <w:r>
              <w:t>停止研究治疗；按妊娠上报流程随访结局并保护隐私。</w:t>
            </w:r>
          </w:p>
        </w:tc>
      </w:tr>
      <w:tr w14:paraId="1718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7AA68B2">
            <w:r>
              <w:t>严重低血糖（TB-DM重点事件）</w:t>
            </w:r>
          </w:p>
        </w:tc>
        <w:tc>
          <w:tcPr>
            <w:tcW w:w="1666" w:type="pct"/>
          </w:tcPr>
          <w:p w14:paraId="061F0E28">
            <w:r>
              <w:t>需他人协助处理，或出现意识障碍/抽搐/昏迷，或需急诊/住院处理（血糖阈值以临床与方案判定为准）</w:t>
            </w:r>
          </w:p>
        </w:tc>
        <w:tc>
          <w:tcPr>
            <w:tcW w:w="1666" w:type="pct"/>
          </w:tcPr>
          <w:p w14:paraId="22F52B79">
            <w:r>
              <w:t>立即急救与纠正低血糖；评估诱因（降糖方案/进食/合并感染等）；判定SAE/AESI/IRE并按时限上报。</w:t>
            </w:r>
          </w:p>
        </w:tc>
      </w:tr>
      <w:tr w14:paraId="77DA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99DBE03">
            <w:r>
              <w:t>疑似DKA/HHS（TB-DM重点事件）</w:t>
            </w:r>
          </w:p>
        </w:tc>
        <w:tc>
          <w:tcPr>
            <w:tcW w:w="1666" w:type="pct"/>
          </w:tcPr>
          <w:p w14:paraId="58461F71">
            <w:r>
              <w:t>符合临床疑似：明显高血糖伴脱水/意识改变、酸中毒体征（深大呼吸、腹痛/呕吐等）或实验室提示（酮体/血气异常）</w:t>
            </w:r>
          </w:p>
        </w:tc>
        <w:tc>
          <w:tcPr>
            <w:tcW w:w="1666" w:type="pct"/>
          </w:tcPr>
          <w:p w14:paraId="04901644">
            <w:r>
              <w:t>立即急诊/住院评估与处置；完善血糖、酮体、血气、电解质等；判定SAE/AESI/IRE并按时限上报。</w:t>
            </w:r>
          </w:p>
        </w:tc>
      </w:tr>
      <w:tr w14:paraId="4B5E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1C18D9A">
            <w:r>
              <w:t>疑似视神经病变（例如乙胺丁醇相关）</w:t>
            </w:r>
          </w:p>
        </w:tc>
        <w:tc>
          <w:tcPr>
            <w:tcW w:w="1666" w:type="pct"/>
          </w:tcPr>
          <w:p w14:paraId="68343526">
            <w:r>
              <w:t>视力下降/色觉异常/视野缺损等新发或明显加重</w:t>
            </w:r>
          </w:p>
        </w:tc>
        <w:tc>
          <w:tcPr>
            <w:tcW w:w="1666" w:type="pct"/>
          </w:tcPr>
          <w:p w14:paraId="0CF0F0C0">
            <w:r>
              <w:t>立即停用可疑药物（如E），启动眼科会诊与评估；必要时作为AESI/IRE处理并上报。</w:t>
            </w:r>
          </w:p>
        </w:tc>
      </w:tr>
    </w:tbl>
    <w:p w14:paraId="146105C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IRE/SAE/AESI 立即上报流程（24小时）</w:t>
      </w:r>
    </w:p>
    <w:p w14:paraId="574D5F56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触发事件</w:t>
      </w:r>
    </w:p>
    <w:p w14:paraId="2A92FB0A">
      <w:pPr>
        <w:pStyle w:val="19"/>
        <w:widowControl/>
        <w:numPr>
          <w:ilvl w:val="0"/>
          <w:numId w:val="13"/>
        </w:numPr>
      </w:pPr>
      <w:r>
        <w:t>任何SAE；任何AESI；潜在严重肝脏毒性；妊娠；具有临床意义的用药过量；与职业暴露相关的AE等。</w:t>
      </w:r>
    </w:p>
    <w:p w14:paraId="39344934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时限与方式</w:t>
      </w:r>
    </w:p>
    <w:p w14:paraId="6FECF551">
      <w:pPr>
        <w:pStyle w:val="19"/>
        <w:widowControl/>
        <w:numPr>
          <w:ilvl w:val="0"/>
          <w:numId w:val="13"/>
        </w:numPr>
      </w:pPr>
      <w:r>
        <w:t>中心获知后：SAE/IRE须在24小时内完成初报（IRE表），随后持续补报随访信息与支持性文件；AESI建议在24–72小时内完成初报；Grade≥3 AE建议72小时内完成录入/复核；一般AE建议3天内录入EDC（以研究方案/申办方要求为最高优先）。</w:t>
      </w:r>
    </w:p>
    <w:p w14:paraId="04953441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信息要素（最小集）</w:t>
      </w:r>
    </w:p>
    <w:p w14:paraId="2AEE1C30">
      <w:pPr>
        <w:pStyle w:val="19"/>
        <w:widowControl/>
        <w:numPr>
          <w:ilvl w:val="0"/>
          <w:numId w:val="13"/>
        </w:numPr>
      </w:pPr>
      <w:r>
        <w:t>事件描述；起止日期/时间（尽可能到小时）；严重性与满足SAE原因；DAIDS分级；逐药因果关系；逐药措施；结局；住院与合并用药信息；相关检查与支持性材料。</w:t>
      </w:r>
    </w:p>
    <w:p w14:paraId="1FCD6F4A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保密与去标识化</w:t>
      </w:r>
    </w:p>
    <w:p w14:paraId="324A080C">
      <w:pPr>
        <w:pStyle w:val="19"/>
        <w:widowControl/>
        <w:numPr>
          <w:ilvl w:val="0"/>
          <w:numId w:val="13"/>
        </w:numPr>
      </w:pPr>
      <w:r>
        <w:t>安全性附件需去标识化（隐去姓名、电话、住址、身份证等），遵循法规与申办方要求。</w:t>
      </w:r>
    </w:p>
    <w:p w14:paraId="36E6B14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安全性采集频率建议（ePRO/症状类AE为主）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A1E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D76F6A4">
            <w:pPr>
              <w:spacing w:after="0" w:line="240" w:lineRule="auto"/>
            </w:pPr>
            <w:r>
              <w:t>研究阶段</w:t>
            </w:r>
          </w:p>
        </w:tc>
        <w:tc>
          <w:tcPr>
            <w:tcW w:w="1250" w:type="pct"/>
          </w:tcPr>
          <w:p w14:paraId="455DD083">
            <w:pPr>
              <w:spacing w:after="0" w:line="240" w:lineRule="auto"/>
            </w:pPr>
            <w:r>
              <w:t>时间点（示例）</w:t>
            </w:r>
          </w:p>
        </w:tc>
        <w:tc>
          <w:tcPr>
            <w:tcW w:w="1250" w:type="pct"/>
          </w:tcPr>
          <w:p w14:paraId="79AFA2A7">
            <w:pPr>
              <w:spacing w:after="0" w:line="240" w:lineRule="auto"/>
            </w:pPr>
            <w:r>
              <w:t>建议频率</w:t>
            </w:r>
          </w:p>
        </w:tc>
        <w:tc>
          <w:tcPr>
            <w:tcW w:w="1250" w:type="pct"/>
          </w:tcPr>
          <w:p w14:paraId="3167EE8C">
            <w:pPr>
              <w:spacing w:after="0" w:line="240" w:lineRule="auto"/>
            </w:pPr>
            <w:r>
              <w:t>备注</w:t>
            </w:r>
          </w:p>
        </w:tc>
      </w:tr>
      <w:tr w14:paraId="0EF3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22DEED4">
            <w:pPr>
              <w:spacing w:after="0" w:line="240" w:lineRule="auto"/>
            </w:pPr>
            <w:r>
              <w:t>筛选/基线</w:t>
            </w:r>
          </w:p>
        </w:tc>
        <w:tc>
          <w:tcPr>
            <w:tcW w:w="1250" w:type="pct"/>
          </w:tcPr>
          <w:p w14:paraId="654C8789">
            <w:pPr>
              <w:spacing w:after="0" w:line="240" w:lineRule="auto"/>
            </w:pPr>
            <w:r>
              <w:t>基线（首剂前）</w:t>
            </w:r>
          </w:p>
        </w:tc>
        <w:tc>
          <w:tcPr>
            <w:tcW w:w="1250" w:type="pct"/>
          </w:tcPr>
          <w:p w14:paraId="671FAF60">
            <w:pPr>
              <w:spacing w:after="0" w:line="240" w:lineRule="auto"/>
            </w:pPr>
            <w:r>
              <w:t>1次</w:t>
            </w:r>
          </w:p>
        </w:tc>
        <w:tc>
          <w:tcPr>
            <w:tcW w:w="1250" w:type="pct"/>
          </w:tcPr>
          <w:p w14:paraId="04F3DCD1">
            <w:pPr>
              <w:spacing w:after="0" w:line="240" w:lineRule="auto"/>
            </w:pPr>
            <w:r>
              <w:t>建立症状基线；避免把既往症状误判为毒性。</w:t>
            </w:r>
          </w:p>
        </w:tc>
      </w:tr>
      <w:tr w14:paraId="4B4A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B0D7C87">
            <w:pPr>
              <w:spacing w:after="0" w:line="240" w:lineRule="auto"/>
            </w:pPr>
            <w:r>
              <w:t>治疗早期</w:t>
            </w:r>
          </w:p>
        </w:tc>
        <w:tc>
          <w:tcPr>
            <w:tcW w:w="1250" w:type="pct"/>
          </w:tcPr>
          <w:p w14:paraId="1C504946">
            <w:pPr>
              <w:spacing w:after="0" w:line="240" w:lineRule="auto"/>
            </w:pPr>
            <w:r>
              <w:t>第2、4、6、8周</w:t>
            </w:r>
          </w:p>
        </w:tc>
        <w:tc>
          <w:tcPr>
            <w:tcW w:w="1250" w:type="pct"/>
          </w:tcPr>
          <w:p w14:paraId="3796D003">
            <w:pPr>
              <w:spacing w:after="0" w:line="240" w:lineRule="auto"/>
            </w:pPr>
            <w:r>
              <w:t>每2周1次</w:t>
            </w:r>
          </w:p>
        </w:tc>
        <w:tc>
          <w:tcPr>
            <w:tcW w:w="1250" w:type="pct"/>
          </w:tcPr>
          <w:p w14:paraId="35641CA2">
            <w:pPr>
              <w:spacing w:after="0" w:line="240" w:lineRule="auto"/>
            </w:pPr>
            <w:r>
              <w:t>肝毒性、QTc、胃肠道等常见不良反应多在早期出现。</w:t>
            </w:r>
          </w:p>
        </w:tc>
      </w:tr>
      <w:tr w14:paraId="2C82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76A32BB">
            <w:pPr>
              <w:spacing w:after="0" w:line="240" w:lineRule="auto"/>
            </w:pPr>
            <w:r>
              <w:t>治疗后期</w:t>
            </w:r>
          </w:p>
        </w:tc>
        <w:tc>
          <w:tcPr>
            <w:tcW w:w="1250" w:type="pct"/>
          </w:tcPr>
          <w:p w14:paraId="469BA5CE">
            <w:pPr>
              <w:spacing w:after="0" w:line="240" w:lineRule="auto"/>
            </w:pPr>
            <w:r>
              <w:t>第12周起至EOT（每4周）</w:t>
            </w:r>
          </w:p>
        </w:tc>
        <w:tc>
          <w:tcPr>
            <w:tcW w:w="1250" w:type="pct"/>
          </w:tcPr>
          <w:p w14:paraId="2B36E58A">
            <w:pPr>
              <w:spacing w:after="0" w:line="240" w:lineRule="auto"/>
            </w:pPr>
            <w:r>
              <w:t>每4周1次</w:t>
            </w:r>
          </w:p>
        </w:tc>
        <w:tc>
          <w:tcPr>
            <w:tcW w:w="1250" w:type="pct"/>
          </w:tcPr>
          <w:p w14:paraId="6B068C3F">
            <w:pPr>
              <w:spacing w:after="0" w:line="240" w:lineRule="auto"/>
            </w:pPr>
            <w:r>
              <w:t>与门诊访视同步。</w:t>
            </w:r>
          </w:p>
        </w:tc>
      </w:tr>
      <w:tr w14:paraId="05AA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5D9A56A">
            <w:pPr>
              <w:spacing w:after="0" w:line="240" w:lineRule="auto"/>
            </w:pPr>
            <w:r>
              <w:t>停药后安全随访</w:t>
            </w:r>
          </w:p>
        </w:tc>
        <w:tc>
          <w:tcPr>
            <w:tcW w:w="1250" w:type="pct"/>
          </w:tcPr>
          <w:p w14:paraId="0A838F33">
            <w:pPr>
              <w:spacing w:after="0" w:line="240" w:lineRule="auto"/>
            </w:pPr>
            <w:r>
              <w:t>停药后2周与1个月</w:t>
            </w:r>
          </w:p>
        </w:tc>
        <w:tc>
          <w:tcPr>
            <w:tcW w:w="1250" w:type="pct"/>
          </w:tcPr>
          <w:p w14:paraId="7581F0E5">
            <w:pPr>
              <w:spacing w:after="0" w:line="240" w:lineRule="auto"/>
            </w:pPr>
            <w:r>
              <w:t>至少2次</w:t>
            </w:r>
          </w:p>
        </w:tc>
        <w:tc>
          <w:tcPr>
            <w:tcW w:w="1250" w:type="pct"/>
          </w:tcPr>
          <w:p w14:paraId="42E454D7">
            <w:pPr>
              <w:spacing w:after="0" w:line="240" w:lineRule="auto"/>
            </w:pPr>
            <w:r>
              <w:t>覆盖停药后迟发事件与恢复情况。</w:t>
            </w:r>
          </w:p>
        </w:tc>
      </w:tr>
    </w:tbl>
    <w:p w14:paraId="6F597C5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源文件与EDC录入规范（最小合规要求）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9C5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3895D83">
            <w:pPr>
              <w:spacing w:after="0" w:line="240" w:lineRule="auto"/>
            </w:pPr>
            <w:r>
              <w:t>字段</w:t>
            </w:r>
          </w:p>
        </w:tc>
        <w:tc>
          <w:tcPr>
            <w:tcW w:w="2500" w:type="pct"/>
          </w:tcPr>
          <w:p w14:paraId="3885E864">
            <w:pPr>
              <w:spacing w:after="0" w:line="240" w:lineRule="auto"/>
            </w:pPr>
            <w:r>
              <w:t>要求</w:t>
            </w:r>
          </w:p>
        </w:tc>
      </w:tr>
      <w:tr w14:paraId="6024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E75981C">
            <w:pPr>
              <w:spacing w:after="0" w:line="240" w:lineRule="auto"/>
            </w:pPr>
            <w:r>
              <w:t>事件术语（主项）</w:t>
            </w:r>
          </w:p>
        </w:tc>
        <w:tc>
          <w:tcPr>
            <w:tcW w:w="2500" w:type="pct"/>
          </w:tcPr>
          <w:p w14:paraId="3EB11334">
            <w:pPr>
              <w:spacing w:after="0" w:line="240" w:lineRule="auto"/>
            </w:pPr>
            <w:r>
              <w:t>采用统一术语（建议MedDRA编码）；源文件与eCRF一致。</w:t>
            </w:r>
          </w:p>
        </w:tc>
      </w:tr>
      <w:tr w14:paraId="6A0FE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5AB0513">
            <w:pPr>
              <w:spacing w:after="0" w:line="240" w:lineRule="auto"/>
            </w:pPr>
            <w:r>
              <w:t>起止日期/时间</w:t>
            </w:r>
          </w:p>
        </w:tc>
        <w:tc>
          <w:tcPr>
            <w:tcW w:w="2500" w:type="pct"/>
          </w:tcPr>
          <w:p w14:paraId="5F3B8537">
            <w:pPr>
              <w:spacing w:after="0" w:line="240" w:lineRule="auto"/>
            </w:pPr>
            <w:r>
              <w:t>尽可能精确到小时。</w:t>
            </w:r>
          </w:p>
        </w:tc>
      </w:tr>
      <w:tr w14:paraId="6070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7D035CB">
            <w:pPr>
              <w:spacing w:after="0" w:line="240" w:lineRule="auto"/>
            </w:pPr>
            <w:r>
              <w:t>严重程度（DAIDS）</w:t>
            </w:r>
          </w:p>
        </w:tc>
        <w:tc>
          <w:tcPr>
            <w:tcW w:w="2500" w:type="pct"/>
          </w:tcPr>
          <w:p w14:paraId="44162CE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1–</w:t>
            </w:r>
            <w:r>
              <w:rPr>
                <w:rFonts w:hint="eastAsia"/>
                <w:lang w:val="en-US" w:eastAsia="zh-CN"/>
              </w:rPr>
              <w:t>4</w:t>
            </w:r>
            <w:r>
              <w:t>级；介于两级之间取更高。</w:t>
            </w:r>
            <w:r>
              <w:rPr>
                <w:rFonts w:hint="eastAsia"/>
              </w:rPr>
              <w:t>死亡单独作为结局/SAE严重性处理（不作为DAIDS Grade 5）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71B0D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A9D694F">
            <w:pPr>
              <w:spacing w:after="0" w:line="240" w:lineRule="auto"/>
            </w:pPr>
            <w:r>
              <w:t>严重性（SAE）</w:t>
            </w:r>
          </w:p>
        </w:tc>
        <w:tc>
          <w:tcPr>
            <w:tcW w:w="2500" w:type="pct"/>
          </w:tcPr>
          <w:p w14:paraId="537AD230">
            <w:pPr>
              <w:spacing w:after="0" w:line="240" w:lineRule="auto"/>
            </w:pPr>
            <w:r>
              <w:t>是/否；并记录满足SAE标准的原因。</w:t>
            </w:r>
          </w:p>
        </w:tc>
      </w:tr>
      <w:tr w14:paraId="1DBE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5DAC346">
            <w:pPr>
              <w:spacing w:after="0" w:line="240" w:lineRule="auto"/>
            </w:pPr>
            <w:r>
              <w:t>AESI/IRE标记</w:t>
            </w:r>
          </w:p>
        </w:tc>
        <w:tc>
          <w:tcPr>
            <w:tcW w:w="2500" w:type="pct"/>
          </w:tcPr>
          <w:p w14:paraId="46C65631">
            <w:pPr>
              <w:spacing w:after="0" w:line="240" w:lineRule="auto"/>
            </w:pPr>
            <w:r>
              <w:t>是否属于方案规定AESI/IRE；记录上报时间与回执。</w:t>
            </w:r>
          </w:p>
        </w:tc>
      </w:tr>
      <w:tr w14:paraId="4996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1D85542">
            <w:pPr>
              <w:spacing w:after="0" w:line="240" w:lineRule="auto"/>
            </w:pPr>
            <w:r>
              <w:t>逐药因果关系</w:t>
            </w:r>
          </w:p>
        </w:tc>
        <w:tc>
          <w:tcPr>
            <w:tcW w:w="2500" w:type="pct"/>
          </w:tcPr>
          <w:p w14:paraId="1EB91E6F">
            <w:pPr>
              <w:spacing w:after="0" w:line="240" w:lineRule="auto"/>
            </w:pPr>
            <w:r>
              <w:t>分别评价与每一种研究药物/关键合并用药的关系。</w:t>
            </w:r>
          </w:p>
        </w:tc>
      </w:tr>
      <w:tr w14:paraId="4A58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29E2B9B">
            <w:pPr>
              <w:spacing w:after="0" w:line="240" w:lineRule="auto"/>
            </w:pPr>
            <w:r>
              <w:t>逐药措施</w:t>
            </w:r>
          </w:p>
        </w:tc>
        <w:tc>
          <w:tcPr>
            <w:tcW w:w="2500" w:type="pct"/>
          </w:tcPr>
          <w:p w14:paraId="15FCFE6D">
            <w:pPr>
              <w:spacing w:after="0" w:line="240" w:lineRule="auto"/>
            </w:pPr>
            <w:r>
              <w:t>继续/暂停/永久停用/其他；记录复药策略（如适用）。</w:t>
            </w:r>
          </w:p>
        </w:tc>
      </w:tr>
      <w:tr w14:paraId="5478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5BB058B">
            <w:pPr>
              <w:spacing w:after="0" w:line="240" w:lineRule="auto"/>
            </w:pPr>
            <w:r>
              <w:t>处置与结局</w:t>
            </w:r>
          </w:p>
        </w:tc>
        <w:tc>
          <w:tcPr>
            <w:tcW w:w="2500" w:type="pct"/>
          </w:tcPr>
          <w:p w14:paraId="40683008">
            <w:pPr>
              <w:spacing w:after="0" w:line="240" w:lineRule="auto"/>
            </w:pPr>
            <w:r>
              <w:t>对症治疗、住院、检查、转诊；结局（恢复/未恢复/后遗症/死亡等）。</w:t>
            </w:r>
          </w:p>
        </w:tc>
      </w:tr>
    </w:tbl>
    <w:p w14:paraId="07823DE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质量控制（QC）</w:t>
      </w:r>
    </w:p>
    <w:p w14:paraId="455E0473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培训：中心启动前完成DAIDS分级、ePRO红旗与对账闭环培训；更换人员需补训。</w:t>
      </w:r>
    </w:p>
    <w:p w14:paraId="221EF1CE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一致性：PMO/数据管理定期抽查ePRO—源文件—eCRF三者一致性；系统性偏差触发再培训。</w:t>
      </w:r>
    </w:p>
    <w:p w14:paraId="01AE3D04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闭环指标：对账报表完成率、红旗响应时效、IRE 24小时上报达标率、缺失率等纳入中心绩效反馈。</w:t>
      </w:r>
    </w:p>
    <w:p w14:paraId="1359D580">
      <w:r>
        <w:br w:type="page"/>
      </w:r>
    </w:p>
    <w:p w14:paraId="1582A851">
      <w:pPr>
        <w:pStyle w:val="164"/>
        <w:widowControl/>
      </w:pPr>
      <w:r>
        <w:t>附录A：TDSC 定制版 PRO-CTCAE® 综合评估量表（Instrument Specification）</w:t>
      </w:r>
    </w:p>
    <w:p w14:paraId="2405E16E">
      <w:pPr>
        <w:pStyle w:val="19"/>
        <w:widowControl/>
      </w:pPr>
      <w:r>
        <w:t>说明：本附录用于EDC建库/ePRO配置与字段锁定；红旗触发、复评与AE对账/上报流程以本SOP正文与SOP10为准。</w:t>
      </w:r>
    </w:p>
    <w:p w14:paraId="47EBFB47">
      <w:r>
        <w:br w:type="page"/>
      </w:r>
    </w:p>
    <w:p w14:paraId="70367401">
      <w:pPr>
        <w:pStyle w:val="164"/>
        <w:widowControl/>
      </w:pPr>
      <w:r>
        <w:t>附录B：常见不良事件（AE）DAIDS 分级与处置速查表（Quick Reference）</w:t>
      </w:r>
    </w:p>
    <w:p w14:paraId="56E45080">
      <w:pPr>
        <w:pStyle w:val="19"/>
        <w:widowControl/>
      </w:pPr>
      <w:r>
        <w:t>说明：本附录为执行辅助工具，用于快速定位DAIDS阈值与处置要点；最终医学判定以研究医生/PI为准，且以研究方案红线为最高优先。</w:t>
      </w:r>
    </w:p>
    <w:p w14:paraId="6315D211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版权与合规声明（必须）</w:t>
      </w:r>
    </w:p>
    <w:p w14:paraId="20B94BC1">
      <w:pPr>
        <w:pStyle w:val="19"/>
        <w:widowControl/>
      </w:pPr>
      <w:r>
        <w:t>PRO-CTCAE® 为美国NCI开发的受版权保护量表。正式实施前必须完成授权获取，并使用NCI提供/认可的语言版本与条目库。</w:t>
      </w:r>
    </w:p>
    <w:p w14:paraId="01AD64C9">
      <w:pPr>
        <w:pStyle w:val="19"/>
        <w:widowControl/>
      </w:pPr>
      <w:r>
        <w:t>本SOP中关于“频率/程度/干扰”等5级答项给出的是编码与语义说明，用于EDC建库和统计；最终在界面显示的中文文本必须以授权版本为准，禁止擅自改写。</w:t>
      </w:r>
    </w:p>
    <w:p w14:paraId="4C89E840">
      <w:pPr>
        <w:pStyle w:val="19"/>
        <w:widowControl/>
      </w:pPr>
      <w:r>
        <w:t>本量表为TDSC定制“综合评估量表”，包含PRO-CTCAE®条目与少量结核症状条目（用于疗效评估）。两部分在CRF/EDC中必须分区呈现，避免统计口径混淆。</w:t>
      </w:r>
    </w:p>
    <w:p w14:paraId="67466508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基本信息（General Information）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28E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760F58">
            <w:r>
              <w:t>项目</w:t>
            </w:r>
          </w:p>
        </w:tc>
        <w:tc>
          <w:tcPr>
            <w:tcW w:w="2880" w:type="dxa"/>
          </w:tcPr>
          <w:p w14:paraId="2A0E04DC">
            <w:r>
              <w:t>内容</w:t>
            </w:r>
          </w:p>
        </w:tc>
        <w:tc>
          <w:tcPr>
            <w:tcW w:w="2880" w:type="dxa"/>
          </w:tcPr>
          <w:p w14:paraId="232CA186">
            <w:r>
              <w:t>依据/备注</w:t>
            </w:r>
          </w:p>
        </w:tc>
      </w:tr>
      <w:tr w14:paraId="2C075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DEEA6A">
            <w:r>
              <w:t>研究名称</w:t>
            </w:r>
          </w:p>
        </w:tc>
        <w:tc>
          <w:tcPr>
            <w:tcW w:w="2880" w:type="dxa"/>
          </w:tcPr>
          <w:p w14:paraId="3EFF3569">
            <w:r>
              <w:t>TDSC研究（TB-DM共病人群）</w:t>
            </w:r>
          </w:p>
        </w:tc>
        <w:tc>
          <w:tcPr>
            <w:tcW w:w="2880" w:type="dxa"/>
          </w:tcPr>
          <w:p w14:paraId="77AE2F42"/>
        </w:tc>
      </w:tr>
      <w:tr w14:paraId="621D1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801BD">
            <w:r>
              <w:t>评估目的</w:t>
            </w:r>
          </w:p>
        </w:tc>
        <w:tc>
          <w:tcPr>
            <w:tcW w:w="2880" w:type="dxa"/>
          </w:tcPr>
          <w:p w14:paraId="0204224C">
            <w:r>
              <w:t>疗效评估 (Efficacy) &amp; 安全性监测 (Safety)</w:t>
            </w:r>
          </w:p>
        </w:tc>
        <w:tc>
          <w:tcPr>
            <w:tcW w:w="2880" w:type="dxa"/>
          </w:tcPr>
          <w:p w14:paraId="75F09964"/>
        </w:tc>
      </w:tr>
      <w:tr w14:paraId="6A429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3B8BE">
            <w:r>
              <w:t>回忆期</w:t>
            </w:r>
          </w:p>
        </w:tc>
        <w:tc>
          <w:tcPr>
            <w:tcW w:w="2880" w:type="dxa"/>
          </w:tcPr>
          <w:p w14:paraId="555CA7C8">
            <w:r>
              <w:t>过去 7 天 (The past 7 days)</w:t>
            </w:r>
          </w:p>
        </w:tc>
        <w:tc>
          <w:tcPr>
            <w:tcW w:w="2880" w:type="dxa"/>
          </w:tcPr>
          <w:p w14:paraId="23587649"/>
        </w:tc>
      </w:tr>
      <w:tr w14:paraId="1A004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678D21">
            <w:r>
              <w:t>适用对象</w:t>
            </w:r>
          </w:p>
        </w:tc>
        <w:tc>
          <w:tcPr>
            <w:tcW w:w="2880" w:type="dxa"/>
          </w:tcPr>
          <w:p w14:paraId="296DF4BF">
            <w:r>
              <w:t>结核病-糖尿病共病患者</w:t>
            </w:r>
          </w:p>
        </w:tc>
        <w:tc>
          <w:tcPr>
            <w:tcW w:w="2880" w:type="dxa"/>
          </w:tcPr>
          <w:p w14:paraId="79EF5957"/>
        </w:tc>
      </w:tr>
    </w:tbl>
    <w:p w14:paraId="0F4ADEC0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量表结构与实施窗口</w:t>
      </w:r>
    </w:p>
    <w:p w14:paraId="1B8BBD19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  <w:bdr w:val="none" w:sz="0" w:space="0"/>
        </w:rPr>
      </w:pPr>
      <w:r>
        <w:t>结构</w:t>
      </w:r>
    </w:p>
    <w:p w14:paraId="52C401D3">
      <w:pPr>
        <w:pStyle w:val="19"/>
        <w:widowControl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结核病相关症状（TB Clinical Symptoms）——用于支持性疗效评估（对应随访表中的“症状评分/轨迹”）；不用于主要结局（如无复发治愈/复发）判定，相关结局由微生物学与CEC裁决流程确定。</w:t>
      </w:r>
    </w:p>
    <w:p w14:paraId="0A038B01">
      <w:pPr>
        <w:pStyle w:val="19"/>
        <w:widowControl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药物不良反应（Adverse Reactions）——用于安全性监测与信号预警（对应随访表中的“药物不良反应评分/提示”）；需与AE页面对账，必要时触发SOP06/10流程。</w:t>
      </w:r>
    </w:p>
    <w:p w14:paraId="2C87A2C6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  <w:bdr w:val="none" w:sz="0" w:space="0"/>
        </w:rPr>
      </w:pPr>
      <w:r>
        <w:t>回忆期与填写窗口</w:t>
      </w:r>
    </w:p>
    <w:p w14:paraId="5A42DE1A">
      <w:pPr>
        <w:pStyle w:val="19"/>
        <w:widowControl/>
      </w:pPr>
      <w:r>
        <w:t>回忆期：过去7天。</w:t>
      </w:r>
    </w:p>
    <w:p w14:paraId="2C9BB347">
      <w:pPr>
        <w:pStyle w:val="19"/>
        <w:widowControl/>
      </w:pPr>
      <w:r>
        <w:t>填写窗口：建议在每次计划访视前24小时内完成；允许访视当日补填。计划访视至少包括Baseline、W2、W8、W16、W24、W36、PT-M12、PT-M24（以研究随访表为准）。</w:t>
      </w:r>
    </w:p>
    <w:p w14:paraId="2FCC06A2">
      <w:pPr>
        <w:pStyle w:val="19"/>
        <w:widowControl/>
      </w:pPr>
      <w:r>
        <w:t>信息隔离：本量表为受试者自填信息，应在临床问诊及告知检查/生物标志物结果前完成。TB22、影像AI/CT量化等探索性结果在研究期间不向治疗团队披露（按SOP12），不得用于引导受试者作答。</w:t>
      </w:r>
    </w:p>
    <w:p w14:paraId="5575F4F5">
      <w:pPr>
        <w:pStyle w:val="19"/>
        <w:widowControl/>
      </w:pPr>
      <w:r>
        <w:t>填写原则：受试者自填优先；如需协助，仅可逐字朗读，不得解释或引导答案（详见SOP06）。</w:t>
      </w:r>
    </w:p>
    <w:p w14:paraId="0EB31B03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答项编码体系（供EDC/统计使用）</w:t>
      </w:r>
    </w:p>
    <w:p w14:paraId="0F43F36B">
      <w:pPr>
        <w:pStyle w:val="19"/>
        <w:widowControl/>
      </w:pPr>
      <w:r>
        <w:t>以下为标准化编码建议：</w:t>
      </w:r>
    </w:p>
    <w:p w14:paraId="0CFE6BAF">
      <w:pPr>
        <w:pStyle w:val="19"/>
        <w:widowControl/>
      </w:pPr>
      <w:r>
        <w:t>频率分级（Frequency, 5级，编码0–4；显示文字以授权版本为准）：0=从不；1=很少；2=有时；3=经常；4=几乎一直。</w:t>
      </w:r>
    </w:p>
    <w:p w14:paraId="3BA03EE2">
      <w:pPr>
        <w:pStyle w:val="19"/>
        <w:widowControl/>
      </w:pPr>
      <w:r>
        <w:t>程度分级（Severity, 5级，编码0–4；显示文字以授权版本为准）：0=无；1=轻度；2=中度；3=重度；4=极重/很严重。</w:t>
      </w:r>
    </w:p>
    <w:p w14:paraId="31351875">
      <w:pPr>
        <w:pStyle w:val="19"/>
        <w:widowControl/>
      </w:pPr>
      <w:r>
        <w:t>干扰分级（Interference, 5级，编码0–4；显示文字以授权版本为准）：0=一点也不；1=有一点；2=有些；3=相当多；4=非常多。</w:t>
      </w:r>
    </w:p>
    <w:p w14:paraId="09F7CC58">
      <w:pPr>
        <w:pStyle w:val="19"/>
        <w:widowControl/>
      </w:pPr>
      <w:r>
        <w:t>是/否题：0=否，1=是（或按EDC规范统一编码）。</w:t>
      </w:r>
    </w:p>
    <w:p w14:paraId="03F393B3">
      <w:pPr>
        <w:pStyle w:val="19"/>
        <w:widowControl/>
      </w:pPr>
      <w:r>
        <w:t>NRS-11疼痛/症状强度：0–10分（0=完全不痛/无症状；10=最剧烈/难以忍受）。</w:t>
      </w:r>
    </w:p>
    <w:p w14:paraId="3008B9AF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条目清单（Item List）与字段规范</w:t>
      </w:r>
    </w:p>
    <w:p w14:paraId="13969E18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/>
          <w:bdr w:val="none" w:sz="0" w:space="0"/>
        </w:rPr>
      </w:pPr>
      <w:r>
        <w:t>第一部分：结核病相关症状（疗效评估）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F31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F75277">
            <w:r>
              <w:t>症状维度</w:t>
            </w:r>
          </w:p>
        </w:tc>
        <w:tc>
          <w:tcPr>
            <w:tcW w:w="2880" w:type="dxa"/>
          </w:tcPr>
          <w:p w14:paraId="6E045003">
            <w:r>
              <w:t>评估问题（题干）</w:t>
            </w:r>
          </w:p>
        </w:tc>
        <w:tc>
          <w:tcPr>
            <w:tcW w:w="2880" w:type="dxa"/>
          </w:tcPr>
          <w:p w14:paraId="51B270DC">
            <w:r>
              <w:t>响应选项/编码（要点）</w:t>
            </w:r>
          </w:p>
        </w:tc>
      </w:tr>
      <w:tr w14:paraId="7BFED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66A4A">
            <w:r>
              <w:t>咳嗽</w:t>
            </w:r>
            <w:r>
              <w:br w:type="textWrapping"/>
            </w:r>
            <w:r>
              <w:br w:type="textWrapping"/>
            </w:r>
            <w:r>
              <w:t>(Cough)</w:t>
            </w:r>
          </w:p>
        </w:tc>
        <w:tc>
          <w:tcPr>
            <w:tcW w:w="2880" w:type="dxa"/>
          </w:tcPr>
          <w:p w14:paraId="69C9FA86">
            <w:r>
              <w:t>在过去7天内，您的咳嗽有多严重？</w:t>
            </w:r>
          </w:p>
        </w:tc>
        <w:tc>
          <w:tcPr>
            <w:tcW w:w="2880" w:type="dxa"/>
          </w:tcPr>
          <w:p w14:paraId="52EED3B0">
            <w:r>
              <w:t>• 无</w:t>
            </w:r>
            <w:r>
              <w:br w:type="textWrapping"/>
            </w:r>
            <w:r>
              <w:br w:type="textWrapping"/>
            </w:r>
            <w:r>
              <w:t>• 间断咳嗽</w:t>
            </w:r>
            <w:r>
              <w:br w:type="textWrapping"/>
            </w:r>
            <w:r>
              <w:br w:type="textWrapping"/>
            </w:r>
            <w:r>
              <w:t>• 频繁阵咳</w:t>
            </w:r>
          </w:p>
        </w:tc>
      </w:tr>
      <w:tr w14:paraId="706CA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1763C">
            <w:r>
              <w:t>咳痰</w:t>
            </w:r>
            <w:r>
              <w:br w:type="textWrapping"/>
            </w:r>
            <w:r>
              <w:br w:type="textWrapping"/>
            </w:r>
            <w:r>
              <w:t>(Sputum)</w:t>
            </w:r>
          </w:p>
        </w:tc>
        <w:tc>
          <w:tcPr>
            <w:tcW w:w="2880" w:type="dxa"/>
          </w:tcPr>
          <w:p w14:paraId="4030A44F">
            <w:r>
              <w:t>在过去7天内，您咳痰的量有多少？</w:t>
            </w:r>
          </w:p>
        </w:tc>
        <w:tc>
          <w:tcPr>
            <w:tcW w:w="2880" w:type="dxa"/>
          </w:tcPr>
          <w:p w14:paraId="2C783FE1">
            <w:r>
              <w:t>• 无</w:t>
            </w:r>
            <w:r>
              <w:br w:type="textWrapping"/>
            </w:r>
            <w:r>
              <w:br w:type="textWrapping"/>
            </w:r>
            <w:r>
              <w:t>• 少量</w:t>
            </w:r>
            <w:r>
              <w:br w:type="textWrapping"/>
            </w:r>
            <w:r>
              <w:br w:type="textWrapping"/>
            </w:r>
            <w:r>
              <w:t>• 中量</w:t>
            </w:r>
            <w:r>
              <w:br w:type="textWrapping"/>
            </w:r>
            <w:r>
              <w:br w:type="textWrapping"/>
            </w:r>
            <w:r>
              <w:t>• 大量</w:t>
            </w:r>
          </w:p>
        </w:tc>
      </w:tr>
      <w:tr w14:paraId="51FC7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F0431">
            <w:r>
              <w:t>咯血</w:t>
            </w:r>
            <w:r>
              <w:br w:type="textWrapping"/>
            </w:r>
            <w:r>
              <w:br w:type="textWrapping"/>
            </w:r>
            <w:r>
              <w:t>(Hemoptysis)</w:t>
            </w:r>
          </w:p>
        </w:tc>
        <w:tc>
          <w:tcPr>
            <w:tcW w:w="2880" w:type="dxa"/>
          </w:tcPr>
          <w:p w14:paraId="75B10C4C">
            <w:r>
              <w:t>在过去7天内，您痰中带血或咯血的情况如何？</w:t>
            </w:r>
          </w:p>
        </w:tc>
        <w:tc>
          <w:tcPr>
            <w:tcW w:w="2880" w:type="dxa"/>
          </w:tcPr>
          <w:p w14:paraId="004813E3">
            <w:r>
              <w:t>• 无</w:t>
            </w:r>
            <w:r>
              <w:br w:type="textWrapping"/>
            </w:r>
            <w:r>
              <w:br w:type="textWrapping"/>
            </w:r>
            <w:r>
              <w:t>• 痰中带血或少量</w:t>
            </w:r>
            <w:r>
              <w:br w:type="textWrapping"/>
            </w:r>
            <w:r>
              <w:br w:type="textWrapping"/>
            </w:r>
            <w:r>
              <w:t>• 中量</w:t>
            </w:r>
            <w:r>
              <w:br w:type="textWrapping"/>
            </w:r>
            <w:r>
              <w:br w:type="textWrapping"/>
            </w:r>
            <w:r>
              <w:t>• 大量</w:t>
            </w:r>
          </w:p>
        </w:tc>
      </w:tr>
      <w:tr w14:paraId="0397D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8AE844">
            <w:r>
              <w:t xml:space="preserve">胸痛 </w:t>
            </w:r>
            <w:r>
              <w:br w:type="textWrapping"/>
            </w:r>
            <w:r>
              <w:br w:type="textWrapping"/>
            </w:r>
            <w:r>
              <w:t>(Chest Pain)</w:t>
            </w:r>
          </w:p>
        </w:tc>
        <w:tc>
          <w:tcPr>
            <w:tcW w:w="2880" w:type="dxa"/>
          </w:tcPr>
          <w:p w14:paraId="0EA00636">
            <w:r>
              <w:t>Q1a [程度]: 过去7天内，胸痛最严重时是几分？</w:t>
            </w:r>
            <w:r>
              <w:br w:type="textWrapping"/>
            </w:r>
            <w:r>
              <w:br w:type="textWrapping"/>
            </w:r>
            <w:r>
              <w:t>Q1b [干扰]: 胸痛是否影响了您的深呼吸或咳嗽？</w:t>
            </w:r>
          </w:p>
        </w:tc>
        <w:tc>
          <w:tcPr>
            <w:tcW w:w="2880" w:type="dxa"/>
          </w:tcPr>
          <w:p w14:paraId="2A61FEDC">
            <w:r>
              <w:t>Q1a: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Q1b:</w:t>
            </w:r>
            <w:r>
              <w:br w:type="textWrapping"/>
            </w:r>
            <w:r>
              <w:br w:type="textWrapping"/>
            </w:r>
            <w:r>
              <w:t>• 没有影响</w:t>
            </w:r>
            <w:r>
              <w:br w:type="textWrapping"/>
            </w:r>
            <w:r>
              <w:br w:type="textWrapping"/>
            </w:r>
            <w:r>
              <w:t>• 有一点影响</w:t>
            </w:r>
            <w:r>
              <w:br w:type="textWrapping"/>
            </w:r>
            <w:r>
              <w:br w:type="textWrapping"/>
            </w:r>
            <w:r>
              <w:t>• 影响很大 (不敢深呼吸/咳嗽)</w:t>
            </w:r>
          </w:p>
        </w:tc>
      </w:tr>
      <w:tr w14:paraId="1B63E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419BDC">
            <w:r>
              <w:t>呼吸困难/胸闷</w:t>
            </w:r>
            <w:r>
              <w:br w:type="textWrapping"/>
            </w:r>
            <w:r>
              <w:br w:type="textWrapping"/>
            </w:r>
            <w:r>
              <w:t>(Dyspnea)</w:t>
            </w:r>
          </w:p>
        </w:tc>
        <w:tc>
          <w:tcPr>
            <w:tcW w:w="2880" w:type="dxa"/>
          </w:tcPr>
          <w:p w14:paraId="76A5B174">
            <w:r>
              <w:t>在过去7天内，您在什么情况下感到呼吸困难或胸闷？</w:t>
            </w:r>
          </w:p>
        </w:tc>
        <w:tc>
          <w:tcPr>
            <w:tcW w:w="2880" w:type="dxa"/>
          </w:tcPr>
          <w:p w14:paraId="638DD571">
            <w:r>
              <w:t>• 无</w:t>
            </w:r>
            <w:r>
              <w:br w:type="textWrapping"/>
            </w:r>
            <w:r>
              <w:br w:type="textWrapping"/>
            </w:r>
            <w:r>
              <w:t>• 只有活动时</w:t>
            </w:r>
            <w:r>
              <w:br w:type="textWrapping"/>
            </w:r>
            <w:r>
              <w:br w:type="textWrapping"/>
            </w:r>
            <w:r>
              <w:t>• 安静休息时</w:t>
            </w:r>
            <w:r>
              <w:br w:type="textWrapping"/>
            </w:r>
            <w:r>
              <w:br w:type="textWrapping"/>
            </w:r>
            <w:r>
              <w:t>• 极度困难需吸氧</w:t>
            </w:r>
          </w:p>
        </w:tc>
      </w:tr>
      <w:tr w14:paraId="603BF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4F6E19">
            <w:r>
              <w:t>盗汗</w:t>
            </w:r>
            <w:r>
              <w:br w:type="textWrapping"/>
            </w:r>
            <w:r>
              <w:br w:type="textWrapping"/>
            </w:r>
            <w:r>
              <w:t>(Night sweats)</w:t>
            </w:r>
          </w:p>
        </w:tc>
        <w:tc>
          <w:tcPr>
            <w:tcW w:w="2880" w:type="dxa"/>
          </w:tcPr>
          <w:p w14:paraId="6DF5DC2C">
            <w:r>
              <w:t>在过去7天内，您晚上睡觉出汗的情况如何？</w:t>
            </w:r>
          </w:p>
        </w:tc>
        <w:tc>
          <w:tcPr>
            <w:tcW w:w="2880" w:type="dxa"/>
          </w:tcPr>
          <w:p w14:paraId="0231004E">
            <w:r>
              <w:t>• 无</w:t>
            </w:r>
            <w:r>
              <w:br w:type="textWrapping"/>
            </w:r>
            <w:r>
              <w:br w:type="textWrapping"/>
            </w:r>
            <w:r>
              <w:t>• 醒后不流汗</w:t>
            </w:r>
            <w:r>
              <w:br w:type="textWrapping"/>
            </w:r>
            <w:r>
              <w:br w:type="textWrapping"/>
            </w:r>
            <w:r>
              <w:t>• 湿透睡衣</w:t>
            </w:r>
            <w:r>
              <w:br w:type="textWrapping"/>
            </w:r>
            <w:r>
              <w:br w:type="textWrapping"/>
            </w:r>
            <w:r>
              <w:t>• 频繁出汗惊醒</w:t>
            </w:r>
          </w:p>
        </w:tc>
      </w:tr>
      <w:tr w14:paraId="33B5D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F5940">
            <w:r>
              <w:t>发热</w:t>
            </w:r>
            <w:r>
              <w:br w:type="textWrapping"/>
            </w:r>
            <w:r>
              <w:br w:type="textWrapping"/>
            </w:r>
            <w:r>
              <w:t>(Fever)</w:t>
            </w:r>
          </w:p>
        </w:tc>
        <w:tc>
          <w:tcPr>
            <w:tcW w:w="2880" w:type="dxa"/>
          </w:tcPr>
          <w:p w14:paraId="66DF88E9">
            <w:r>
              <w:t>在过去7天内，您发烧的情况如何？</w:t>
            </w:r>
          </w:p>
        </w:tc>
        <w:tc>
          <w:tcPr>
            <w:tcW w:w="2880" w:type="dxa"/>
          </w:tcPr>
          <w:p w14:paraId="0B741224">
            <w:r>
              <w:t>• 无</w:t>
            </w:r>
            <w:r>
              <w:br w:type="textWrapping"/>
            </w:r>
            <w:r>
              <w:br w:type="textWrapping"/>
            </w:r>
            <w:r>
              <w:t>• 低热</w:t>
            </w:r>
            <w:r>
              <w:br w:type="textWrapping"/>
            </w:r>
            <w:r>
              <w:br w:type="textWrapping"/>
            </w:r>
            <w:r>
              <w:t>• 高热</w:t>
            </w:r>
          </w:p>
        </w:tc>
      </w:tr>
      <w:tr w14:paraId="5751A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D33E03">
            <w:r>
              <w:t>寒战</w:t>
            </w:r>
            <w:r>
              <w:br w:type="textWrapping"/>
            </w:r>
            <w:r>
              <w:br w:type="textWrapping"/>
            </w:r>
            <w:r>
              <w:t>(Chills)</w:t>
            </w:r>
          </w:p>
        </w:tc>
        <w:tc>
          <w:tcPr>
            <w:tcW w:w="2880" w:type="dxa"/>
          </w:tcPr>
          <w:p w14:paraId="2A1409B7">
            <w:r>
              <w:t>在过去7天内，您的寒战（发冷打摆子）有多严重？</w:t>
            </w:r>
          </w:p>
        </w:tc>
        <w:tc>
          <w:tcPr>
            <w:tcW w:w="2880" w:type="dxa"/>
          </w:tcPr>
          <w:p w14:paraId="2584E250">
            <w:r>
              <w:t>(程度分级：轻/中/重)</w:t>
            </w:r>
          </w:p>
        </w:tc>
      </w:tr>
      <w:tr w14:paraId="60609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504BFB">
            <w:r>
              <w:t>食欲减退</w:t>
            </w:r>
            <w:r>
              <w:br w:type="textWrapping"/>
            </w:r>
            <w:r>
              <w:br w:type="textWrapping"/>
            </w:r>
            <w:r>
              <w:t>(Appetite)</w:t>
            </w:r>
          </w:p>
        </w:tc>
        <w:tc>
          <w:tcPr>
            <w:tcW w:w="2880" w:type="dxa"/>
          </w:tcPr>
          <w:p w14:paraId="1DCF6713">
            <w:r>
              <w:t>在过去7天内，您的食欲减少了多少？</w:t>
            </w:r>
          </w:p>
        </w:tc>
        <w:tc>
          <w:tcPr>
            <w:tcW w:w="2880" w:type="dxa"/>
          </w:tcPr>
          <w:p w14:paraId="793B67E8">
            <w:r>
              <w:t>• 正常</w:t>
            </w:r>
            <w:r>
              <w:br w:type="textWrapping"/>
            </w:r>
            <w:r>
              <w:br w:type="textWrapping"/>
            </w:r>
            <w:r>
              <w:t>• 减少一点</w:t>
            </w:r>
            <w:r>
              <w:br w:type="textWrapping"/>
            </w:r>
            <w:r>
              <w:br w:type="textWrapping"/>
            </w:r>
            <w:r>
              <w:t>• 减少一半以上</w:t>
            </w:r>
            <w:r>
              <w:br w:type="textWrapping"/>
            </w:r>
            <w:r>
              <w:br w:type="textWrapping"/>
            </w:r>
            <w:r>
              <w:t>• 完全不想吃</w:t>
            </w:r>
          </w:p>
        </w:tc>
      </w:tr>
      <w:tr w14:paraId="405F8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F9AFC5">
            <w:r>
              <w:t>体重减轻</w:t>
            </w:r>
            <w:r>
              <w:br w:type="textWrapping"/>
            </w:r>
            <w:r>
              <w:br w:type="textWrapping"/>
            </w:r>
            <w:r>
              <w:t>(Weight loss)</w:t>
            </w:r>
          </w:p>
        </w:tc>
        <w:tc>
          <w:tcPr>
            <w:tcW w:w="2880" w:type="dxa"/>
          </w:tcPr>
          <w:p w14:paraId="5D4676E3">
            <w:r>
              <w:t>在过去7天内，您觉得衣服变宽大或体重明显下降了吗？</w:t>
            </w:r>
          </w:p>
        </w:tc>
        <w:tc>
          <w:tcPr>
            <w:tcW w:w="2880" w:type="dxa"/>
          </w:tcPr>
          <w:p w14:paraId="238005FB">
            <w:r>
              <w:t>• 是</w:t>
            </w:r>
            <w:r>
              <w:br w:type="textWrapping"/>
            </w:r>
            <w:r>
              <w:br w:type="textWrapping"/>
            </w:r>
            <w:r>
              <w:t>• 否</w:t>
            </w:r>
          </w:p>
        </w:tc>
      </w:tr>
      <w:tr w14:paraId="15936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F4ED8">
            <w:r>
              <w:t>乏力</w:t>
            </w:r>
            <w:r>
              <w:br w:type="textWrapping"/>
            </w:r>
            <w:r>
              <w:br w:type="textWrapping"/>
            </w:r>
            <w:r>
              <w:t>(Fatigue)</w:t>
            </w:r>
          </w:p>
        </w:tc>
        <w:tc>
          <w:tcPr>
            <w:tcW w:w="2880" w:type="dxa"/>
          </w:tcPr>
          <w:p w14:paraId="7F21F93F">
            <w:r>
              <w:t>在过去7天内，乏力对您的日常活动（如工作、家务）有多大影响？</w:t>
            </w:r>
          </w:p>
        </w:tc>
        <w:tc>
          <w:tcPr>
            <w:tcW w:w="2880" w:type="dxa"/>
          </w:tcPr>
          <w:p w14:paraId="1BF0A983">
            <w:r>
              <w:t>(干扰分级：无/轻微/明显/严重)</w:t>
            </w:r>
          </w:p>
        </w:tc>
      </w:tr>
    </w:tbl>
    <w:p w14:paraId="53273E4F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/>
          <w:bdr w:val="none" w:sz="0" w:space="0"/>
        </w:rPr>
      </w:pPr>
      <w:r>
        <w:t>第二部分：药物不良反应（安全性监测）</w:t>
      </w:r>
    </w:p>
    <w:p w14:paraId="510D41A8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/>
          <w:bdr w:val="none" w:sz="0" w:space="0"/>
        </w:rPr>
      </w:pPr>
      <w:r>
        <w:t>神经与精神系统（Neurological &amp; Psychiatric）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118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3DD68D">
            <w:r>
              <w:t>症状维度</w:t>
            </w:r>
          </w:p>
        </w:tc>
        <w:tc>
          <w:tcPr>
            <w:tcW w:w="2880" w:type="dxa"/>
          </w:tcPr>
          <w:p w14:paraId="6DF4E880">
            <w:r>
              <w:t>评估问题（题干）</w:t>
            </w:r>
          </w:p>
        </w:tc>
        <w:tc>
          <w:tcPr>
            <w:tcW w:w="2880" w:type="dxa"/>
          </w:tcPr>
          <w:p w14:paraId="74FF6E91">
            <w:r>
              <w:t>响应选项/编码（要点）</w:t>
            </w:r>
          </w:p>
        </w:tc>
      </w:tr>
      <w:tr w14:paraId="323AF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4C5C9A">
            <w:r>
              <w:t>视力下降</w:t>
            </w:r>
            <w:r>
              <w:br w:type="textWrapping"/>
            </w:r>
            <w:r>
              <w:br w:type="textWrapping"/>
            </w:r>
            <w:r>
              <w:t>(Vision)</w:t>
            </w:r>
          </w:p>
        </w:tc>
        <w:tc>
          <w:tcPr>
            <w:tcW w:w="2880" w:type="dxa"/>
          </w:tcPr>
          <w:p w14:paraId="104A3608">
            <w:r>
              <w:t>在过去7天内，您觉得视力模糊或看不清东西吗？</w:t>
            </w:r>
          </w:p>
        </w:tc>
        <w:tc>
          <w:tcPr>
            <w:tcW w:w="2880" w:type="dxa"/>
          </w:tcPr>
          <w:p w14:paraId="30781033">
            <w:r>
              <w:t>(程度分级)</w:t>
            </w:r>
          </w:p>
        </w:tc>
      </w:tr>
      <w:tr w14:paraId="3953C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DEDC81">
            <w:r>
              <w:t>手脚麻木</w:t>
            </w:r>
            <w:r>
              <w:br w:type="textWrapping"/>
            </w:r>
            <w:r>
              <w:br w:type="textWrapping"/>
            </w:r>
            <w:r>
              <w:t>(Numbness)</w:t>
            </w:r>
          </w:p>
        </w:tc>
        <w:tc>
          <w:tcPr>
            <w:tcW w:w="2880" w:type="dxa"/>
          </w:tcPr>
          <w:p w14:paraId="7F3D1B3D">
            <w:r>
              <w:t>在过去7天内，您感到麻木的范围是哪里？</w:t>
            </w:r>
          </w:p>
        </w:tc>
        <w:tc>
          <w:tcPr>
            <w:tcW w:w="2880" w:type="dxa"/>
          </w:tcPr>
          <w:p w14:paraId="24B112EA">
            <w:r>
              <w:t>• 无</w:t>
            </w:r>
            <w:r>
              <w:br w:type="textWrapping"/>
            </w:r>
            <w:r>
              <w:br w:type="textWrapping"/>
            </w:r>
            <w:r>
              <w:t>• 仅手指脚趾</w:t>
            </w:r>
            <w:r>
              <w:br w:type="textWrapping"/>
            </w:r>
            <w:r>
              <w:br w:type="textWrapping"/>
            </w:r>
            <w:r>
              <w:t>• 蔓延到手掌脚掌</w:t>
            </w:r>
            <w:r>
              <w:br w:type="textWrapping"/>
            </w:r>
            <w:r>
              <w:br w:type="textWrapping"/>
            </w:r>
            <w:r>
              <w:t>• 蔓延到胳膊小腿</w:t>
            </w:r>
          </w:p>
        </w:tc>
      </w:tr>
      <w:tr w14:paraId="4E592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92A2B">
            <w:r>
              <w:t>手部震颤</w:t>
            </w:r>
            <w:r>
              <w:br w:type="textWrapping"/>
            </w:r>
            <w:r>
              <w:br w:type="textWrapping"/>
            </w:r>
            <w:r>
              <w:t>(Tremors)</w:t>
            </w:r>
          </w:p>
        </w:tc>
        <w:tc>
          <w:tcPr>
            <w:tcW w:w="2880" w:type="dxa"/>
          </w:tcPr>
          <w:p w14:paraId="33C6C9F4">
            <w:r>
              <w:t>在过去7天内，您的手发抖吗？</w:t>
            </w:r>
          </w:p>
        </w:tc>
        <w:tc>
          <w:tcPr>
            <w:tcW w:w="2880" w:type="dxa"/>
          </w:tcPr>
          <w:p w14:paraId="3E8CE74C">
            <w:r>
              <w:t>• 无</w:t>
            </w:r>
            <w:r>
              <w:br w:type="textWrapping"/>
            </w:r>
            <w:r>
              <w:br w:type="textWrapping"/>
            </w:r>
            <w:r>
              <w:t>• 轻微不易察觉</w:t>
            </w:r>
            <w:r>
              <w:br w:type="textWrapping"/>
            </w:r>
            <w:r>
              <w:br w:type="textWrapping"/>
            </w:r>
            <w:r>
              <w:t>• 明显发抖</w:t>
            </w:r>
            <w:r>
              <w:br w:type="textWrapping"/>
            </w:r>
            <w:r>
              <w:br w:type="textWrapping"/>
            </w:r>
            <w:r>
              <w:t>• 严重发抖影响拿东西</w:t>
            </w:r>
          </w:p>
        </w:tc>
      </w:tr>
      <w:tr w14:paraId="10433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80EACD">
            <w:r>
              <w:t>头晕</w:t>
            </w:r>
            <w:r>
              <w:br w:type="textWrapping"/>
            </w:r>
            <w:r>
              <w:br w:type="textWrapping"/>
            </w:r>
            <w:r>
              <w:t>(Dizziness)</w:t>
            </w:r>
          </w:p>
        </w:tc>
        <w:tc>
          <w:tcPr>
            <w:tcW w:w="2880" w:type="dxa"/>
          </w:tcPr>
          <w:p w14:paraId="062AC00D">
            <w:r>
              <w:t>在过去7天内，头晕是否影响了您的日常生活？</w:t>
            </w:r>
          </w:p>
        </w:tc>
        <w:tc>
          <w:tcPr>
            <w:tcW w:w="2880" w:type="dxa"/>
          </w:tcPr>
          <w:p w14:paraId="3DB13D46">
            <w:r>
              <w:t>(干扰分级)</w:t>
            </w:r>
          </w:p>
        </w:tc>
      </w:tr>
      <w:tr w14:paraId="56B1B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C7E5A5">
            <w:r>
              <w:t>走路漂浮感</w:t>
            </w:r>
            <w:r>
              <w:br w:type="textWrapping"/>
            </w:r>
            <w:r>
              <w:br w:type="textWrapping"/>
            </w:r>
            <w:r>
              <w:t>(Floating sensation)</w:t>
            </w:r>
          </w:p>
        </w:tc>
        <w:tc>
          <w:tcPr>
            <w:tcW w:w="2880" w:type="dxa"/>
          </w:tcPr>
          <w:p w14:paraId="0347840D">
            <w:r>
              <w:t>在过去7天内，您走路时是否有踩棉花或漂浮的感觉？</w:t>
            </w:r>
          </w:p>
        </w:tc>
        <w:tc>
          <w:tcPr>
            <w:tcW w:w="2880" w:type="dxa"/>
          </w:tcPr>
          <w:p w14:paraId="5D475904">
            <w:r>
              <w:t>(程度分级)</w:t>
            </w:r>
          </w:p>
        </w:tc>
      </w:tr>
      <w:tr w14:paraId="08596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E245FF">
            <w:r>
              <w:t>记忆力下降</w:t>
            </w:r>
            <w:r>
              <w:br w:type="textWrapping"/>
            </w:r>
            <w:r>
              <w:br w:type="textWrapping"/>
            </w:r>
            <w:r>
              <w:t>(Memory)</w:t>
            </w:r>
          </w:p>
        </w:tc>
        <w:tc>
          <w:tcPr>
            <w:tcW w:w="2880" w:type="dxa"/>
          </w:tcPr>
          <w:p w14:paraId="23B274AF">
            <w:r>
              <w:t>在过去7天内，您觉得记忆力变差了吗？</w:t>
            </w:r>
          </w:p>
        </w:tc>
        <w:tc>
          <w:tcPr>
            <w:tcW w:w="2880" w:type="dxa"/>
          </w:tcPr>
          <w:p w14:paraId="36AC5BA7">
            <w:r>
              <w:t>(频率分级)</w:t>
            </w:r>
          </w:p>
        </w:tc>
      </w:tr>
      <w:tr w14:paraId="35E80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33D0F0">
            <w:r>
              <w:t xml:space="preserve">头痛 </w:t>
            </w:r>
            <w:r>
              <w:br w:type="textWrapping"/>
            </w:r>
            <w:r>
              <w:br w:type="textWrapping"/>
            </w:r>
            <w:r>
              <w:t>(Headache)</w:t>
            </w:r>
          </w:p>
        </w:tc>
        <w:tc>
          <w:tcPr>
            <w:tcW w:w="2880" w:type="dxa"/>
          </w:tcPr>
          <w:p w14:paraId="2193D637">
            <w:r>
              <w:t>Q_Head_a [程度]: 过去7天内，头痛最严重时是几分？</w:t>
            </w:r>
            <w:r>
              <w:br w:type="textWrapping"/>
            </w:r>
            <w:r>
              <w:br w:type="textWrapping"/>
            </w:r>
            <w:r>
              <w:t>Q_Head_b [干扰]: 头痛发作时，您需要卧床休息吗？</w:t>
            </w:r>
          </w:p>
        </w:tc>
        <w:tc>
          <w:tcPr>
            <w:tcW w:w="2880" w:type="dxa"/>
          </w:tcPr>
          <w:p w14:paraId="23554B5B">
            <w:r>
              <w:t>Q_Head_a: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Q_Head_b:</w:t>
            </w:r>
            <w:r>
              <w:br w:type="textWrapping"/>
            </w:r>
            <w:r>
              <w:br w:type="textWrapping"/>
            </w:r>
            <w:r>
              <w:t>• 不需要 (能坚持活动)</w:t>
            </w:r>
            <w:r>
              <w:br w:type="textWrapping"/>
            </w:r>
            <w:r>
              <w:br w:type="textWrapping"/>
            </w:r>
            <w:r>
              <w:t>• 需要休息一会 (能缓解)</w:t>
            </w:r>
            <w:r>
              <w:br w:type="textWrapping"/>
            </w:r>
            <w:r>
              <w:br w:type="textWrapping"/>
            </w:r>
            <w:r>
              <w:t>• 必须卧床 (完全无法活动)</w:t>
            </w:r>
          </w:p>
        </w:tc>
      </w:tr>
      <w:tr w14:paraId="7915F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6288D9">
            <w:r>
              <w:t>失眠</w:t>
            </w:r>
            <w:r>
              <w:br w:type="textWrapping"/>
            </w:r>
            <w:r>
              <w:br w:type="textWrapping"/>
            </w:r>
            <w:r>
              <w:t>(Insomnia)</w:t>
            </w:r>
          </w:p>
        </w:tc>
        <w:tc>
          <w:tcPr>
            <w:tcW w:w="2880" w:type="dxa"/>
          </w:tcPr>
          <w:p w14:paraId="3254D48E">
            <w:r>
              <w:t>在过去7天内，失眠对您的生活质量有多大影响？</w:t>
            </w:r>
          </w:p>
        </w:tc>
        <w:tc>
          <w:tcPr>
            <w:tcW w:w="2880" w:type="dxa"/>
          </w:tcPr>
          <w:p w14:paraId="7D875A47">
            <w:r>
              <w:t>(程度分级)</w:t>
            </w:r>
          </w:p>
        </w:tc>
      </w:tr>
      <w:tr w14:paraId="6E690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FB055">
            <w:r>
              <w:t>抑郁</w:t>
            </w:r>
            <w:r>
              <w:br w:type="textWrapping"/>
            </w:r>
            <w:r>
              <w:br w:type="textWrapping"/>
            </w:r>
            <w:r>
              <w:t>(Depression)</w:t>
            </w:r>
          </w:p>
        </w:tc>
        <w:tc>
          <w:tcPr>
            <w:tcW w:w="2880" w:type="dxa"/>
          </w:tcPr>
          <w:p w14:paraId="0B51296B">
            <w:r>
              <w:t>在过去7天内，您感到情绪低落或抑郁吗？</w:t>
            </w:r>
          </w:p>
        </w:tc>
        <w:tc>
          <w:tcPr>
            <w:tcW w:w="2880" w:type="dxa"/>
          </w:tcPr>
          <w:p w14:paraId="66E347D5">
            <w:r>
              <w:t>(存在/严重程度)</w:t>
            </w:r>
          </w:p>
        </w:tc>
      </w:tr>
      <w:tr w14:paraId="5839A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90573">
            <w:r>
              <w:t>焦虑</w:t>
            </w:r>
            <w:r>
              <w:br w:type="textWrapping"/>
            </w:r>
            <w:r>
              <w:br w:type="textWrapping"/>
            </w:r>
            <w:r>
              <w:t>(Anxiety)</w:t>
            </w:r>
          </w:p>
        </w:tc>
        <w:tc>
          <w:tcPr>
            <w:tcW w:w="2880" w:type="dxa"/>
          </w:tcPr>
          <w:p w14:paraId="5E21EA25">
            <w:r>
              <w:t>在过去7天内，您感到焦虑或心烦意乱吗？</w:t>
            </w:r>
          </w:p>
        </w:tc>
        <w:tc>
          <w:tcPr>
            <w:tcW w:w="2880" w:type="dxa"/>
          </w:tcPr>
          <w:p w14:paraId="5E23283E">
            <w:r>
              <w:t>(存在/严重程度)</w:t>
            </w:r>
          </w:p>
        </w:tc>
      </w:tr>
      <w:tr w14:paraId="1BF35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ADC79D">
            <w:r>
              <w:t>癫痫/抽搐</w:t>
            </w:r>
            <w:r>
              <w:br w:type="textWrapping"/>
            </w:r>
            <w:r>
              <w:br w:type="textWrapping"/>
            </w:r>
            <w:r>
              <w:t>(Seizure)</w:t>
            </w:r>
          </w:p>
        </w:tc>
        <w:tc>
          <w:tcPr>
            <w:tcW w:w="2880" w:type="dxa"/>
          </w:tcPr>
          <w:p w14:paraId="3FC787D8">
            <w:r>
              <w:t>在过去7天内，您是否发生过抽搐或癫痫发作？</w:t>
            </w:r>
          </w:p>
        </w:tc>
        <w:tc>
          <w:tcPr>
            <w:tcW w:w="2880" w:type="dxa"/>
          </w:tcPr>
          <w:p w14:paraId="066AD3C8">
            <w:r>
              <w:t>• 是</w:t>
            </w:r>
            <w:r>
              <w:br w:type="textWrapping"/>
            </w:r>
            <w:r>
              <w:br w:type="textWrapping"/>
            </w:r>
            <w:r>
              <w:t>• 否</w:t>
            </w:r>
          </w:p>
        </w:tc>
      </w:tr>
    </w:tbl>
    <w:p w14:paraId="3EABAFFD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/>
          <w:bdr w:val="none" w:sz="0" w:space="0"/>
        </w:rPr>
      </w:pPr>
      <w:r>
        <w:t>肌肉骨骼系统（Musculoskeletal）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F889A5">
        <w:tc>
          <w:tcPr>
            <w:tcW w:w="2880" w:type="dxa"/>
          </w:tcPr>
          <w:p w14:paraId="5FCC51B5">
            <w:r>
              <w:t>症状维度</w:t>
            </w:r>
          </w:p>
        </w:tc>
        <w:tc>
          <w:tcPr>
            <w:tcW w:w="2880" w:type="dxa"/>
          </w:tcPr>
          <w:p w14:paraId="0B30BB4B">
            <w:r>
              <w:t>评估问题（题干）</w:t>
            </w:r>
          </w:p>
        </w:tc>
        <w:tc>
          <w:tcPr>
            <w:tcW w:w="2880" w:type="dxa"/>
          </w:tcPr>
          <w:p w14:paraId="75D10538">
            <w:r>
              <w:t>响应选项/编码（要点）</w:t>
            </w:r>
          </w:p>
        </w:tc>
      </w:tr>
      <w:tr w14:paraId="73695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595FAC">
            <w:r>
              <w:t xml:space="preserve">肌肉疼痛 </w:t>
            </w:r>
            <w:r>
              <w:br w:type="textWrapping"/>
            </w:r>
            <w:r>
              <w:br w:type="textWrapping"/>
            </w:r>
            <w:r>
              <w:t>(Muscle Pain)</w:t>
            </w:r>
          </w:p>
        </w:tc>
        <w:tc>
          <w:tcPr>
            <w:tcW w:w="2880" w:type="dxa"/>
          </w:tcPr>
          <w:p w14:paraId="6756B140">
            <w:r>
              <w:t>Q_Mus_a [程度]: 过去7天内，肌肉酸痛最严重时是几分？</w:t>
            </w:r>
            <w:r>
              <w:br w:type="textWrapping"/>
            </w:r>
            <w:r>
              <w:br w:type="textWrapping"/>
            </w:r>
            <w:r>
              <w:t>Q_Mus_b [干扰]: 肌肉疼痛是否限制了您的日常活动（走路、穿衣等）？</w:t>
            </w:r>
            <w:r>
              <w:br w:type="textWrapping"/>
            </w:r>
            <w:r>
              <w:br w:type="textWrapping"/>
            </w:r>
            <w:r>
              <w:t>Q_Mus_c [体征]: 按压肌肉时，会感到明显疼痛吗？</w:t>
            </w:r>
          </w:p>
        </w:tc>
        <w:tc>
          <w:tcPr>
            <w:tcW w:w="2880" w:type="dxa"/>
          </w:tcPr>
          <w:p w14:paraId="6D45E73C">
            <w:r>
              <w:t>Q_Mus_a: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Q_Mus_b:</w:t>
            </w:r>
            <w:r>
              <w:br w:type="textWrapping"/>
            </w:r>
            <w:r>
              <w:br w:type="textWrapping"/>
            </w:r>
            <w:r>
              <w:t>• 没有限制</w:t>
            </w:r>
            <w:r>
              <w:br w:type="textWrapping"/>
            </w:r>
            <w:r>
              <w:br w:type="textWrapping"/>
            </w:r>
            <w:r>
              <w:t>• 有限制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Q_Mus_c:</w:t>
            </w:r>
            <w:r>
              <w:br w:type="textWrapping"/>
            </w:r>
            <w:r>
              <w:br w:type="textWrapping"/>
            </w:r>
            <w:r>
              <w:t>• 不会</w:t>
            </w:r>
            <w:r>
              <w:br w:type="textWrapping"/>
            </w:r>
            <w:r>
              <w:br w:type="textWrapping"/>
            </w:r>
            <w:r>
              <w:t>• 会 (提示肌炎/横纹肌溶解风险)</w:t>
            </w:r>
          </w:p>
        </w:tc>
      </w:tr>
      <w:tr w14:paraId="56827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D3456">
            <w:r>
              <w:t xml:space="preserve">关节疼痛 </w:t>
            </w:r>
            <w:r>
              <w:br w:type="textWrapping"/>
            </w:r>
            <w:r>
              <w:br w:type="textWrapping"/>
            </w:r>
            <w:r>
              <w:t>(Joint Pain)</w:t>
            </w:r>
          </w:p>
        </w:tc>
        <w:tc>
          <w:tcPr>
            <w:tcW w:w="2880" w:type="dxa"/>
          </w:tcPr>
          <w:p w14:paraId="154A99A8">
            <w:r>
              <w:t>Q_Joint_a [程度]: 过去7天内，关节疼痛最严重时是几分？</w:t>
            </w:r>
            <w:r>
              <w:br w:type="textWrapping"/>
            </w:r>
            <w:r>
              <w:br w:type="textWrapping"/>
            </w:r>
            <w:r>
              <w:t>Q_Joint_b [干预]: 您是否因为关节痛服用了止痛药？</w:t>
            </w:r>
            <w:r>
              <w:br w:type="textWrapping"/>
            </w:r>
            <w:r>
              <w:br w:type="textWrapping"/>
            </w:r>
            <w:r>
              <w:t>Q_Joint_c [干扰]: 关节痛是否影响了您的关节活动（如无法下蹲/握拳）？</w:t>
            </w:r>
          </w:p>
        </w:tc>
        <w:tc>
          <w:tcPr>
            <w:tcW w:w="2880" w:type="dxa"/>
          </w:tcPr>
          <w:p w14:paraId="23AC5D84">
            <w:r>
              <w:t>Q_Joint_a: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Q_Joint_b:</w:t>
            </w:r>
            <w:r>
              <w:br w:type="textWrapping"/>
            </w:r>
            <w:r>
              <w:br w:type="textWrapping"/>
            </w:r>
            <w:r>
              <w:t>• 没有</w:t>
            </w:r>
            <w:r>
              <w:br w:type="textWrapping"/>
            </w:r>
            <w:r>
              <w:br w:type="textWrapping"/>
            </w:r>
            <w:r>
              <w:t>• 是 (提示症状负担重)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Q_Joint_c:</w:t>
            </w:r>
            <w:r>
              <w:br w:type="textWrapping"/>
            </w:r>
            <w:r>
              <w:br w:type="textWrapping"/>
            </w:r>
            <w:r>
              <w:t>• 没有影响</w:t>
            </w:r>
            <w:r>
              <w:br w:type="textWrapping"/>
            </w:r>
            <w:r>
              <w:br w:type="textWrapping"/>
            </w:r>
            <w:r>
              <w:t>• 有，活动受限</w:t>
            </w:r>
          </w:p>
        </w:tc>
      </w:tr>
      <w:tr w14:paraId="68A6A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1998B">
            <w:r>
              <w:t xml:space="preserve">脚后跟疼痛 </w:t>
            </w:r>
            <w:r>
              <w:br w:type="textWrapping"/>
            </w:r>
            <w:r>
              <w:br w:type="textWrapping"/>
            </w:r>
            <w:r>
              <w:t>(Heel Pain)</w:t>
            </w:r>
          </w:p>
        </w:tc>
        <w:tc>
          <w:tcPr>
            <w:tcW w:w="2880" w:type="dxa"/>
          </w:tcPr>
          <w:p w14:paraId="75173C71">
            <w:r>
              <w:t>Q_Heel_a [部位]: 请确认疼痛的具体位置。</w:t>
            </w:r>
            <w:r>
              <w:br w:type="textWrapping"/>
            </w:r>
            <w:r>
              <w:br w:type="textWrapping"/>
            </w:r>
            <w:r>
              <w:t>Q_Heel_b [程度]: 走路或站立时，脚后跟疼痛是几分？</w:t>
            </w:r>
          </w:p>
        </w:tc>
        <w:tc>
          <w:tcPr>
            <w:tcW w:w="2880" w:type="dxa"/>
          </w:tcPr>
          <w:p w14:paraId="13DFD1A5">
            <w:r>
              <w:t>Q_Heel_a:</w:t>
            </w:r>
            <w:r>
              <w:br w:type="textWrapping"/>
            </w:r>
            <w:r>
              <w:br w:type="textWrapping"/>
            </w:r>
            <w:r>
              <w:t>• 仅脚底</w:t>
            </w:r>
            <w:r>
              <w:br w:type="textWrapping"/>
            </w:r>
            <w:r>
              <w:br w:type="textWrapping"/>
            </w:r>
            <w:r>
              <w:t>• 脚后跟上方/跟腱位置 (高危)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Q_Heel_b: NRS-11 (0-10分)</w:t>
            </w:r>
          </w:p>
        </w:tc>
      </w:tr>
    </w:tbl>
    <w:p w14:paraId="0E3B22D5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/>
          <w:bdr w:val="none" w:sz="0" w:space="0"/>
        </w:rPr>
      </w:pPr>
      <w:r>
        <w:t>消化系统（Gastrointestinal）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BD7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3DB5F">
            <w:r>
              <w:t>症状维度</w:t>
            </w:r>
          </w:p>
        </w:tc>
        <w:tc>
          <w:tcPr>
            <w:tcW w:w="2880" w:type="dxa"/>
          </w:tcPr>
          <w:p w14:paraId="7D80C6C4">
            <w:r>
              <w:t>评估问题（题干）</w:t>
            </w:r>
          </w:p>
        </w:tc>
        <w:tc>
          <w:tcPr>
            <w:tcW w:w="2880" w:type="dxa"/>
          </w:tcPr>
          <w:p w14:paraId="68C7BC86">
            <w:r>
              <w:t>响应选项/编码（要点）</w:t>
            </w:r>
          </w:p>
        </w:tc>
      </w:tr>
      <w:tr w14:paraId="3D992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A5678">
            <w:r>
              <w:t>恶心 (Nausea)</w:t>
            </w:r>
          </w:p>
        </w:tc>
        <w:tc>
          <w:tcPr>
            <w:tcW w:w="2880" w:type="dxa"/>
          </w:tcPr>
          <w:p w14:paraId="1E17B182">
            <w:r>
              <w:t>在过去7天内，您多久感到恶心一次？</w:t>
            </w:r>
          </w:p>
        </w:tc>
        <w:tc>
          <w:tcPr>
            <w:tcW w:w="2880" w:type="dxa"/>
          </w:tcPr>
          <w:p w14:paraId="7802B8A7">
            <w:r>
              <w:t>(频率分级)</w:t>
            </w:r>
          </w:p>
        </w:tc>
      </w:tr>
      <w:tr w14:paraId="740D9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9F55C">
            <w:r>
              <w:t>呕吐 (Vomiting)</w:t>
            </w:r>
          </w:p>
        </w:tc>
        <w:tc>
          <w:tcPr>
            <w:tcW w:w="2880" w:type="dxa"/>
          </w:tcPr>
          <w:p w14:paraId="2E276925">
            <w:r>
              <w:t>在过去7天内，您呕吐了多少次？</w:t>
            </w:r>
          </w:p>
        </w:tc>
        <w:tc>
          <w:tcPr>
            <w:tcW w:w="2880" w:type="dxa"/>
          </w:tcPr>
          <w:p w14:paraId="13891304">
            <w:r>
              <w:t>(频率分级)</w:t>
            </w:r>
          </w:p>
        </w:tc>
      </w:tr>
      <w:tr w14:paraId="5C8EA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AC695D">
            <w:r>
              <w:t>腹泻 (Diarrhea)</w:t>
            </w:r>
          </w:p>
        </w:tc>
        <w:tc>
          <w:tcPr>
            <w:tcW w:w="2880" w:type="dxa"/>
          </w:tcPr>
          <w:p w14:paraId="535C0E1D">
            <w:r>
              <w:t>在过去7天内，您腹泻（拉肚子）的频率如何？</w:t>
            </w:r>
          </w:p>
        </w:tc>
        <w:tc>
          <w:tcPr>
            <w:tcW w:w="2880" w:type="dxa"/>
          </w:tcPr>
          <w:p w14:paraId="0DF10E7F">
            <w:r>
              <w:t>(频率分级)</w:t>
            </w:r>
          </w:p>
        </w:tc>
      </w:tr>
    </w:tbl>
    <w:p w14:paraId="1EC045E5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/>
          <w:bdr w:val="none" w:sz="0" w:space="0"/>
        </w:rPr>
      </w:pPr>
      <w:r>
        <w:t>皮肤与循环系统（Skin &amp; Circulatory）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D13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537D77">
            <w:r>
              <w:t>症状维度</w:t>
            </w:r>
          </w:p>
        </w:tc>
        <w:tc>
          <w:tcPr>
            <w:tcW w:w="2880" w:type="dxa"/>
          </w:tcPr>
          <w:p w14:paraId="6DA7A0A8">
            <w:r>
              <w:t>评估问题（题干）</w:t>
            </w:r>
          </w:p>
        </w:tc>
        <w:tc>
          <w:tcPr>
            <w:tcW w:w="2880" w:type="dxa"/>
          </w:tcPr>
          <w:p w14:paraId="66382080">
            <w:r>
              <w:t>响应选项/编码（要点）</w:t>
            </w:r>
          </w:p>
        </w:tc>
      </w:tr>
      <w:tr w14:paraId="345CE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41102C">
            <w:r>
              <w:t>皮肤颜色变化</w:t>
            </w:r>
            <w:r>
              <w:br w:type="textWrapping"/>
            </w:r>
            <w:r>
              <w:br w:type="textWrapping"/>
            </w:r>
            <w:r>
              <w:t>(Discoloration)</w:t>
            </w:r>
          </w:p>
        </w:tc>
        <w:tc>
          <w:tcPr>
            <w:tcW w:w="2880" w:type="dxa"/>
          </w:tcPr>
          <w:p w14:paraId="3C834D6E">
            <w:r>
              <w:t>在过去7天内，您是否发现皮肤颜色变红或变黑？</w:t>
            </w:r>
          </w:p>
        </w:tc>
        <w:tc>
          <w:tcPr>
            <w:tcW w:w="2880" w:type="dxa"/>
          </w:tcPr>
          <w:p w14:paraId="02975990">
            <w:r>
              <w:t>• 是</w:t>
            </w:r>
            <w:r>
              <w:br w:type="textWrapping"/>
            </w:r>
            <w:r>
              <w:br w:type="textWrapping"/>
            </w:r>
            <w:r>
              <w:t>• 否</w:t>
            </w:r>
          </w:p>
        </w:tc>
      </w:tr>
      <w:tr w14:paraId="5412D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C8B58">
            <w:r>
              <w:t>皮疹</w:t>
            </w:r>
            <w:r>
              <w:br w:type="textWrapping"/>
            </w:r>
            <w:r>
              <w:br w:type="textWrapping"/>
            </w:r>
            <w:r>
              <w:t>(Rash)</w:t>
            </w:r>
          </w:p>
        </w:tc>
        <w:tc>
          <w:tcPr>
            <w:tcW w:w="2880" w:type="dxa"/>
          </w:tcPr>
          <w:p w14:paraId="777B6F3D">
            <w:r>
              <w:t>在过去7天内，您身上有起皮疹吗？</w:t>
            </w:r>
          </w:p>
        </w:tc>
        <w:tc>
          <w:tcPr>
            <w:tcW w:w="2880" w:type="dxa"/>
          </w:tcPr>
          <w:p w14:paraId="0B52465A">
            <w:r>
              <w:t>• 有</w:t>
            </w:r>
            <w:r>
              <w:br w:type="textWrapping"/>
            </w:r>
            <w:r>
              <w:br w:type="textWrapping"/>
            </w:r>
            <w:r>
              <w:t>• 无</w:t>
            </w:r>
          </w:p>
        </w:tc>
      </w:tr>
      <w:tr w14:paraId="73D69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5744D">
            <w:r>
              <w:t>心慌/心悸</w:t>
            </w:r>
            <w:r>
              <w:br w:type="textWrapping"/>
            </w:r>
            <w:r>
              <w:br w:type="textWrapping"/>
            </w:r>
            <w:r>
              <w:t>(Palpitations)</w:t>
            </w:r>
          </w:p>
        </w:tc>
        <w:tc>
          <w:tcPr>
            <w:tcW w:w="2880" w:type="dxa"/>
          </w:tcPr>
          <w:p w14:paraId="79C970DE">
            <w:r>
              <w:t>在过去7天内，您在什么活动量下会感到心慌？</w:t>
            </w:r>
          </w:p>
        </w:tc>
        <w:tc>
          <w:tcPr>
            <w:tcW w:w="2880" w:type="dxa"/>
          </w:tcPr>
          <w:p w14:paraId="64D6470D">
            <w:r>
              <w:t>• 无</w:t>
            </w:r>
            <w:r>
              <w:br w:type="textWrapping"/>
            </w:r>
            <w:r>
              <w:br w:type="textWrapping"/>
            </w:r>
            <w:r>
              <w:t>• 一般活动时</w:t>
            </w:r>
            <w:r>
              <w:br w:type="textWrapping"/>
            </w:r>
            <w:r>
              <w:br w:type="textWrapping"/>
            </w:r>
            <w:r>
              <w:t>• 轻微活动时</w:t>
            </w:r>
            <w:r>
              <w:br w:type="textWrapping"/>
            </w:r>
            <w:r>
              <w:br w:type="textWrapping"/>
            </w:r>
            <w:r>
              <w:t>• 休息时</w:t>
            </w:r>
          </w:p>
        </w:tc>
      </w:tr>
    </w:tbl>
    <w:p w14:paraId="08B92E1A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EDC跳转逻辑与后台建议（EDC Implementation）</w:t>
      </w:r>
    </w:p>
    <w:p w14:paraId="377CCC59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/>
          <w:bdr w:val="none" w:sz="0" w:space="0"/>
        </w:rPr>
      </w:pPr>
      <w:r>
        <w:t>分区与命名</w:t>
      </w:r>
    </w:p>
    <w:p w14:paraId="79E272D8">
      <w:pPr>
        <w:pStyle w:val="19"/>
        <w:widowControl/>
      </w:pPr>
      <w:r>
        <w:t>必须在EDC中将第一部分（疗效症状）与第二部分（不良反应）分为两个独立表单/分区，数据导出时保留分区标识字段。</w:t>
      </w:r>
    </w:p>
    <w:p w14:paraId="18AEF76A">
      <w:pPr>
        <w:pStyle w:val="19"/>
        <w:widowControl/>
      </w:pPr>
      <w:r>
        <w:t>建议变量命名：以问题ID作为后缀（如Q1a、Q_Head_a、Q_Mus_a等），并增加“Part”字段（Efficacy vs Safety）。</w:t>
      </w:r>
    </w:p>
    <w:p w14:paraId="0FF241CA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/>
          <w:bdr w:val="none" w:sz="0" w:space="0"/>
        </w:rPr>
      </w:pPr>
      <w:r>
        <w:t>跳转逻辑（推荐）</w:t>
      </w:r>
    </w:p>
    <w:p w14:paraId="03C4A565">
      <w:pPr>
        <w:pStyle w:val="19"/>
        <w:widowControl/>
      </w:pPr>
      <w:r>
        <w:t>疼痛NRS条目（胸痛、头痛、肌肉痛、关节痛、脚后跟疼痛）：若NRS=0，可跳过后续干扰/用药/体征问题；若NRS≥1，显示对应的干扰/用药/体征子问题。</w:t>
      </w:r>
    </w:p>
    <w:p w14:paraId="4405FC72">
      <w:pPr>
        <w:pStyle w:val="19"/>
        <w:widowControl/>
      </w:pPr>
      <w:r>
        <w:t>二元题（如‘皮疹’‘皮肤颜色变化’‘癫痫/抽搐’）：若为“否”，不再展开；若为“是”，可按中心需要增加补充字段（发生时间/是否就医等），但不得改变核心条目。</w:t>
      </w:r>
    </w:p>
    <w:p w14:paraId="72101270">
      <w:pPr>
        <w:pStyle w:val="19"/>
        <w:widowControl/>
      </w:pPr>
      <w:r>
        <w:t>‘手脚麻木’范围题：选择“无”即视为该窗口阴性；其他选项直接作为分层严重程度提示。</w:t>
      </w:r>
    </w:p>
    <w:p w14:paraId="41D9DBE2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/>
          <w:bdr w:val="none" w:sz="0" w:space="0"/>
        </w:rPr>
      </w:pPr>
      <w:r>
        <w:t>自动提示与对账接口</w:t>
      </w:r>
    </w:p>
    <w:p w14:paraId="6B9654C3">
      <w:pPr>
        <w:pStyle w:val="19"/>
        <w:widowControl/>
      </w:pPr>
      <w:r>
        <w:t>ePRO提交后必须自动写入EDC且不可修改，保留时间戳与审计追踪。</w:t>
      </w:r>
    </w:p>
    <w:p w14:paraId="1DCE38B5">
      <w:pPr>
        <w:pStyle w:val="19"/>
        <w:widowControl/>
      </w:pPr>
      <w:r>
        <w:t>系统需生成“红旗/警示”字段（例如：严重/很严重、干扰相当多/非常多、抽搐为“是”、视力下降明显、心慌在休息时出现、肌肉压痛提示肌炎风险等），用于触发SOP06规定的24小时内随访/复评与PRO–AE对账；临床分级与处理按SOP06/10执行。</w:t>
      </w:r>
    </w:p>
    <w:p w14:paraId="58D6266B">
      <w:pPr>
        <w:pStyle w:val="19"/>
        <w:widowControl/>
      </w:pPr>
      <w:r>
        <w:t>系统需生成PRO–AE对账报表所需字段：受试者ID、访视窗口、条目、评分、红旗标记、提交时间等（详见SOP06）。</w:t>
      </w:r>
    </w:p>
    <w:p w14:paraId="475976B1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疼痛NRS与DAIDS分级的逻辑映射参考（后台辅助）</w:t>
      </w:r>
    </w:p>
    <w:p w14:paraId="7B2CF24E">
      <w:pPr>
        <w:pStyle w:val="19"/>
        <w:widowControl/>
      </w:pPr>
      <w:r>
        <w:t>针对本量表中修订后的“疼痛/干扰”条目，建议在后台设置以下自动逻辑以辅助研究者分级与处置优先级判断：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BFA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D0D772">
            <w:r>
              <w:t>患者自评分数（PRO Score）</w:t>
            </w:r>
          </w:p>
        </w:tc>
        <w:tc>
          <w:tcPr>
            <w:tcW w:w="2160" w:type="dxa"/>
          </w:tcPr>
          <w:p w14:paraId="2C8439F4">
            <w:r>
              <w:t>临床特征（Clinical Context）</w:t>
            </w:r>
          </w:p>
        </w:tc>
        <w:tc>
          <w:tcPr>
            <w:tcW w:w="2160" w:type="dxa"/>
          </w:tcPr>
          <w:p w14:paraId="6F827F78">
            <w:r>
              <w:t>EDC建议动作（Suggested Action）</w:t>
            </w:r>
          </w:p>
        </w:tc>
        <w:tc>
          <w:tcPr>
            <w:tcW w:w="2160" w:type="dxa"/>
          </w:tcPr>
          <w:p w14:paraId="41AB0254">
            <w:r>
              <w:t>预估DAIDS分级参考</w:t>
            </w:r>
          </w:p>
        </w:tc>
      </w:tr>
      <w:tr w14:paraId="0B995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266C3C">
            <w:r>
              <w:t>0 分</w:t>
            </w:r>
          </w:p>
        </w:tc>
        <w:tc>
          <w:tcPr>
            <w:tcW w:w="2160" w:type="dxa"/>
          </w:tcPr>
          <w:p w14:paraId="692CA2A9">
            <w:r>
              <w:t>-</w:t>
            </w:r>
          </w:p>
        </w:tc>
        <w:tc>
          <w:tcPr>
            <w:tcW w:w="2160" w:type="dxa"/>
          </w:tcPr>
          <w:p w14:paraId="698D4F4C">
            <w:r>
              <w:t>无需处理</w:t>
            </w:r>
          </w:p>
        </w:tc>
        <w:tc>
          <w:tcPr>
            <w:tcW w:w="2160" w:type="dxa"/>
          </w:tcPr>
          <w:p w14:paraId="03EC3F84">
            <w:r>
              <w:t>不适用</w:t>
            </w:r>
          </w:p>
        </w:tc>
      </w:tr>
      <w:tr w14:paraId="0AE84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906F98">
            <w:r>
              <w:t>1 – 3 分</w:t>
            </w:r>
          </w:p>
        </w:tc>
        <w:tc>
          <w:tcPr>
            <w:tcW w:w="2160" w:type="dxa"/>
          </w:tcPr>
          <w:p w14:paraId="2FC485B0">
            <w:r>
              <w:t>且无明显功能干扰，且未使用止痛药</w:t>
            </w:r>
          </w:p>
        </w:tc>
        <w:tc>
          <w:tcPr>
            <w:tcW w:w="2160" w:type="dxa"/>
          </w:tcPr>
          <w:p w14:paraId="610D1B9A">
            <w:r>
              <w:t>常规随访</w:t>
            </w:r>
          </w:p>
        </w:tc>
        <w:tc>
          <w:tcPr>
            <w:tcW w:w="2160" w:type="dxa"/>
          </w:tcPr>
          <w:p w14:paraId="0494DC60">
            <w:r>
              <w:t>Grade 1 (轻度)</w:t>
            </w:r>
          </w:p>
        </w:tc>
      </w:tr>
      <w:tr w14:paraId="3CCAD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51AC9F">
            <w:r>
              <w:t>4 – 6 分</w:t>
            </w:r>
          </w:p>
        </w:tc>
        <w:tc>
          <w:tcPr>
            <w:tcW w:w="2160" w:type="dxa"/>
          </w:tcPr>
          <w:p w14:paraId="7F738EB4">
            <w:r>
              <w:t>或 出现功能干扰</w:t>
            </w:r>
            <w:r>
              <w:br w:type="textWrapping"/>
            </w:r>
            <w:r>
              <w:br w:type="textWrapping"/>
            </w:r>
            <w:r>
              <w:t>或 使用非阿片类止痛药</w:t>
            </w:r>
          </w:p>
        </w:tc>
        <w:tc>
          <w:tcPr>
            <w:tcW w:w="2160" w:type="dxa"/>
          </w:tcPr>
          <w:p w14:paraId="3A187263">
            <w:r>
              <w:t>提示复核：评估对症治疗</w:t>
            </w:r>
          </w:p>
        </w:tc>
        <w:tc>
          <w:tcPr>
            <w:tcW w:w="2160" w:type="dxa"/>
          </w:tcPr>
          <w:p w14:paraId="71252C0F">
            <w:r>
              <w:t>Grade 2 (中度)</w:t>
            </w:r>
          </w:p>
        </w:tc>
      </w:tr>
      <w:tr w14:paraId="2CDA6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D87FBB">
            <w:r>
              <w:t>7 – 10 分</w:t>
            </w:r>
          </w:p>
        </w:tc>
        <w:tc>
          <w:tcPr>
            <w:tcW w:w="2160" w:type="dxa"/>
          </w:tcPr>
          <w:p w14:paraId="108C5C50">
            <w:r>
              <w:t>或 明显影响自理/需卧床</w:t>
            </w:r>
            <w:r>
              <w:br w:type="textWrapping"/>
            </w:r>
            <w:r>
              <w:br w:type="textWrapping"/>
            </w:r>
            <w:r>
              <w:t>或 使用阿片类药物/急诊</w:t>
            </w:r>
          </w:p>
        </w:tc>
        <w:tc>
          <w:tcPr>
            <w:tcW w:w="2160" w:type="dxa"/>
          </w:tcPr>
          <w:p w14:paraId="724B42DE">
            <w:r>
              <w:t>优先复核：评估停药/非计划访视</w:t>
            </w:r>
          </w:p>
        </w:tc>
        <w:tc>
          <w:tcPr>
            <w:tcW w:w="2160" w:type="dxa"/>
          </w:tcPr>
          <w:p w14:paraId="4B1A1B67">
            <w:r>
              <w:t>Grade 3 (重度) 或 SAE</w:t>
            </w:r>
          </w:p>
        </w:tc>
      </w:tr>
      <w:tr w14:paraId="0C967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026645">
            <w:r>
              <w:t>任何分数</w:t>
            </w:r>
          </w:p>
        </w:tc>
        <w:tc>
          <w:tcPr>
            <w:tcW w:w="2160" w:type="dxa"/>
          </w:tcPr>
          <w:p w14:paraId="3B23F6D6">
            <w:r>
              <w:t>伴随危险征象 (如呼吸困难、晕厥、神经缺损)</w:t>
            </w:r>
          </w:p>
        </w:tc>
        <w:tc>
          <w:tcPr>
            <w:tcW w:w="2160" w:type="dxa"/>
          </w:tcPr>
          <w:p w14:paraId="69DE9292">
            <w:r>
              <w:t>立即报警：按SAE流程处置</w:t>
            </w:r>
          </w:p>
        </w:tc>
        <w:tc>
          <w:tcPr>
            <w:tcW w:w="2160" w:type="dxa"/>
          </w:tcPr>
          <w:p w14:paraId="048FC6F9">
            <w:r>
              <w:t>Grade 4 或 SAE</w:t>
            </w:r>
          </w:p>
        </w:tc>
      </w:tr>
    </w:tbl>
    <w:p w14:paraId="52845276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输出数据结构（建议）</w:t>
      </w:r>
    </w:p>
    <w:p w14:paraId="6A086420">
      <w:pPr>
        <w:pStyle w:val="19"/>
        <w:widowControl/>
      </w:pPr>
      <w:r>
        <w:t>采用“长表（long format）”输出：每位受试者×每个访视窗口×每个条目一行，便于纵向分析与缺失处理。</w:t>
      </w:r>
    </w:p>
    <w:p w14:paraId="604C457F">
      <w:pPr>
        <w:pStyle w:val="19"/>
        <w:widowControl/>
      </w:pPr>
      <w:r>
        <w:t>同时输出“宽表（wide format）”视需要生成：用于中心端快速查看与临床工作流。</w:t>
      </w:r>
    </w:p>
    <w:p w14:paraId="5E18CDAA">
      <w:pPr>
        <w:pStyle w:val="19"/>
        <w:widowControl/>
      </w:pPr>
      <w:r>
        <w:t>不建议计算单一总分；分析以条目级指标（频率/程度/干扰）及其变化为主。若需要构建复合指标，应在SAP中预先定义。</w:t>
      </w:r>
    </w:p>
    <w:p w14:paraId="60CA3594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  <w:bdr w:val="none" w:sz="0" w:space="0"/>
        </w:rPr>
      </w:pPr>
      <w:r>
        <w:t>版本锁定与变更控制</w:t>
      </w:r>
    </w:p>
    <w:p w14:paraId="152BD36B">
      <w:pPr>
        <w:pStyle w:val="19"/>
        <w:widowControl/>
      </w:pPr>
      <w:r>
        <w:t>本量表作为核心测量工具，试验启动后原则上不得新增/删除条目或改写题干。任何变更必须走SOP00版本控制流程，并评估对既往数据可比性的影响。</w:t>
      </w:r>
    </w:p>
    <w:p w14:paraId="05CAE764">
      <w:pPr>
        <w:pStyle w:val="3"/>
        <w:widowControl/>
        <w:numPr>
          <w:ilvl w:val="0"/>
          <w:numId w:val="28"/>
        </w:numPr>
        <w:ind w:left="0" w:leftChars="0" w:firstLine="0" w:firstLineChars="0"/>
        <w:rPr>
          <w:b/>
          <w:bdr w:val="none" w:sz="0" w:space="0"/>
        </w:rPr>
      </w:pPr>
      <w:r>
        <w:t>使用说明（必须阅读）</w:t>
      </w:r>
    </w:p>
    <w:p w14:paraId="0ED37AD5">
      <w:pPr>
        <w:pStyle w:val="19"/>
        <w:widowControl/>
      </w:pPr>
      <w:r>
        <w:t>PRO-CTCAE®用于“症状信号”捕获；凡经临床复核认为构成AE者，须在AE eCRF中记录并按DAIDS分级（见SOP06）。</w:t>
      </w:r>
    </w:p>
    <w:p w14:paraId="026756D4">
      <w:pPr>
        <w:pStyle w:val="19"/>
        <w:widowControl/>
      </w:pPr>
      <w:r>
        <w:t>本表用于快速定位DAIDS关键阈值与处置要点；如与研究方案/药品说明书/DSMB要求不一致，以研究方案为准。</w:t>
      </w:r>
    </w:p>
    <w:p w14:paraId="23931E37">
      <w:pPr>
        <w:pStyle w:val="19"/>
        <w:widowControl/>
      </w:pPr>
      <w:r>
        <w:t>出现TDSC红线事件（如疑似DILI达到停药阈值、QTcF&gt;500 ms或较基线延长&gt;60 ms等）时，按方案立即停药并启动安全流程（见SOP06/SOP10）。</w:t>
      </w:r>
    </w:p>
    <w:p w14:paraId="7E9D5E54">
      <w:pPr>
        <w:pStyle w:val="19"/>
        <w:widowControl/>
      </w:pPr>
      <w:r>
        <w:t>任何SAE/IRE须在中心获知后24小时内启动初报流程；AESI建议24–72小时内初报；Grade≥3 AE建议72小时内录入/复核；一般AE建议3天内录入EDC（以研究方案/申办方要求为最高优先）。</w:t>
      </w:r>
    </w:p>
    <w:p w14:paraId="01368E67">
      <w:pPr>
        <w:pStyle w:val="3"/>
        <w:widowControl/>
        <w:numPr>
          <w:ilvl w:val="0"/>
          <w:numId w:val="28"/>
        </w:numPr>
        <w:ind w:left="0" w:leftChars="0" w:firstLine="0" w:firstLineChars="0"/>
        <w:rPr>
          <w:b/>
          <w:bdr w:val="none" w:sz="0" w:space="0"/>
        </w:rPr>
      </w:pPr>
      <w:r>
        <w:t>速查表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2141"/>
        <w:gridCol w:w="2410"/>
        <w:gridCol w:w="2185"/>
      </w:tblGrid>
      <w:tr w14:paraId="1F009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55951816">
            <w:r>
              <w:t>常见/重点AE（TDSC相关）</w:t>
            </w:r>
          </w:p>
        </w:tc>
        <w:tc>
          <w:tcPr>
            <w:tcW w:w="1208" w:type="pct"/>
          </w:tcPr>
          <w:p w14:paraId="4855DD92">
            <w:r>
              <w:t>DAIDS条目（快速定位）</w:t>
            </w:r>
          </w:p>
        </w:tc>
        <w:tc>
          <w:tcPr>
            <w:tcW w:w="1360" w:type="pct"/>
          </w:tcPr>
          <w:p w14:paraId="63E612D1">
            <w:r>
              <w:t>DAIDS分级要点（关键阈值/定义）</w:t>
            </w:r>
          </w:p>
        </w:tc>
        <w:tc>
          <w:tcPr>
            <w:tcW w:w="1233" w:type="pct"/>
          </w:tcPr>
          <w:p w14:paraId="5086C446">
            <w:r>
              <w:t>处置建议（与TDSC红线对齐）</w:t>
            </w:r>
          </w:p>
        </w:tc>
      </w:tr>
      <w:tr w14:paraId="0D163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2245C42F">
            <w:r>
              <w:t>ALT或SGPT升高（肝细胞损伤）</w:t>
            </w:r>
          </w:p>
        </w:tc>
        <w:tc>
          <w:tcPr>
            <w:tcW w:w="1208" w:type="pct"/>
          </w:tcPr>
          <w:p w14:paraId="1FFA8C9F">
            <w:r>
              <w:t>ALT or SGPT, High</w:t>
            </w:r>
          </w:p>
        </w:tc>
        <w:tc>
          <w:tcPr>
            <w:tcW w:w="1360" w:type="pct"/>
          </w:tcPr>
          <w:p w14:paraId="316F0055">
            <w:r>
              <w:t>G1：1.25–&lt;2.5×ULN；G2：2.5–&lt;5.0×ULN；G3：5.0–&lt;10.0×ULN；G4：≥10.0×ULN。</w:t>
            </w:r>
          </w:p>
        </w:tc>
        <w:tc>
          <w:tcPr>
            <w:tcW w:w="1233" w:type="pct"/>
          </w:tcPr>
          <w:p w14:paraId="7D989980">
            <w:r>
              <w:t>G1：教育+复查；G2：48–72h复查，评估合并用药/酒精/病毒性肝炎等；</w:t>
            </w:r>
            <w:r>
              <w:br w:type="textWrapping"/>
            </w:r>
            <w:r>
              <w:t>G3或伴症状/胆红素升高：暂停可疑肝毒药物，完善DILI评估（肝功全套、INR等），按TDSC流程处理/报告；</w:t>
            </w:r>
            <w:r>
              <w:br w:type="textWrapping"/>
            </w:r>
            <w:r>
              <w:t>G4：紧急处理，通常需住院与SAE评估。</w:t>
            </w:r>
          </w:p>
        </w:tc>
      </w:tr>
      <w:tr w14:paraId="359DC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416F23CB">
            <w:r>
              <w:t>AST或SGOT升高（肝细胞损伤）</w:t>
            </w:r>
          </w:p>
        </w:tc>
        <w:tc>
          <w:tcPr>
            <w:tcW w:w="1208" w:type="pct"/>
          </w:tcPr>
          <w:p w14:paraId="49DEE182">
            <w:r>
              <w:t>AST or SGOT, High</w:t>
            </w:r>
          </w:p>
        </w:tc>
        <w:tc>
          <w:tcPr>
            <w:tcW w:w="1360" w:type="pct"/>
          </w:tcPr>
          <w:p w14:paraId="06216871">
            <w:r>
              <w:t>G1：1.25–&lt;2.5×ULN；G2：2.5–&lt;5.0×ULN；G3：5.0–&lt;10.0×ULN；G4：≥10.0×ULN。</w:t>
            </w:r>
          </w:p>
        </w:tc>
        <w:tc>
          <w:tcPr>
            <w:tcW w:w="1233" w:type="pct"/>
          </w:tcPr>
          <w:p w14:paraId="0EFD4553">
            <w:r>
              <w:t>处置同ALT；注意肌损伤/溶血等鉴别（必要时同时看CK、LDH）。</w:t>
            </w:r>
          </w:p>
        </w:tc>
      </w:tr>
      <w:tr w14:paraId="4162B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7D8EBC58">
            <w:r>
              <w:t>总胆红素升高（黄疸/胆汁淤积/肝衰风险）</w:t>
            </w:r>
          </w:p>
        </w:tc>
        <w:tc>
          <w:tcPr>
            <w:tcW w:w="1208" w:type="pct"/>
          </w:tcPr>
          <w:p w14:paraId="2A2C7996">
            <w:r>
              <w:t>Total Bilirubin, High（&gt;28天）</w:t>
            </w:r>
          </w:p>
        </w:tc>
        <w:tc>
          <w:tcPr>
            <w:tcW w:w="1360" w:type="pct"/>
          </w:tcPr>
          <w:p w14:paraId="6E71FB93">
            <w:r>
              <w:t>G1：1.1–&lt;1.6×ULN；G2：1.6–&lt;2.6×ULN；G3：2.6–&lt;5.0×ULN；G4：≥5.0×ULN。</w:t>
            </w:r>
          </w:p>
        </w:tc>
        <w:tc>
          <w:tcPr>
            <w:tcW w:w="1233" w:type="pct"/>
          </w:tcPr>
          <w:p w14:paraId="01923E72">
            <w:r>
              <w:t>任何级别如伴黄疸/瘙痒/尿色加深：优先复核；</w:t>
            </w:r>
            <w:r>
              <w:br w:type="textWrapping"/>
            </w:r>
            <w:r>
              <w:t>G2及以上或与转氨酶同升：考虑DILI/胆道疾病，完善评估（ALP/GGT、INR、肝胆超声等）；</w:t>
            </w:r>
            <w:r>
              <w:br w:type="textWrapping"/>
            </w:r>
            <w:r>
              <w:t>G3–G4：通常需暂停肝毒药物并按SAE/AESI流程处理。</w:t>
            </w:r>
          </w:p>
        </w:tc>
      </w:tr>
      <w:tr w14:paraId="09C11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419C7096">
            <w:r>
              <w:t>血肌酐升高（肾损伤）</w:t>
            </w:r>
          </w:p>
        </w:tc>
        <w:tc>
          <w:tcPr>
            <w:tcW w:w="1208" w:type="pct"/>
          </w:tcPr>
          <w:p w14:paraId="279E9DDF">
            <w:r>
              <w:t>Creatinine, High</w:t>
            </w:r>
          </w:p>
        </w:tc>
        <w:tc>
          <w:tcPr>
            <w:tcW w:w="1360" w:type="pct"/>
          </w:tcPr>
          <w:p w14:paraId="0736730E">
            <w:r>
              <w:t>G1：1.1–1.3×ULN 或 1.3–&lt;1.5×基线；</w:t>
            </w:r>
            <w:r>
              <w:br w:type="textWrapping"/>
            </w:r>
            <w:r>
              <w:t>G2：&gt;1.3–1.8×ULN 或 1.5–&lt;2.0×基线；</w:t>
            </w:r>
            <w:r>
              <w:br w:type="textWrapping"/>
            </w:r>
            <w:r>
              <w:t>G3：&gt;1.8–&lt;3.5×ULN；G4：≥3.5×ULN 或 ≥2.0×基线。</w:t>
            </w:r>
          </w:p>
        </w:tc>
        <w:tc>
          <w:tcPr>
            <w:tcW w:w="1233" w:type="pct"/>
          </w:tcPr>
          <w:p w14:paraId="2010DC4C">
            <w:r>
              <w:t>复核水化状态/合并用药（NSAIDs等）；</w:t>
            </w:r>
            <w:r>
              <w:br w:type="textWrapping"/>
            </w:r>
            <w:r>
              <w:t>G2及以上：尽快复查Cr/eGFR、电解质；必要时调整合并用药与补液；</w:t>
            </w:r>
            <w:r>
              <w:br w:type="textWrapping"/>
            </w:r>
            <w:r>
              <w:t>G3–G4：急诊评估/肾内会诊，按SAE考虑。</w:t>
            </w:r>
          </w:p>
        </w:tc>
      </w:tr>
      <w:tr w14:paraId="7210F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745BEC95">
            <w:r>
              <w:t>低钾血症（QT风险因素）</w:t>
            </w:r>
          </w:p>
        </w:tc>
        <w:tc>
          <w:tcPr>
            <w:tcW w:w="1208" w:type="pct"/>
          </w:tcPr>
          <w:p w14:paraId="78850BF4">
            <w:r>
              <w:t>Potassium, Low</w:t>
            </w:r>
          </w:p>
        </w:tc>
        <w:tc>
          <w:tcPr>
            <w:tcW w:w="1360" w:type="pct"/>
          </w:tcPr>
          <w:p w14:paraId="2DB6C4C8">
            <w:r>
              <w:t>G1：3.0–&lt;3.4；G2：2.5–&lt;3.0；G3：2.0–&lt;2.5；G4：&lt;2.0 mmol/L。</w:t>
            </w:r>
          </w:p>
        </w:tc>
        <w:tc>
          <w:tcPr>
            <w:tcW w:w="1233" w:type="pct"/>
          </w:tcPr>
          <w:p w14:paraId="4C40A3FA">
            <w:r>
              <w:t>G1：口服补钾+复查；G2：优先补钾并查原因（腹泻/利尿剂等）；</w:t>
            </w:r>
            <w:r>
              <w:br w:type="textWrapping"/>
            </w:r>
            <w:r>
              <w:t>G3–G4或合并QT延长：紧急处理（静脉补钾、心电监护），评估暂停可疑致QT药物。</w:t>
            </w:r>
          </w:p>
        </w:tc>
      </w:tr>
      <w:tr w14:paraId="6578D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2C3EB682">
            <w:r>
              <w:t>低镁血症（QT风险因素）</w:t>
            </w:r>
          </w:p>
        </w:tc>
        <w:tc>
          <w:tcPr>
            <w:tcW w:w="1208" w:type="pct"/>
          </w:tcPr>
          <w:p w14:paraId="235A55EF">
            <w:r>
              <w:t>Magnesium, Low</w:t>
            </w:r>
          </w:p>
        </w:tc>
        <w:tc>
          <w:tcPr>
            <w:tcW w:w="1360" w:type="pct"/>
          </w:tcPr>
          <w:p w14:paraId="63B1F653">
            <w:r>
              <w:t>以mg/dL：G1 1.2–&lt;1.4；G2 0.9–&lt;1.2；G3 0.6–&lt;0.9；G4 &lt;0.6。</w:t>
            </w:r>
            <w:r>
              <w:br w:type="textWrapping"/>
            </w:r>
            <w:r>
              <w:t>换算mmol/L（×0.4114）：G1 0.49–&lt;0.58；G2 0.37–&lt;0.49；G3 0.25–&lt;0.37；G4 &lt;0.25。</w:t>
            </w:r>
          </w:p>
        </w:tc>
        <w:tc>
          <w:tcPr>
            <w:tcW w:w="1233" w:type="pct"/>
          </w:tcPr>
          <w:p w14:paraId="1D090C20">
            <w:r>
              <w:t>补镁（口服/静脉视严重度）；</w:t>
            </w:r>
            <w:r>
              <w:br w:type="textWrapping"/>
            </w:r>
            <w:r>
              <w:t>G2及以上建议与心电、钾同评估；若合并QT延长，按高优先级处置。</w:t>
            </w:r>
          </w:p>
        </w:tc>
      </w:tr>
      <w:tr w14:paraId="654B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2EC251BB">
            <w:r>
              <w:t>中性粒细胞减少</w:t>
            </w:r>
          </w:p>
        </w:tc>
        <w:tc>
          <w:tcPr>
            <w:tcW w:w="1208" w:type="pct"/>
          </w:tcPr>
          <w:p w14:paraId="07A30C18">
            <w:r>
              <w:t>Absolute Neutrophil Count (ANC), Low（&gt;7天龄）</w:t>
            </w:r>
          </w:p>
        </w:tc>
        <w:tc>
          <w:tcPr>
            <w:tcW w:w="1360" w:type="pct"/>
          </w:tcPr>
          <w:p w14:paraId="051208C5">
            <w:r>
              <w:t>G1：800–1,000；G2：600–799；G3：400–599；G4：&lt;400 /mm³。</w:t>
            </w:r>
          </w:p>
        </w:tc>
        <w:tc>
          <w:tcPr>
            <w:tcW w:w="1233" w:type="pct"/>
          </w:tcPr>
          <w:p w14:paraId="05B9F4BD">
            <w:r>
              <w:t>评估感染症状/用药；</w:t>
            </w:r>
            <w:r>
              <w:br w:type="textWrapping"/>
            </w:r>
            <w:r>
              <w:t>G3–G4或伴发热：立即复核并启动感染评估；必要时住院/SAE；</w:t>
            </w:r>
            <w:r>
              <w:br w:type="textWrapping"/>
            </w:r>
            <w:r>
              <w:t>对症与停药/调整按方案与临床判断。</w:t>
            </w:r>
          </w:p>
        </w:tc>
      </w:tr>
      <w:tr w14:paraId="763FA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7A0E83DB">
            <w:r>
              <w:t>贫血（血红蛋白降低）</w:t>
            </w:r>
          </w:p>
        </w:tc>
        <w:tc>
          <w:tcPr>
            <w:tcW w:w="1208" w:type="pct"/>
          </w:tcPr>
          <w:p w14:paraId="65F242F6">
            <w:r>
              <w:t>Hemoglobin, Low（≥13岁按主要性激素分层）</w:t>
            </w:r>
          </w:p>
        </w:tc>
        <w:tc>
          <w:tcPr>
            <w:tcW w:w="1360" w:type="pct"/>
          </w:tcPr>
          <w:p w14:paraId="2AD25A36">
            <w:r>
              <w:t>男性：G1 10.0–10.9；G2 9.0–&lt;10.0；G3 7.0–&lt;9.0；G4 &lt;7.0 g/dL。</w:t>
            </w:r>
            <w:r>
              <w:br w:type="textWrapping"/>
            </w:r>
            <w:r>
              <w:t>女性：G1 9.5–10.4；G2 8.5–&lt;9.5；G3 6.5–&lt;8.5；G4 &lt;6.5 g/dL。</w:t>
            </w:r>
          </w:p>
        </w:tc>
        <w:tc>
          <w:tcPr>
            <w:tcW w:w="1233" w:type="pct"/>
          </w:tcPr>
          <w:p w14:paraId="02055C06">
            <w:r>
              <w:t>查原因（出血/溶血/营养/慢病等）；</w:t>
            </w:r>
            <w:r>
              <w:br w:type="textWrapping"/>
            </w:r>
            <w:r>
              <w:t>G3–G4或有症状：加急评估（必要时输血/住院），按SAE考虑。</w:t>
            </w:r>
          </w:p>
        </w:tc>
      </w:tr>
      <w:tr w14:paraId="475D2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6562302E">
            <w:r>
              <w:t>血小板减少</w:t>
            </w:r>
          </w:p>
        </w:tc>
        <w:tc>
          <w:tcPr>
            <w:tcW w:w="1208" w:type="pct"/>
          </w:tcPr>
          <w:p w14:paraId="2B1C72C7">
            <w:r>
              <w:t>Platelets, Decreased</w:t>
            </w:r>
          </w:p>
        </w:tc>
        <w:tc>
          <w:tcPr>
            <w:tcW w:w="1360" w:type="pct"/>
          </w:tcPr>
          <w:p w14:paraId="64FE1089">
            <w:r>
              <w:t>G1：100,000–&lt;125,000；G2：50,000–&lt;100,000；G3：25,000–&lt;50,000；G4：&lt;25,000 /mm³。</w:t>
            </w:r>
          </w:p>
        </w:tc>
        <w:tc>
          <w:tcPr>
            <w:tcW w:w="1233" w:type="pct"/>
          </w:tcPr>
          <w:p w14:paraId="43C2E5BC">
            <w:r>
              <w:t>评估出血风险与合并用药（抗凝/NSAIDs等）；</w:t>
            </w:r>
            <w:r>
              <w:br w:type="textWrapping"/>
            </w:r>
            <w:r>
              <w:t>G3–G4或出血：急诊评估，可能需停药、输注血小板，按SAE处理。</w:t>
            </w:r>
          </w:p>
        </w:tc>
      </w:tr>
      <w:tr w14:paraId="7B407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50A61535">
            <w:r>
              <w:t>QTcF延长（莫西沙星相关重点）</w:t>
            </w:r>
          </w:p>
        </w:tc>
        <w:tc>
          <w:tcPr>
            <w:tcW w:w="1208" w:type="pct"/>
          </w:tcPr>
          <w:p w14:paraId="46FD669F">
            <w:r>
              <w:t>（DAIDS不作为QTc分级依据；按TDSC方案执行）</w:t>
            </w:r>
          </w:p>
        </w:tc>
        <w:tc>
          <w:tcPr>
            <w:tcW w:w="1360" w:type="pct"/>
          </w:tcPr>
          <w:p w14:paraId="4196B062">
            <w:r>
              <w:t>筛选：男性QTcF&gt;450 ms或女性&gt;470 ms为异常（可复测取平均）。</w:t>
            </w:r>
            <w:r>
              <w:br w:type="textWrapping"/>
            </w:r>
            <w:r>
              <w:t>治疗期：QTcF&gt;500 ms或较基线延长&gt;60 ms为高风险。</w:t>
            </w:r>
          </w:p>
        </w:tc>
        <w:tc>
          <w:tcPr>
            <w:tcW w:w="1233" w:type="pct"/>
          </w:tcPr>
          <w:p w14:paraId="73ED6C22">
            <w:r>
              <w:t>优先复核：复测心电+查K/Mg/Ca；纠正电解质与诱因；</w:t>
            </w:r>
            <w:r>
              <w:br w:type="textWrapping"/>
            </w:r>
            <w:r>
              <w:t>达到TDSC中止标准（QTcF&gt;500 ms）：立即停药并启动安全流程；</w:t>
            </w:r>
            <w:r>
              <w:br w:type="textWrapping"/>
            </w:r>
            <w:r>
              <w:t>必要时心内会诊与住院监护。</w:t>
            </w:r>
          </w:p>
        </w:tc>
      </w:tr>
      <w:tr w14:paraId="1CA04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133A5FDD">
            <w:r>
              <w:t>恶心/呕吐（耐受性）</w:t>
            </w:r>
          </w:p>
        </w:tc>
        <w:tc>
          <w:tcPr>
            <w:tcW w:w="1208" w:type="pct"/>
          </w:tcPr>
          <w:p w14:paraId="441D13FE">
            <w:r>
              <w:t>Nausea / Vomiting（临床事件）</w:t>
            </w:r>
          </w:p>
        </w:tc>
        <w:tc>
          <w:tcPr>
            <w:tcW w:w="1360" w:type="pct"/>
          </w:tcPr>
          <w:p w14:paraId="34042EAA">
            <w:r>
              <w:t>按DAIDS临床事件原则：</w:t>
            </w:r>
            <w:r>
              <w:br w:type="textWrapping"/>
            </w:r>
            <w:r>
              <w:t>G1：轻度，不影响进食/无需或偶需止吐；</w:t>
            </w:r>
            <w:r>
              <w:br w:type="textWrapping"/>
            </w:r>
            <w:r>
              <w:t>G2：影响部分日常活动，需要规律止吐；</w:t>
            </w:r>
            <w:r>
              <w:br w:type="textWrapping"/>
            </w:r>
            <w:r>
              <w:t>G3：无法维持口服摄入/需静脉补液或急诊；</w:t>
            </w:r>
            <w:r>
              <w:br w:type="textWrapping"/>
            </w:r>
            <w:r>
              <w:t>G4：危及生命（休克等）。</w:t>
            </w:r>
          </w:p>
        </w:tc>
        <w:tc>
          <w:tcPr>
            <w:tcW w:w="1233" w:type="pct"/>
          </w:tcPr>
          <w:p w14:paraId="23901787">
            <w:r>
              <w:t>先排除严重病因（肝炎/胰腺炎等）与脱水；</w:t>
            </w:r>
            <w:r>
              <w:br w:type="textWrapping"/>
            </w:r>
            <w:r>
              <w:t>G2：加用止吐、补液评估；</w:t>
            </w:r>
            <w:r>
              <w:br w:type="textWrapping"/>
            </w:r>
            <w:r>
              <w:t>G3–G4：非计划访视/急诊评估，必要时暂停可疑药物并按SAE考虑。</w:t>
            </w:r>
          </w:p>
        </w:tc>
      </w:tr>
      <w:tr w14:paraId="07A27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27F971B6">
            <w:r>
              <w:t>腹泻（耐受性/电解质紊乱来源）</w:t>
            </w:r>
          </w:p>
        </w:tc>
        <w:tc>
          <w:tcPr>
            <w:tcW w:w="1208" w:type="pct"/>
          </w:tcPr>
          <w:p w14:paraId="1C95E8AD">
            <w:r>
              <w:t>Diarrhea（临床事件）</w:t>
            </w:r>
          </w:p>
        </w:tc>
        <w:tc>
          <w:tcPr>
            <w:tcW w:w="1360" w:type="pct"/>
          </w:tcPr>
          <w:p w14:paraId="72505E91">
            <w:r>
              <w:t>按DAIDS临床事件原则：</w:t>
            </w:r>
            <w:r>
              <w:br w:type="textWrapping"/>
            </w:r>
            <w:r>
              <w:t>G1：轻度；G2：中度需对症；G3：重度（脱水/需静脉补液/住院）；G4：危及生命。</w:t>
            </w:r>
          </w:p>
        </w:tc>
        <w:tc>
          <w:tcPr>
            <w:tcW w:w="1233" w:type="pct"/>
          </w:tcPr>
          <w:p w14:paraId="7BC2C3EA">
            <w:r>
              <w:t>补液与电解质监测（尤其K/Mg）；</w:t>
            </w:r>
            <w:r>
              <w:br w:type="textWrapping"/>
            </w:r>
            <w:r>
              <w:t>排除感染性腹泻与药物相关；</w:t>
            </w:r>
            <w:r>
              <w:br w:type="textWrapping"/>
            </w:r>
            <w:r>
              <w:t>G3–G4：急诊/住院评估，必要时暂停相关药物。</w:t>
            </w:r>
          </w:p>
        </w:tc>
      </w:tr>
      <w:tr w14:paraId="6FAC4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6055428A">
            <w:r>
              <w:t>皮疹/过敏反应</w:t>
            </w:r>
          </w:p>
        </w:tc>
        <w:tc>
          <w:tcPr>
            <w:tcW w:w="1208" w:type="pct"/>
          </w:tcPr>
          <w:p w14:paraId="33A2EF0D">
            <w:r>
              <w:t>Rash / Hypersensitivity（临床事件）</w:t>
            </w:r>
          </w:p>
        </w:tc>
        <w:tc>
          <w:tcPr>
            <w:tcW w:w="1360" w:type="pct"/>
          </w:tcPr>
          <w:p w14:paraId="61B68389">
            <w:r>
              <w:t>G1：局限性皮疹/轻度瘙痒；</w:t>
            </w:r>
            <w:r>
              <w:br w:type="textWrapping"/>
            </w:r>
            <w:r>
              <w:t>G2：广泛皮疹或明显瘙痒需治疗；</w:t>
            </w:r>
            <w:r>
              <w:br w:type="textWrapping"/>
            </w:r>
            <w:r>
              <w:t>G3：严重/伴黏膜受累、起疱、发热或需住院；</w:t>
            </w:r>
            <w:r>
              <w:br w:type="textWrapping"/>
            </w:r>
            <w:r>
              <w:t>G4：危及生命（SJS/TEN/过敏性休克等）。</w:t>
            </w:r>
          </w:p>
        </w:tc>
        <w:tc>
          <w:tcPr>
            <w:tcW w:w="1233" w:type="pct"/>
          </w:tcPr>
          <w:p w14:paraId="19FCEF8E">
            <w:r>
              <w:t>评估用药时序与伴随症状；</w:t>
            </w:r>
            <w:r>
              <w:br w:type="textWrapping"/>
            </w:r>
            <w:r>
              <w:t>G2：抗过敏治疗+密切随访；</w:t>
            </w:r>
            <w:r>
              <w:br w:type="textWrapping"/>
            </w:r>
            <w:r>
              <w:t>G3–G4：立即停用可疑药物、紧急处理/住院，按SAE报告。</w:t>
            </w:r>
          </w:p>
        </w:tc>
      </w:tr>
      <w:tr w14:paraId="4FC8C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5FDBDA6B">
            <w:r>
              <w:t>周围神经病变（异烟肼相关）</w:t>
            </w:r>
          </w:p>
        </w:tc>
        <w:tc>
          <w:tcPr>
            <w:tcW w:w="1208" w:type="pct"/>
          </w:tcPr>
          <w:p w14:paraId="39771524">
            <w:r>
              <w:t>Peripheral neuropathy（临床事件）</w:t>
            </w:r>
          </w:p>
        </w:tc>
        <w:tc>
          <w:tcPr>
            <w:tcW w:w="1360" w:type="pct"/>
          </w:tcPr>
          <w:p w14:paraId="6A71F646">
            <w:r>
              <w:t>G1：轻度麻木/刺痛不影响功能；</w:t>
            </w:r>
            <w:r>
              <w:br w:type="textWrapping"/>
            </w:r>
            <w:r>
              <w:t>G2：影响部分日常活动/需药物治疗；</w:t>
            </w:r>
            <w:r>
              <w:br w:type="textWrapping"/>
            </w:r>
            <w:r>
              <w:t>G3：显著影响自理或行走；</w:t>
            </w:r>
            <w:r>
              <w:br w:type="textWrapping"/>
            </w:r>
            <w:r>
              <w:t>G4：危及生命或严重致残（少见）。</w:t>
            </w:r>
          </w:p>
        </w:tc>
        <w:tc>
          <w:tcPr>
            <w:tcW w:w="1233" w:type="pct"/>
          </w:tcPr>
          <w:p w14:paraId="1342723D">
            <w:r>
              <w:t>核实维生素B6使用与糖尿病神经病变鉴别；</w:t>
            </w:r>
            <w:r>
              <w:br w:type="textWrapping"/>
            </w:r>
            <w:r>
              <w:t>G2：强化B6与对症治疗；必要时调整可疑药物；</w:t>
            </w:r>
            <w:r>
              <w:br w:type="textWrapping"/>
            </w:r>
            <w:r>
              <w:t>G3：优先评估，可能需暂停/停用相关药物并转神经科。</w:t>
            </w:r>
          </w:p>
        </w:tc>
      </w:tr>
      <w:tr w14:paraId="52B87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7CDA97C7">
            <w:r>
              <w:t>关节痛/高尿酸相关（吡嗪酰胺）</w:t>
            </w:r>
          </w:p>
        </w:tc>
        <w:tc>
          <w:tcPr>
            <w:tcW w:w="1208" w:type="pct"/>
          </w:tcPr>
          <w:p w14:paraId="5617A9DC">
            <w:r>
              <w:t>Arthralgia / Uric acid high（临床事件/实验室）</w:t>
            </w:r>
          </w:p>
        </w:tc>
        <w:tc>
          <w:tcPr>
            <w:tcW w:w="1360" w:type="pct"/>
          </w:tcPr>
          <w:p w14:paraId="1C7FE764">
            <w:r>
              <w:t>关节痛按功能影响分级（G1轻，G2需规律止痛，G3影响自理/就医）。</w:t>
            </w:r>
            <w:r>
              <w:br w:type="textWrapping"/>
            </w:r>
            <w:r>
              <w:t>如以尿酸升高为主：按DAIDS实验室条目执行（建议EDC自动分级）。</w:t>
            </w:r>
          </w:p>
        </w:tc>
        <w:tc>
          <w:tcPr>
            <w:tcW w:w="1233" w:type="pct"/>
          </w:tcPr>
          <w:p w14:paraId="4A4B8F7E">
            <w:r>
              <w:t>优先处理症状与功能：对症镇痛（注意肝肾）；</w:t>
            </w:r>
            <w:r>
              <w:br w:type="textWrapping"/>
            </w:r>
            <w:r>
              <w:t>反复G2–G3或影响依从性：评估是否调整方案；</w:t>
            </w:r>
            <w:r>
              <w:br w:type="textWrapping"/>
            </w:r>
            <w:r>
              <w:t>合并急性痛风发作可按专科路径处理。</w:t>
            </w:r>
          </w:p>
        </w:tc>
      </w:tr>
      <w:tr w14:paraId="3BA34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4A211D6B">
            <w:r>
              <w:t>严重低血糖（TB-DM重点）</w:t>
            </w:r>
          </w:p>
        </w:tc>
        <w:tc>
          <w:tcPr>
            <w:tcW w:w="1208" w:type="pct"/>
          </w:tcPr>
          <w:p w14:paraId="19D94F85">
            <w:r>
              <w:t>Hypoglycemia（临床事件/实验室）</w:t>
            </w:r>
          </w:p>
        </w:tc>
        <w:tc>
          <w:tcPr>
            <w:tcW w:w="1360" w:type="pct"/>
          </w:tcPr>
          <w:p w14:paraId="40B4FEBB">
            <w:r>
              <w:t>重点看临床严重性：需他人协助、意识障碍/抽搐/昏迷或需急诊/住院处理即为重度（可作为SAE/AESI/IRE评估）。</w:t>
            </w:r>
          </w:p>
        </w:tc>
        <w:tc>
          <w:tcPr>
            <w:tcW w:w="1233" w:type="pct"/>
          </w:tcPr>
          <w:p w14:paraId="4CA3AC6F">
            <w:r>
              <w:t>立即纠正低血糖（口服/静脉葡萄糖等），复核降糖方案与进食；必要时住院；按SOP06/SOP10启动SAE/IRE上报并完善血糖/电解质/并发症评估。</w:t>
            </w:r>
          </w:p>
        </w:tc>
      </w:tr>
      <w:tr w14:paraId="4CCDA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622B38CE">
            <w:r>
              <w:t>疑似DKA/HHS（TB-DM重点）</w:t>
            </w:r>
          </w:p>
        </w:tc>
        <w:tc>
          <w:tcPr>
            <w:tcW w:w="1208" w:type="pct"/>
          </w:tcPr>
          <w:p w14:paraId="29CF5759">
            <w:r>
              <w:t>DKA/HHS（临床事件）</w:t>
            </w:r>
          </w:p>
        </w:tc>
        <w:tc>
          <w:tcPr>
            <w:tcW w:w="1360" w:type="pct"/>
          </w:tcPr>
          <w:p w14:paraId="2408891A">
            <w:r>
              <w:t>典型表现：明显高血糖+脱水/意识改变，或伴酮症/酸中毒体征；实验室提示（酮体、血气、电解质）支持。</w:t>
            </w:r>
          </w:p>
        </w:tc>
        <w:tc>
          <w:tcPr>
            <w:tcW w:w="1233" w:type="pct"/>
          </w:tcPr>
          <w:p w14:paraId="3B517B54">
            <w:r>
              <w:t>急诊/住院评估与处理；完善血糖、酮体、血气、电解质；作为SAE/IRE处理并24小时内初报（SOP06/SOP10）。</w:t>
            </w:r>
          </w:p>
        </w:tc>
      </w:tr>
      <w:tr w14:paraId="41B9B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pct"/>
          </w:tcPr>
          <w:p w14:paraId="471216CD">
            <w:r>
              <w:t>视力下降/色觉异常（疑似乙胺丁醇视神经病变）</w:t>
            </w:r>
          </w:p>
        </w:tc>
        <w:tc>
          <w:tcPr>
            <w:tcW w:w="1208" w:type="pct"/>
          </w:tcPr>
          <w:p w14:paraId="4765957C">
            <w:r>
              <w:t>Optic neuritis / Vision changes（临床事件）</w:t>
            </w:r>
          </w:p>
        </w:tc>
        <w:tc>
          <w:tcPr>
            <w:tcW w:w="1360" w:type="pct"/>
          </w:tcPr>
          <w:p w14:paraId="3286C181">
            <w:r>
              <w:t>任何新发或明显加重的视力/色觉/视野异常均需高度警惕；不以DAIDS阈值等待。</w:t>
            </w:r>
          </w:p>
        </w:tc>
        <w:tc>
          <w:tcPr>
            <w:tcW w:w="1233" w:type="pct"/>
          </w:tcPr>
          <w:p w14:paraId="719C88F1">
            <w:r>
              <w:t>立即停用可疑药物（如E），眼科会诊；必要时作为AESI/IRE处理并上报；后续复用按研究者与方案判定。</w:t>
            </w:r>
          </w:p>
        </w:tc>
      </w:tr>
    </w:tbl>
    <w:p w14:paraId="756B7B1D">
      <w:pPr>
        <w:pStyle w:val="3"/>
        <w:widowControl/>
        <w:numPr>
          <w:ilvl w:val="0"/>
          <w:numId w:val="28"/>
        </w:numPr>
        <w:ind w:left="0" w:leftChars="0" w:firstLine="0" w:firstLineChars="0"/>
        <w:rPr>
          <w:b/>
          <w:bdr w:val="none" w:sz="0" w:space="0"/>
        </w:rPr>
      </w:pPr>
      <w:r>
        <w:t>缩略语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8E2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8ED69F">
            <w:r>
              <w:t>缩略语</w:t>
            </w:r>
          </w:p>
        </w:tc>
        <w:tc>
          <w:tcPr>
            <w:tcW w:w="4320" w:type="dxa"/>
          </w:tcPr>
          <w:p w14:paraId="141B8119">
            <w:r>
              <w:t>含义</w:t>
            </w:r>
          </w:p>
        </w:tc>
      </w:tr>
      <w:tr w14:paraId="6AF8F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73D0DA">
            <w:r>
              <w:t>AE</w:t>
            </w:r>
          </w:p>
        </w:tc>
        <w:tc>
          <w:tcPr>
            <w:tcW w:w="4320" w:type="dxa"/>
          </w:tcPr>
          <w:p w14:paraId="6E25FB4D">
            <w:r>
              <w:t>Adverse Event，不良事件</w:t>
            </w:r>
          </w:p>
        </w:tc>
      </w:tr>
      <w:tr w14:paraId="1A5BD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B75561">
            <w:r>
              <w:t>SAE</w:t>
            </w:r>
          </w:p>
        </w:tc>
        <w:tc>
          <w:tcPr>
            <w:tcW w:w="4320" w:type="dxa"/>
          </w:tcPr>
          <w:p w14:paraId="73F8999B">
            <w:r>
              <w:t>Serious Adverse Event，严重不良事件</w:t>
            </w:r>
          </w:p>
        </w:tc>
      </w:tr>
      <w:tr w14:paraId="76DB1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7F8335">
            <w:r>
              <w:t>AESI</w:t>
            </w:r>
          </w:p>
        </w:tc>
        <w:tc>
          <w:tcPr>
            <w:tcW w:w="4320" w:type="dxa"/>
          </w:tcPr>
          <w:p w14:paraId="31CA5BEC">
            <w:r>
              <w:t>Adverse Event of Special Interest，特别关注不良事件</w:t>
            </w:r>
          </w:p>
        </w:tc>
      </w:tr>
      <w:tr w14:paraId="6C26E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8DF5B8">
            <w:r>
              <w:t>IRE</w:t>
            </w:r>
          </w:p>
        </w:tc>
        <w:tc>
          <w:tcPr>
            <w:tcW w:w="4320" w:type="dxa"/>
          </w:tcPr>
          <w:p w14:paraId="06AEBE5D">
            <w:r>
              <w:t>Immediate Reportable Event，需快速上报事件</w:t>
            </w:r>
          </w:p>
        </w:tc>
      </w:tr>
      <w:tr w14:paraId="75FED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FC002F">
            <w:r>
              <w:t>ULN</w:t>
            </w:r>
          </w:p>
        </w:tc>
        <w:tc>
          <w:tcPr>
            <w:tcW w:w="4320" w:type="dxa"/>
          </w:tcPr>
          <w:p w14:paraId="06C4918D">
            <w:r>
              <w:t>Upper Limit of Normal，正常上限</w:t>
            </w:r>
          </w:p>
        </w:tc>
      </w:tr>
      <w:tr w14:paraId="49DC7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96864B">
            <w:r>
              <w:t>ALT/AST</w:t>
            </w:r>
          </w:p>
        </w:tc>
        <w:tc>
          <w:tcPr>
            <w:tcW w:w="4320" w:type="dxa"/>
          </w:tcPr>
          <w:p w14:paraId="6685624F">
            <w:r>
              <w:t>丙氨酸/天冬氨酸氨基转移酶</w:t>
            </w:r>
          </w:p>
        </w:tc>
      </w:tr>
      <w:tr w14:paraId="7809F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CE6CF0">
            <w:r>
              <w:t>TBIL</w:t>
            </w:r>
          </w:p>
        </w:tc>
        <w:tc>
          <w:tcPr>
            <w:tcW w:w="4320" w:type="dxa"/>
          </w:tcPr>
          <w:p w14:paraId="515C9101">
            <w:r>
              <w:t>Total bilirubin，总胆红素</w:t>
            </w:r>
          </w:p>
        </w:tc>
      </w:tr>
      <w:tr w14:paraId="639F7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048A30">
            <w:r>
              <w:t>INR</w:t>
            </w:r>
          </w:p>
        </w:tc>
        <w:tc>
          <w:tcPr>
            <w:tcW w:w="4320" w:type="dxa"/>
          </w:tcPr>
          <w:p w14:paraId="447A308D">
            <w:r>
              <w:t>International Normalized Ratio，国际标准化比值</w:t>
            </w:r>
          </w:p>
        </w:tc>
      </w:tr>
      <w:tr w14:paraId="31826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BF1A1C">
            <w:r>
              <w:t>ANC</w:t>
            </w:r>
          </w:p>
        </w:tc>
        <w:tc>
          <w:tcPr>
            <w:tcW w:w="4320" w:type="dxa"/>
          </w:tcPr>
          <w:p w14:paraId="7C6718A4">
            <w:r>
              <w:t>Absolute Neutrophil Count，绝对中性粒细胞计数</w:t>
            </w:r>
          </w:p>
        </w:tc>
      </w:tr>
      <w:tr w14:paraId="52480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647F4A">
            <w:r>
              <w:t>QTcF</w:t>
            </w:r>
          </w:p>
        </w:tc>
        <w:tc>
          <w:tcPr>
            <w:tcW w:w="4320" w:type="dxa"/>
          </w:tcPr>
          <w:p w14:paraId="1EE7455D">
            <w:r>
              <w:t>Fridericia-corrected QT interval</w:t>
            </w:r>
          </w:p>
        </w:tc>
      </w:tr>
      <w:tr w14:paraId="102D3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4E4D77">
            <w:r>
              <w:t>NRS</w:t>
            </w:r>
          </w:p>
        </w:tc>
        <w:tc>
          <w:tcPr>
            <w:tcW w:w="4320" w:type="dxa"/>
          </w:tcPr>
          <w:p w14:paraId="3F96A5CF">
            <w:r>
              <w:t>Numeric Rating Scale（0–10）</w:t>
            </w:r>
          </w:p>
        </w:tc>
      </w:tr>
      <w:tr w14:paraId="713DA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37C28">
            <w:r>
              <w:t>DKA</w:t>
            </w:r>
          </w:p>
        </w:tc>
        <w:tc>
          <w:tcPr>
            <w:tcW w:w="4320" w:type="dxa"/>
          </w:tcPr>
          <w:p w14:paraId="1490C113">
            <w:r>
              <w:t>Diabetic ketoacidosis，糖尿病酮症酸中毒</w:t>
            </w:r>
          </w:p>
        </w:tc>
      </w:tr>
      <w:tr w14:paraId="4540F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0F0FCA">
            <w:r>
              <w:t>HHS</w:t>
            </w:r>
          </w:p>
        </w:tc>
        <w:tc>
          <w:tcPr>
            <w:tcW w:w="4320" w:type="dxa"/>
          </w:tcPr>
          <w:p w14:paraId="1C816340">
            <w:r>
              <w:t>Hyperosmolar hyperglycemic state，高血糖高渗状态</w:t>
            </w:r>
          </w:p>
        </w:tc>
      </w:tr>
      <w:tr w14:paraId="4F781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FFF3BD">
            <w:r>
              <w:t>SCAR</w:t>
            </w:r>
          </w:p>
        </w:tc>
        <w:tc>
          <w:tcPr>
            <w:tcW w:w="4320" w:type="dxa"/>
          </w:tcPr>
          <w:p w14:paraId="69938648">
            <w:r>
              <w:t>Severe cutaneous adverse reactions，严重皮肤不良反应</w:t>
            </w:r>
          </w:p>
        </w:tc>
      </w:tr>
      <w:tr w14:paraId="23F55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5DCAFE">
            <w:r>
              <w:t>SJS/TEN</w:t>
            </w:r>
          </w:p>
        </w:tc>
        <w:tc>
          <w:tcPr>
            <w:tcW w:w="4320" w:type="dxa"/>
          </w:tcPr>
          <w:p w14:paraId="6D2A3884">
            <w:r>
              <w:t>Stevens–Johnson syndrome / toxic epidermal necrolysis</w:t>
            </w:r>
          </w:p>
        </w:tc>
      </w:tr>
    </w:tbl>
    <w:p w14:paraId="7123EBE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F23EC"/>
    <w:multiLevelType w:val="singleLevel"/>
    <w:tmpl w:val="8D7F23E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900E77D2"/>
    <w:multiLevelType w:val="singleLevel"/>
    <w:tmpl w:val="900E77D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93ACEDAA"/>
    <w:multiLevelType w:val="singleLevel"/>
    <w:tmpl w:val="93ACEDAA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3">
    <w:nsid w:val="9B63798C"/>
    <w:multiLevelType w:val="singleLevel"/>
    <w:tmpl w:val="9B63798C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4">
    <w:nsid w:val="ADD355BB"/>
    <w:multiLevelType w:val="singleLevel"/>
    <w:tmpl w:val="ADD355BB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5">
    <w:nsid w:val="AF5E3FDA"/>
    <w:multiLevelType w:val="singleLevel"/>
    <w:tmpl w:val="AF5E3FDA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BD22B278"/>
    <w:multiLevelType w:val="singleLevel"/>
    <w:tmpl w:val="BD22B278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7">
    <w:nsid w:val="C6F52171"/>
    <w:multiLevelType w:val="singleLevel"/>
    <w:tmpl w:val="C6F5217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D1BDF44B"/>
    <w:multiLevelType w:val="singleLevel"/>
    <w:tmpl w:val="D1BDF44B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9">
    <w:nsid w:val="D48DEA92"/>
    <w:multiLevelType w:val="singleLevel"/>
    <w:tmpl w:val="D48DEA9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0">
    <w:nsid w:val="EDAB521A"/>
    <w:multiLevelType w:val="singleLevel"/>
    <w:tmpl w:val="EDAB521A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1">
    <w:nsid w:val="F07FDC49"/>
    <w:multiLevelType w:val="singleLevel"/>
    <w:tmpl w:val="F07FDC4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0A958E0D"/>
    <w:multiLevelType w:val="singleLevel"/>
    <w:tmpl w:val="0A958E0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0E2D91FF"/>
    <w:multiLevelType w:val="singleLevel"/>
    <w:tmpl w:val="0E2D91F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30B7C371"/>
    <w:multiLevelType w:val="singleLevel"/>
    <w:tmpl w:val="30B7C371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3324DBBA"/>
    <w:multiLevelType w:val="singleLevel"/>
    <w:tmpl w:val="3324DBBA"/>
    <w:lvl w:ilvl="0" w:tentative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22">
    <w:nsid w:val="4E39B7AF"/>
    <w:multiLevelType w:val="singleLevel"/>
    <w:tmpl w:val="4E39B7AF"/>
    <w:lvl w:ilvl="0" w:tentative="0">
      <w:start w:val="3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3">
    <w:nsid w:val="5E701540"/>
    <w:multiLevelType w:val="singleLevel"/>
    <w:tmpl w:val="5E701540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4">
    <w:nsid w:val="6204529D"/>
    <w:multiLevelType w:val="singleLevel"/>
    <w:tmpl w:val="6204529D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25">
    <w:nsid w:val="64CF51F9"/>
    <w:multiLevelType w:val="singleLevel"/>
    <w:tmpl w:val="64CF51F9"/>
    <w:lvl w:ilvl="0" w:tentative="0">
      <w:start w:val="3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6">
    <w:nsid w:val="6DE25E44"/>
    <w:multiLevelType w:val="singleLevel"/>
    <w:tmpl w:val="6DE25E4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7">
    <w:nsid w:val="7074F8F8"/>
    <w:multiLevelType w:val="singleLevel"/>
    <w:tmpl w:val="7074F8F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3"/>
  </w:num>
  <w:num w:numId="2">
    <w:abstractNumId w:val="16"/>
  </w:num>
  <w:num w:numId="3">
    <w:abstractNumId w:val="5"/>
  </w:num>
  <w:num w:numId="4">
    <w:abstractNumId w:val="14"/>
  </w:num>
  <w:num w:numId="5">
    <w:abstractNumId w:val="12"/>
  </w:num>
  <w:num w:numId="6">
    <w:abstractNumId w:val="15"/>
  </w:num>
  <w:num w:numId="7">
    <w:abstractNumId w:val="9"/>
  </w:num>
  <w:num w:numId="8">
    <w:abstractNumId w:val="4"/>
  </w:num>
  <w:num w:numId="9">
    <w:abstractNumId w:val="27"/>
  </w:num>
  <w:num w:numId="10">
    <w:abstractNumId w:val="8"/>
  </w:num>
  <w:num w:numId="11">
    <w:abstractNumId w:val="18"/>
  </w:num>
  <w:num w:numId="12">
    <w:abstractNumId w:val="10"/>
  </w:num>
  <w:num w:numId="13">
    <w:abstractNumId w:val="17"/>
  </w:num>
  <w:num w:numId="14">
    <w:abstractNumId w:val="26"/>
  </w:num>
  <w:num w:numId="15">
    <w:abstractNumId w:val="1"/>
  </w:num>
  <w:num w:numId="16">
    <w:abstractNumId w:val="19"/>
  </w:num>
  <w:num w:numId="17">
    <w:abstractNumId w:val="6"/>
  </w:num>
  <w:num w:numId="18">
    <w:abstractNumId w:val="11"/>
  </w:num>
  <w:num w:numId="19">
    <w:abstractNumId w:val="7"/>
  </w:num>
  <w:num w:numId="20">
    <w:abstractNumId w:val="3"/>
  </w:num>
  <w:num w:numId="21">
    <w:abstractNumId w:val="0"/>
  </w:num>
  <w:num w:numId="22">
    <w:abstractNumId w:val="22"/>
  </w:num>
  <w:num w:numId="23">
    <w:abstractNumId w:val="24"/>
  </w:num>
  <w:num w:numId="24">
    <w:abstractNumId w:val="21"/>
  </w:num>
  <w:num w:numId="25">
    <w:abstractNumId w:val="23"/>
  </w:num>
  <w:num w:numId="26">
    <w:abstractNumId w:val="20"/>
  </w:num>
  <w:num w:numId="27">
    <w:abstractNumId w:val="2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5A7FA8"/>
    <w:rsid w:val="7022770A"/>
    <w:rsid w:val="7D05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4296</Words>
  <Characters>5340</Characters>
  <Lines>0</Lines>
  <Paragraphs>0</Paragraphs>
  <TotalTime>1</TotalTime>
  <ScaleCrop>false</ScaleCrop>
  <LinksUpToDate>false</LinksUpToDate>
  <CharactersWithSpaces>5436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2026-03-10T07:43:43Z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eyJoZGlkIjoiOGNmZTEzMzZiOTZlNTgwZjdhNTUyOTczZTg0ZWQ3ZDAiLCJ1c2VySWQiOiI5NjExNDM1MzcifQ==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07DAAAB5079C45D590CE2B63FCC1E02F_12</vt:lpwstr>
  </property>
</Properties>
</file>