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TDSC 研究 SOP05：PRO + 生活质量 + 呼吸功能相关量表评估（PRO/HRQoL）</w:t>
      </w:r>
    </w:p>
    <w:p>
      <w:pPr>
        <w:jc w:val="center"/>
      </w:pPr>
      <w:r>
        <w:rPr>
          <w:i/>
          <w:sz w:val="22"/>
        </w:rPr>
        <w:t>（适用于队列A与队列B；SF-36v2、SGRQ、CAAT 与 PRO-CTCAE® 的实施、数据管理与质控）</w:t>
      </w:r>
    </w:p>
    <w:p/>
    <w:p>
      <w:pPr>
        <w:pStyle w:val="Heading1"/>
      </w:pPr>
      <w:r>
        <w:t>文件控制信息</w:t>
      </w:r>
    </w:p>
    <w:p>
      <w:r>
        <w:rPr>
          <w:b/>
        </w:rPr>
        <w:t>SOP编号：</w:t>
      </w:r>
      <w:r>
        <w:t>TDSC-SOP05</w:t>
      </w:r>
    </w:p>
    <w:p>
      <w:r>
        <w:t>版本：V1.2</w:t>
      </w:r>
    </w:p>
    <w:p>
      <w:r>
        <w:t>生效日期：2026-03-04</w:t>
      </w:r>
    </w:p>
    <w:p>
      <w:r>
        <w:rPr>
          <w:b/>
        </w:rPr>
        <w:t>适用对象：</w:t>
      </w:r>
      <w:r>
        <w:t>研究医生、研究护士、CRC、数据管理员、PMO/质控人员</w:t>
      </w:r>
    </w:p>
    <w:p>
      <w:r>
        <w:t>关联文件：TDSC研究方案V2.0（2026-02-28）；SOP06《DAIDS AE分级表 + PRO-CTCAE® 联合应用（含附录A量表规格书、附录B速查表）》；SOP10《研究药物不良反应处理方法（AE Management Playbook）》；SOP12《随机与分配实施（信息隔离/受控访问）》；（如适用）量表授权文件与评分说明书。</w:t>
      </w:r>
    </w:p>
    <w:p>
      <w:pPr>
        <w:pStyle w:val="Heading1"/>
      </w:pPr>
      <w:r>
        <w:t>1. 目的（Objective）</w:t>
      </w:r>
    </w:p>
    <w:p>
      <w:r>
        <w:t>规范TDSC研究中患者报告结局（PRO）、健康相关生活质量（HRQoL）及呼吸系统健康状态相关量表的实施流程，确保各分中心在不同队列与不同疗程节点的量表测量具有一致性、可比性与可追溯性，减少实施偏倚与数据缺失，并将PRO信息与安全性记录（AE）形成闭环。</w:t>
      </w:r>
    </w:p>
    <w:p>
      <w:pPr>
        <w:pStyle w:val="Heading1"/>
      </w:pPr>
      <w:r>
        <w:t>2. 适用范围（Scope）</w:t>
      </w:r>
    </w:p>
    <w:p>
      <w:r>
        <w:t>适用于TDSC研究所有分中心、所有入组TB-DM受试者（队列A与队列B），覆盖筛选/基线、治疗期与随访期。</w:t>
      </w:r>
    </w:p>
    <w:p>
      <w:pPr>
        <w:pStyle w:val="Heading1"/>
      </w:pPr>
      <w:r>
        <w:t>3. 评估工具与临床意义（Instruments &amp; Rationale）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工具名称</w:t>
            </w:r>
          </w:p>
        </w:tc>
        <w:tc>
          <w:tcPr>
            <w:tcW w:type="dxa" w:w="2880"/>
          </w:tcPr>
          <w:p>
            <w:r>
              <w:t>评估维度</w:t>
            </w:r>
          </w:p>
        </w:tc>
        <w:tc>
          <w:tcPr>
            <w:tcW w:type="dxa" w:w="2880"/>
          </w:tcPr>
          <w:p>
            <w:r>
              <w:t>TDSC研究中的特定意义</w:t>
            </w:r>
          </w:p>
        </w:tc>
      </w:tr>
      <w:tr>
        <w:tc>
          <w:tcPr>
            <w:tcW w:type="dxa" w:w="2880"/>
          </w:tcPr>
          <w:p>
            <w:r>
              <w:t>SF-36v2</w:t>
            </w:r>
          </w:p>
        </w:tc>
        <w:tc>
          <w:tcPr>
            <w:tcW w:type="dxa" w:w="2880"/>
          </w:tcPr>
          <w:p>
            <w:r>
              <w:t>整体身心健康</w:t>
            </w:r>
          </w:p>
        </w:tc>
        <w:tc>
          <w:tcPr>
            <w:tcW w:type="dxa" w:w="2880"/>
          </w:tcPr>
          <w:p>
            <w:r>
              <w:t>评估TB合并DM双重疾病负担下的整体生活质量，比较不同疗程对体能恢复和精神健康的影响。</w:t>
            </w:r>
          </w:p>
        </w:tc>
      </w:tr>
      <w:tr>
        <w:tc>
          <w:tcPr>
            <w:tcW w:type="dxa" w:w="2880"/>
          </w:tcPr>
          <w:p>
            <w:r>
              <w:t>SGRQ</w:t>
            </w:r>
          </w:p>
        </w:tc>
        <w:tc>
          <w:tcPr>
            <w:tcW w:type="dxa" w:w="2880"/>
          </w:tcPr>
          <w:p>
            <w:r>
              <w:t>呼吸系统特异性生活质量</w:t>
            </w:r>
          </w:p>
        </w:tc>
        <w:tc>
          <w:tcPr>
            <w:tcW w:type="dxa" w:w="2880"/>
          </w:tcPr>
          <w:p>
            <w:r>
              <w:t>评估肺部病灶对日常活动与社会功能的影响；分量表（症状/活动/影响）用于领域分析。</w:t>
            </w:r>
          </w:p>
        </w:tc>
      </w:tr>
      <w:tr>
        <w:tc>
          <w:tcPr>
            <w:tcW w:type="dxa" w:w="2880"/>
          </w:tcPr>
          <w:p>
            <w:r>
              <w:t>CAAT</w:t>
            </w:r>
          </w:p>
        </w:tc>
        <w:tc>
          <w:tcPr>
            <w:tcW w:type="dxa" w:w="2880"/>
          </w:tcPr>
          <w:p>
            <w:r>
              <w:t>气道症状负担（当前状态）</w:t>
            </w:r>
          </w:p>
        </w:tc>
        <w:tc>
          <w:tcPr>
            <w:tcW w:type="dxa" w:w="2880"/>
          </w:tcPr>
          <w:p>
            <w:r>
              <w:t>快速评估工具，捕捉治疗期间呼吸道症状波动与功能受限。</w:t>
            </w:r>
          </w:p>
        </w:tc>
      </w:tr>
      <w:tr>
        <w:tc>
          <w:tcPr>
            <w:tcW w:type="dxa" w:w="2880"/>
          </w:tcPr>
          <w:p>
            <w:r>
              <w:t>PRO-CTCAE®（TDSC定制）</w:t>
            </w:r>
          </w:p>
        </w:tc>
        <w:tc>
          <w:tcPr>
            <w:tcW w:type="dxa" w:w="2880"/>
          </w:tcPr>
          <w:p>
            <w:r>
              <w:t>患者报告的不良事件</w:t>
            </w:r>
          </w:p>
        </w:tc>
        <w:tc>
          <w:tcPr>
            <w:tcW w:type="dxa" w:w="2880"/>
          </w:tcPr>
          <w:p>
            <w:r>
              <w:t>用于早期识别不良反应信号（如胃肠道反应、神经系统症状等），并与DAIDS分级/AE上报流程对账。</w:t>
            </w:r>
          </w:p>
        </w:tc>
      </w:tr>
    </w:tbl>
    <w:p>
      <w:pPr>
        <w:pStyle w:val="Heading2"/>
      </w:pPr>
      <w:r>
        <w:t>3.1 版权与正式版本要求（Copyright &amp; Authorized Versions）</w:t>
      </w:r>
    </w:p>
    <w:p>
      <w:r>
        <w:t>SF-36v2、SGRQ 与 PRO-CTCAE® 为受版权保护量表。试验正式启动前必须完成授权获取，并使用版权方/官方渠道提供的经验证中文版本及评分体系。EDC仅可实现授权版本的条目呈现与评分逻辑，不得擅自改写条目或答项。</w:t>
      </w:r>
    </w:p>
    <w:p>
      <w:pPr>
        <w:pStyle w:val="Heading1"/>
      </w:pPr>
      <w:r>
        <w:t>4. 评估时间表（Assessment Schedule）</w:t>
      </w:r>
    </w:p>
    <w:p>
      <w:r>
        <w:t>在统一随访框架下，所有受试者在以下节点完成“全套评估（4项工具）”：</w:t>
      </w:r>
    </w:p>
    <w:p>
      <w:pPr>
        <w:pStyle w:val="ListBullet"/>
      </w:pPr>
      <w:r>
        <w:t>基线期（Baseline/Randomize）：随机分组前。</w:t>
      </w:r>
    </w:p>
    <w:p>
      <w:pPr>
        <w:pStyle w:val="ListBullet"/>
      </w:pPr>
      <w:r>
        <w:t>治疗期：W2、W8（强化期评估点）、W16（EOT-4m；仅4个月疗程者）、M6/W24（队列A对照EOT；队列B微生物学Hard Gate评估/随机点；队列B停药组EOT）、M9/W36（队列B延长治疗组EOT）。</w:t>
      </w:r>
    </w:p>
    <w:p>
      <w:pPr>
        <w:pStyle w:val="ListBullet"/>
      </w:pPr>
      <w:r>
        <w:t>随访期：PT-M12 与 PT-M24（所有受试者在各自治疗结束后随访至停药后12/24个月；与主终点随访框架一致）。</w:t>
      </w:r>
    </w:p>
    <w:p>
      <w:pPr>
        <w:pStyle w:val="Heading2"/>
      </w:pPr>
      <w:r>
        <w:t>4.1 频次调整建议（用于安全信号捕捉）</w:t>
      </w:r>
    </w:p>
    <w:p>
      <w:pPr>
        <w:pStyle w:val="ListBullet"/>
      </w:pPr>
      <w:r>
        <w:t>PRO-CTCAE®：重点关注过去7天的症状；条目范围、字段编码与实现规范见SOP06附录A；红旗触发、复评与AE对账/上报流程见SOP06正文与SOP10。</w:t>
      </w:r>
    </w:p>
    <w:p>
      <w:pPr>
        <w:pStyle w:val="ListBullet"/>
      </w:pPr>
      <w:r>
        <w:t>CAAT：建议与PRO-CTCAE®同步在每次计划访视实施，因其简便且对症状波动敏感。</w:t>
      </w:r>
    </w:p>
    <w:p>
      <w:pPr>
        <w:pStyle w:val="ListBullet"/>
      </w:pPr>
      <w:r>
        <w:t>SF-36v2 / SGRQ：建议在Baseline、各自EOT（W16/W24/W36）以及PT-M12、PT-M24实施；为减轻负担，W2可不实施长量表。</w:t>
      </w:r>
    </w:p>
    <w:p>
      <w:pPr>
        <w:pStyle w:val="Heading1"/>
      </w:pPr>
      <w:r>
        <w:t>5. 责任分工（Roles &amp; Responsibilities）</w:t>
      </w:r>
    </w:p>
    <w:p>
      <w:pPr>
        <w:pStyle w:val="ListBullet"/>
      </w:pPr>
      <w:r>
        <w:t>研究护士/CRC：组织量表实施；确保在临床问诊/告知检查结果之前完成；回收当场核查完整性；将警示信息升级给研究医生/PI。</w:t>
      </w:r>
    </w:p>
    <w:p>
      <w:pPr>
        <w:pStyle w:val="ListBullet"/>
      </w:pPr>
      <w:r>
        <w:t>研究医生：对PRO提示的症状进行临床复核与鉴别诊断；决定是否记录AE/是否需医疗干预；必要时触发SOP06/10流程。</w:t>
      </w:r>
    </w:p>
    <w:p>
      <w:pPr>
        <w:pStyle w:val="ListBullet"/>
      </w:pPr>
      <w:r>
        <w:t>数据管理员：维护EDC量表模块；确保自动评分与字段映射正确；完成定期数据一致性核查与查询。</w:t>
      </w:r>
    </w:p>
    <w:p>
      <w:pPr>
        <w:pStyle w:val="ListBullet"/>
      </w:pPr>
      <w:r>
        <w:t>PMO/质控：组织培训、中心一致性核查与再培训；管理量表版本与授权文件归档（见SOP00）。</w:t>
      </w:r>
    </w:p>
    <w:p>
      <w:pPr>
        <w:pStyle w:val="Heading1"/>
      </w:pPr>
      <w:r>
        <w:t>6. 操作流程（Procedures）</w:t>
      </w:r>
    </w:p>
    <w:p>
      <w:pPr>
        <w:pStyle w:val="Heading2"/>
      </w:pPr>
      <w:r>
        <w:t>6.1 准备工作（在每次评估前）</w:t>
      </w:r>
    </w:p>
    <w:p>
      <w:pPr>
        <w:pStyle w:val="ListBullet"/>
      </w:pPr>
      <w:r>
        <w:t>评估应在临床问诊、体格检查与告知实验室/影像结果之前进行，以降低信息偏倚。</w:t>
      </w:r>
    </w:p>
    <w:p>
      <w:pPr>
        <w:pStyle w:val="ListBullet"/>
      </w:pPr>
      <w:r>
        <w:t>确认受试者所属队列（A/B）及当前阶段；核对本次是否为“核心评估点”。</w:t>
      </w:r>
    </w:p>
    <w:p>
      <w:pPr>
        <w:pStyle w:val="ListBullet"/>
      </w:pPr>
      <w:r>
        <w:t>确认量表实施方式（纸质或EDC电子版）；确保安静、私密环境，避免家属/医护引导。</w:t>
      </w:r>
    </w:p>
    <w:p>
      <w:pPr>
        <w:pStyle w:val="ListBullet"/>
      </w:pPr>
      <w:r>
        <w:t>准备必要辅具：阅读镜/大字版（如有）、平板/二维码入口（如中心已部署）。</w:t>
      </w:r>
    </w:p>
    <w:p>
      <w:pPr>
        <w:pStyle w:val="Heading2"/>
      </w:pPr>
      <w:r>
        <w:t>6.2 实施方式（Administration）</w:t>
      </w:r>
    </w:p>
    <w:p>
      <w:pPr>
        <w:pStyle w:val="ListBullet"/>
      </w:pPr>
      <w:r>
        <w:t>患者自填优先：原则上由受试者独立完成。</w:t>
      </w:r>
    </w:p>
    <w:p>
      <w:pPr>
        <w:pStyle w:val="ListBullet"/>
      </w:pPr>
      <w:r>
        <w:t>协助填写规范：对视力障碍（如糖尿病视网膜病变）或文化程度较低者，研究人员可中立地逐字朗读问题。</w:t>
      </w:r>
    </w:p>
    <w:p>
      <w:pPr>
        <w:pStyle w:val="ListBullet"/>
      </w:pPr>
      <w:r>
        <w:t>禁止解释问题含义或诱导答案；若受试者不理解，仅可重复原题。</w:t>
      </w:r>
    </w:p>
    <w:p>
      <w:pPr>
        <w:pStyle w:val="ListBullet"/>
      </w:pPr>
      <w:r>
        <w:t>推荐顺序（减少负担并降低交叉影响）：CAAT → PRO-CTCAE® →（如为核心评估点）SF-36v2 → SGRQ。</w:t>
      </w:r>
    </w:p>
    <w:p>
      <w:pPr>
        <w:pStyle w:val="Heading2"/>
      </w:pPr>
      <w:r>
        <w:t>6.3 工具特定要求（Recall Period &amp; Key Notes）</w:t>
      </w:r>
    </w:p>
    <w:p>
      <w:pPr>
        <w:pStyle w:val="ListBullet"/>
      </w:pPr>
      <w:r>
        <w:t>SF-36v2：回顾过去4周的情况。</w:t>
      </w:r>
    </w:p>
    <w:p>
      <w:pPr>
        <w:pStyle w:val="ListBullet"/>
      </w:pPr>
      <w:r>
        <w:t>SGRQ：回顾过去3个月的情况；在W8（强化期结束）评估时，需提醒受试者尽量聚焦“治疗以来”的变化。</w:t>
      </w:r>
    </w:p>
    <w:p>
      <w:pPr>
        <w:pStyle w:val="ListBullet"/>
      </w:pPr>
      <w:r>
        <w:t>CAAT：在0–5分之间选择，代表“当前症状”严重程度；总分/40分，分数越高影响越大。</w:t>
      </w:r>
    </w:p>
    <w:p>
      <w:pPr>
        <w:pStyle w:val="ListBullet"/>
      </w:pPr>
      <w:r>
        <w:t>PRO-CTCAE®：重点关注过去7天的症状；条目范围、字段编码与实现规范见SOP06附录A；红旗触发、复评与AE对账/上报流程见SOP06正文与SOP10。</w:t>
      </w:r>
    </w:p>
    <w:p>
      <w:pPr>
        <w:pStyle w:val="Heading2"/>
      </w:pPr>
      <w:r>
        <w:t>6.4 现场核查与警示值处理（On-site Review &amp; Alerts）</w:t>
      </w:r>
    </w:p>
    <w:p>
      <w:r>
        <w:t>研究护士/CRC回收问卷时应立即检查：</w:t>
      </w:r>
    </w:p>
    <w:p>
      <w:pPr>
        <w:pStyle w:val="ListBullet"/>
      </w:pPr>
      <w:r>
        <w:t>是否有漏填项。</w:t>
      </w:r>
    </w:p>
    <w:p>
      <w:pPr>
        <w:pStyle w:val="ListBullet"/>
      </w:pPr>
      <w:r>
        <w:t>是否存在明显逻辑矛盾（如PRO-CTCAE报告“无恶心”，但CAAT/SGRQ提示因恶心严重影响饮食与活动）。</w:t>
      </w:r>
    </w:p>
    <w:p>
      <w:pPr>
        <w:pStyle w:val="ListBullet"/>
      </w:pPr>
      <w:r>
        <w:t>警示值处理：如PRO-CTCAE®出现“红旗/严重干扰”等安全信号，或长量表出现极端异常（由EDC预置规则触发），应立即通知研究医生进行临床复评；红旗阈值、复评与AE对账/上报按SOP06（正文及附录）与SOP10执行。本SOP仅负责量表实施与数据质量控制。</w:t>
      </w:r>
    </w:p>
    <w:p>
      <w:pPr>
        <w:pStyle w:val="Heading2"/>
      </w:pPr>
      <w:r>
        <w:t>6.5 针对TB-DM人群的特殊注意事项（TB-DM Specific Considerations）</w:t>
      </w:r>
    </w:p>
    <w:p>
      <w:pPr>
        <w:pStyle w:val="ListBullet"/>
      </w:pPr>
      <w:r>
        <w:t>神经症状鉴别：在PRO-CTCAE®出现“麻木/刺痛”等条目时，研究医生需结合病史与体格检查判断是糖尿病周围神经病变（DPN）还是药物相关神经毒性（如异烟肼相关周围神经症状），并据此决定AE记录与处理。</w:t>
      </w:r>
    </w:p>
    <w:p>
      <w:pPr>
        <w:pStyle w:val="ListBullet"/>
      </w:pPr>
      <w:r>
        <w:t>血糖影响：在SF-36v2“精力/疲劳”等维度极低时，需结合当日血糖记录或近期HbA1c信息，排除低/高血糖事件对主观评分的影响。</w:t>
      </w:r>
    </w:p>
    <w:p>
      <w:pPr>
        <w:pStyle w:val="Heading1"/>
      </w:pPr>
      <w:r>
        <w:t>7. 数据管理与质量控制（Data Management &amp; QC）</w:t>
      </w:r>
    </w:p>
    <w:p>
      <w:pPr>
        <w:pStyle w:val="Heading2"/>
      </w:pPr>
      <w:r>
        <w:t>7.1 评分计算与录入</w:t>
      </w:r>
    </w:p>
    <w:p>
      <w:pPr>
        <w:pStyle w:val="ListBullet"/>
      </w:pPr>
      <w:r>
        <w:t>所有量表分值计算应由EDC自动完成，避免人工计算错误。</w:t>
      </w:r>
    </w:p>
    <w:p>
      <w:pPr>
        <w:pStyle w:val="ListBullet"/>
      </w:pPr>
      <w:r>
        <w:t>SGRQ的三个分量表（症状、活动、影响）分值需单独保留，以便领域分析。</w:t>
      </w:r>
    </w:p>
    <w:p>
      <w:pPr>
        <w:pStyle w:val="Heading2"/>
      </w:pPr>
      <w:r>
        <w:t>7.2 缺失与不一致处理</w:t>
      </w:r>
    </w:p>
    <w:p>
      <w:pPr>
        <w:pStyle w:val="ListBullet"/>
      </w:pPr>
      <w:r>
        <w:t>缺失项：现场优先补填；若受试者拒绝或无法完成，记录原因（拒绝/时间不足/身体不适/技术故障等）。</w:t>
      </w:r>
    </w:p>
    <w:p>
      <w:pPr>
        <w:pStyle w:val="ListBullet"/>
      </w:pPr>
      <w:r>
        <w:t>不一致：由CRC发起数据查询（Query），由研究医生在不引导受试者的前提下进行临床核实并在EDC中闭环。</w:t>
      </w:r>
    </w:p>
    <w:p>
      <w:pPr>
        <w:pStyle w:val="Heading2"/>
      </w:pPr>
      <w:r>
        <w:t>7.3 中心一致性与再培训触发</w:t>
      </w:r>
    </w:p>
    <w:p>
      <w:pPr>
        <w:pStyle w:val="ListBullet"/>
      </w:pPr>
      <w:r>
        <w:t>PMO/数据管理按月/按季度输出中心间完成率、缺失率与警示触发率；异常中心需开展再培训并记录。</w:t>
      </w:r>
    </w:p>
    <w:p>
      <w:pPr>
        <w:pStyle w:val="Heading1"/>
      </w:pPr>
      <w:r>
        <w:t>8. 与安全性报告的关联（Linkage to Safety Reporting）</w:t>
      </w:r>
    </w:p>
    <w:p>
      <w:pPr>
        <w:pStyle w:val="ListBullet"/>
      </w:pPr>
      <w:r>
        <w:t>PRO-CTCAE®红旗/重要症状信号的临床复评、AE对账与上报流程：按SOP06（正文/附录）与SOP10执行；本SOP不重复规定。</w:t>
      </w:r>
    </w:p>
    <w:p>
      <w:pPr>
        <w:pStyle w:val="ListBullet"/>
      </w:pPr>
      <w:r>
        <w:t>信息隔离：如在W24等关键节点采集TB22等候选生物标志物或获取影像AI/CT量化输出，其结果在研究期间不向治疗团队披露（按SOP12受控访问口径）。PRO采集必须独立于上述探索性结果，并在临床问诊/告知检查结果前完成，以避免信息偏倚。</w:t>
      </w:r>
    </w:p>
    <w:p>
      <w:pPr>
        <w:pStyle w:val="Heading1"/>
      </w:pPr>
      <w:r>
        <w:t>9. 附录（Templates）</w:t>
      </w:r>
    </w:p>
    <w:p>
      <w:pPr>
        <w:pStyle w:val="Heading2"/>
      </w:pPr>
      <w:r>
        <w:t>附录A：核心评估点速查表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时间点</w:t>
            </w:r>
          </w:p>
        </w:tc>
        <w:tc>
          <w:tcPr>
            <w:tcW w:type="dxa" w:w="1728"/>
          </w:tcPr>
          <w:p>
            <w:r>
              <w:t>全套评估（4项）</w:t>
            </w:r>
          </w:p>
        </w:tc>
        <w:tc>
          <w:tcPr>
            <w:tcW w:type="dxa" w:w="1728"/>
          </w:tcPr>
          <w:p>
            <w:r>
              <w:t>PRO-CTCAE</w:t>
            </w:r>
          </w:p>
        </w:tc>
        <w:tc>
          <w:tcPr>
            <w:tcW w:type="dxa" w:w="1728"/>
          </w:tcPr>
          <w:p>
            <w:r>
              <w:t>CAAT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随机前完成</w:t>
            </w:r>
          </w:p>
        </w:tc>
      </w:tr>
      <w:tr>
        <w:tc>
          <w:tcPr>
            <w:tcW w:type="dxa" w:w="1728"/>
          </w:tcPr>
          <w:p>
            <w:r>
              <w:t>月2末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强化期结束</w:t>
            </w:r>
          </w:p>
        </w:tc>
      </w:tr>
      <w:tr>
        <w:tc>
          <w:tcPr>
            <w:tcW w:type="dxa" w:w="1728"/>
          </w:tcPr>
          <w:p>
            <w:r>
              <w:t>月4末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队列A干预组EOT</w:t>
            </w:r>
          </w:p>
        </w:tc>
      </w:tr>
      <w:tr>
        <w:tc>
          <w:tcPr>
            <w:tcW w:type="dxa" w:w="1728"/>
          </w:tcPr>
          <w:p>
            <w:r>
              <w:t>月6末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队列A对照组EOT；队列B关键评估/随机点</w:t>
            </w:r>
          </w:p>
        </w:tc>
      </w:tr>
      <w:tr>
        <w:tc>
          <w:tcPr>
            <w:tcW w:type="dxa" w:w="1728"/>
          </w:tcPr>
          <w:p>
            <w:r>
              <w:t>月9末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队列B延长治疗组EOT</w:t>
            </w:r>
          </w:p>
        </w:tc>
      </w:tr>
      <w:tr>
        <w:tc>
          <w:tcPr>
            <w:tcW w:type="dxa" w:w="1728"/>
          </w:tcPr>
          <w:p>
            <w:r>
              <w:t>EOT后6月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是（建议）</w:t>
            </w:r>
          </w:p>
        </w:tc>
        <w:tc>
          <w:tcPr>
            <w:tcW w:type="dxa" w:w="1728"/>
          </w:tcPr>
          <w:p>
            <w:r>
              <w:t>是（建议）</w:t>
            </w:r>
          </w:p>
        </w:tc>
        <w:tc>
          <w:tcPr>
            <w:tcW w:type="dxa" w:w="1728"/>
          </w:tcPr>
          <w:p>
            <w:r>
              <w:t>长期状态评估</w:t>
            </w:r>
          </w:p>
        </w:tc>
      </w:tr>
      <w:tr>
        <w:tc>
          <w:tcPr>
            <w:tcW w:type="dxa" w:w="1728"/>
          </w:tcPr>
          <w:p>
            <w:r>
              <w:t>EOT后12月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是（建议）</w:t>
            </w:r>
          </w:p>
        </w:tc>
        <w:tc>
          <w:tcPr>
            <w:tcW w:type="dxa" w:w="1728"/>
          </w:tcPr>
          <w:p>
            <w:r>
              <w:t>是（建议）</w:t>
            </w:r>
          </w:p>
        </w:tc>
        <w:tc>
          <w:tcPr>
            <w:tcW w:type="dxa" w:w="1728"/>
          </w:tcPr>
          <w:p>
            <w:r>
              <w:t>长期状态评估</w:t>
            </w:r>
          </w:p>
        </w:tc>
      </w:tr>
    </w:tbl>
    <w:p>
      <w:pPr>
        <w:pStyle w:val="Heading2"/>
      </w:pPr>
      <w:r>
        <w:t>附录B：量表实施检查清单（每次访视）</w:t>
      </w:r>
    </w:p>
    <w:p>
      <w:pPr>
        <w:pStyle w:val="ListBullet"/>
      </w:pPr>
      <w:r>
        <w:t>在告知检查结果前完成量表</w:t>
      </w:r>
    </w:p>
    <w:p>
      <w:pPr>
        <w:pStyle w:val="ListBullet"/>
      </w:pPr>
      <w:r>
        <w:t>自填优先，协助仅逐字朗读不解释</w:t>
      </w:r>
    </w:p>
    <w:p>
      <w:pPr>
        <w:pStyle w:val="ListBullet"/>
      </w:pPr>
      <w:r>
        <w:t>核对漏填与逻辑矛盾</w:t>
      </w:r>
    </w:p>
    <w:p>
      <w:pPr>
        <w:pStyle w:val="ListBullet"/>
      </w:pPr>
      <w:r>
        <w:t>警示值升级按SOP06执行（必要时启动SOP10）。</w:t>
      </w:r>
    </w:p>
    <w:p>
      <w:pPr>
        <w:pStyle w:val="ListBullet"/>
      </w:pPr>
      <w:r>
        <w:t>EDC评分成功生成（或记录技术故障原因）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