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CB4BAE">
      <w:pPr>
        <w:jc w:val="center"/>
      </w:pPr>
      <w:r>
        <w:rPr>
          <w:b/>
          <w:sz w:val="36"/>
        </w:rPr>
        <w:t>TDSC 研究标准操作规程（SOP）</w:t>
      </w:r>
    </w:p>
    <w:p w14:paraId="3DEDA6DD">
      <w:pPr>
        <w:jc w:val="center"/>
      </w:pPr>
      <w:r>
        <w:rPr>
          <w:b/>
          <w:sz w:val="32"/>
        </w:rPr>
        <w:t>SOP1</w:t>
      </w:r>
      <w:r>
        <w:rPr>
          <w:rFonts w:hint="eastAsia"/>
          <w:b/>
          <w:sz w:val="32"/>
          <w:lang w:val="en-US" w:eastAsia="zh-CN"/>
        </w:rPr>
        <w:t>5</w:t>
      </w:r>
      <w:r>
        <w:rPr>
          <w:b/>
          <w:sz w:val="32"/>
        </w:rPr>
        <w:t>：随访与失访管理</w:t>
      </w:r>
    </w:p>
    <w:p w14:paraId="46549D44">
      <w:pPr>
        <w:jc w:val="center"/>
      </w:pPr>
      <w:r>
        <w:rPr>
          <w:b w:val="0"/>
          <w:sz w:val="24"/>
        </w:rPr>
        <w:t>（窗口、追访策略、缺失数据处理与留痕）</w:t>
      </w:r>
    </w:p>
    <w:p w14:paraId="5F1493D4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AAA0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4AC985B1">
            <w:r>
              <w:t>受控文件编号</w:t>
            </w:r>
          </w:p>
        </w:tc>
        <w:tc>
          <w:tcPr>
            <w:tcW w:w="4680" w:type="dxa"/>
          </w:tcPr>
          <w:p w14:paraId="521A62AC">
            <w:pPr>
              <w:rPr>
                <w:rFonts w:hint="eastAsia" w:eastAsia="宋体"/>
                <w:lang w:eastAsia="zh-CN"/>
              </w:rPr>
            </w:pPr>
            <w:r>
              <w:t>TDSC-SOP-1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1B1E9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6407E525">
            <w:r>
              <w:t>版本</w:t>
            </w:r>
          </w:p>
        </w:tc>
        <w:tc>
          <w:tcPr>
            <w:tcW w:w="4680" w:type="dxa"/>
          </w:tcPr>
          <w:p w14:paraId="714BEB71">
            <w:r>
              <w:t>V1.0</w:t>
            </w:r>
          </w:p>
        </w:tc>
      </w:tr>
      <w:tr w14:paraId="5C5AE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6BAFABC2">
            <w:r>
              <w:t>生效日期</w:t>
            </w:r>
          </w:p>
        </w:tc>
        <w:tc>
          <w:tcPr>
            <w:tcW w:w="4680" w:type="dxa"/>
          </w:tcPr>
          <w:p w14:paraId="422A5195">
            <w:r>
              <w:t>2026-03-04</w:t>
            </w:r>
          </w:p>
        </w:tc>
      </w:tr>
      <w:tr w14:paraId="31E11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77A8CDF2">
            <w:r>
              <w:t>适用研究</w:t>
            </w:r>
          </w:p>
        </w:tc>
        <w:tc>
          <w:tcPr>
            <w:tcW w:w="4680" w:type="dxa"/>
          </w:tcPr>
          <w:p w14:paraId="26E08E08">
            <w:r>
              <w:t>TDSC（TB-DM Short Course）研究</w:t>
            </w:r>
          </w:p>
        </w:tc>
      </w:tr>
      <w:tr w14:paraId="56FB8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27851DDD">
            <w:r>
              <w:t>对应研究方案</w:t>
            </w:r>
          </w:p>
        </w:tc>
        <w:tc>
          <w:tcPr>
            <w:tcW w:w="4680" w:type="dxa"/>
          </w:tcPr>
          <w:p w14:paraId="753120C3">
            <w:r>
              <w:t>TDSC 研究方案 V2.0（2026-02-28）</w:t>
            </w:r>
          </w:p>
        </w:tc>
      </w:tr>
      <w:tr w14:paraId="6606F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3B3CAE18">
            <w:r>
              <w:t>起草</w:t>
            </w:r>
          </w:p>
        </w:tc>
        <w:tc>
          <w:tcPr>
            <w:tcW w:w="4680" w:type="dxa"/>
          </w:tcPr>
          <w:p w14:paraId="4995E1A8">
            <w:r>
              <w:t>____________</w:t>
            </w:r>
          </w:p>
        </w:tc>
      </w:tr>
      <w:tr w14:paraId="6CFD8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60A91F4F">
            <w:r>
              <w:t>审核</w:t>
            </w:r>
          </w:p>
        </w:tc>
        <w:tc>
          <w:tcPr>
            <w:tcW w:w="4680" w:type="dxa"/>
          </w:tcPr>
          <w:p w14:paraId="54D4DBC4">
            <w:r>
              <w:t>____________</w:t>
            </w:r>
          </w:p>
        </w:tc>
      </w:tr>
      <w:tr w14:paraId="1E81B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0968BC22">
            <w:r>
              <w:t>批准</w:t>
            </w:r>
          </w:p>
        </w:tc>
        <w:tc>
          <w:tcPr>
            <w:tcW w:w="4680" w:type="dxa"/>
          </w:tcPr>
          <w:p w14:paraId="469809D4">
            <w:r>
              <w:t>____________</w:t>
            </w:r>
          </w:p>
        </w:tc>
      </w:tr>
    </w:tbl>
    <w:p w14:paraId="52C0E36B"/>
    <w:p w14:paraId="41C6AF6C">
      <w:pPr>
        <w:pStyle w:val="3"/>
      </w:pPr>
      <w:r>
        <w:t>1. 目的</w:t>
      </w:r>
    </w:p>
    <w:p w14:paraId="1FE9347F">
      <w:r>
        <w:t>规范TDSC研究的随访排程、访视窗口管理、追访（留存）策略、失访（LTFU）处理以及缺失数据的记录与留痕要求，确保：（1）随访执行与研究方案一致；（2）关键终点与安全性数据尽可能完整；（3）缺失/超窗事件可追溯、可审计，并可与统计分析（SAP）一致衔接。</w:t>
      </w:r>
    </w:p>
    <w:p w14:paraId="26AE40E5">
      <w:pPr>
        <w:pStyle w:val="3"/>
      </w:pPr>
      <w:r>
        <w:t>2. 适用范围</w:t>
      </w:r>
    </w:p>
    <w:p w14:paraId="0F511E5C">
      <w:pPr>
        <w:pStyle w:val="16"/>
        <w:jc w:val="left"/>
      </w:pPr>
      <w:r>
        <w:t>适用于TDSC所有队列与所有受试者（含提前终止ET与停药后随访期）。</w:t>
      </w:r>
    </w:p>
    <w:p w14:paraId="35D14E93">
      <w:pPr>
        <w:pStyle w:val="16"/>
        <w:jc w:val="left"/>
      </w:pPr>
      <w:r>
        <w:t>适用于所有计划访视、非计划访视（unscheduled visits）、远程随访与被动结局追溯（如伦理/ICF允许）。</w:t>
      </w:r>
    </w:p>
    <w:p w14:paraId="7DF6C505">
      <w:pPr>
        <w:pStyle w:val="16"/>
        <w:jc w:val="left"/>
      </w:pPr>
      <w:r>
        <w:t>与退出研究/撤回同意的处理需同步遵循；与方案偏差/CAPA闭环遵循；与数据核查/Query闭环遵循。</w:t>
      </w:r>
    </w:p>
    <w:p w14:paraId="4BE8FA2A">
      <w:pPr>
        <w:pStyle w:val="3"/>
      </w:pPr>
      <w:r>
        <w:t>3. 参考文件（对接/交叉引用）</w:t>
      </w:r>
    </w:p>
    <w:p w14:paraId="011478B6">
      <w:pPr>
        <w:pStyle w:val="16"/>
        <w:jc w:val="left"/>
      </w:pPr>
      <w:r>
        <w:t>TDSC 研究方案 V2.0（2026-02-28）：随访计划、主要/次要终点与随访终点定义。</w:t>
      </w:r>
    </w:p>
    <w:p w14:paraId="64E7082E">
      <w:pPr>
        <w:pStyle w:val="16"/>
        <w:jc w:val="left"/>
      </w:pPr>
      <w:r>
        <w:t>《TDSC 随访计划主表（EDC-ready）V2.2》与《随访卡（4m/6m/9m）V1.0》：访视节点与窗口定义（本SOP以其为单一事实来源）。</w:t>
      </w:r>
    </w:p>
    <w:p w14:paraId="452A1736">
      <w:pPr>
        <w:pStyle w:val="16"/>
        <w:jc w:val="left"/>
      </w:pPr>
      <w:r>
        <w:t>SOP11：筛选与知情同意（含撤回同意、失访与被动追溯边界）。</w:t>
      </w:r>
    </w:p>
    <w:p w14:paraId="51A15D82">
      <w:pPr>
        <w:pStyle w:val="16"/>
        <w:jc w:val="left"/>
      </w:pPr>
      <w:r>
        <w:t>SOP15：疗效/结局评估与CEC裁决材料包（培养、复发、再感染证据链）。</w:t>
      </w:r>
    </w:p>
    <w:p w14:paraId="13FC95F6">
      <w:pPr>
        <w:pStyle w:val="16"/>
        <w:jc w:val="left"/>
      </w:pPr>
      <w:r>
        <w:t>SOP16：微生物学流程（培养判定、污染/NTM、晚到结果处理）。</w:t>
      </w:r>
    </w:p>
    <w:p w14:paraId="7B53C5E0">
      <w:pPr>
        <w:pStyle w:val="16"/>
        <w:jc w:val="left"/>
      </w:pPr>
      <w:r>
        <w:t>SOP19：数据管理与质量控制（EDC、核查规则、Query、冻结/锁库）。</w:t>
      </w:r>
    </w:p>
    <w:p w14:paraId="4093B1DD">
      <w:pPr>
        <w:pStyle w:val="16"/>
        <w:jc w:val="left"/>
      </w:pPr>
      <w:r>
        <w:t>SOP20：方案偏差违背与CAPA（超窗、缺失、失访趋势管理）。</w:t>
      </w:r>
    </w:p>
    <w:p w14:paraId="1C2597CA">
      <w:pPr>
        <w:pStyle w:val="16"/>
        <w:jc w:val="left"/>
      </w:pPr>
      <w:r>
        <w:t>SOP06（含附录A/B）+ SOP10：AE捕获、DAIDS分级与处置/上报时限。</w:t>
      </w:r>
    </w:p>
    <w:p w14:paraId="0D65C560">
      <w:pPr>
        <w:pStyle w:val="3"/>
      </w:pPr>
      <w:r>
        <w:t>4. 术语与定义</w:t>
      </w:r>
    </w:p>
    <w:p w14:paraId="3D56B8D6">
      <w:pPr>
        <w:pStyle w:val="16"/>
        <w:jc w:val="left"/>
      </w:pPr>
      <w:r>
        <w:t>目标访视日期（Target date）：按研究方案/随访表定义的目标日期（例如W24=Day168）。</w:t>
      </w:r>
    </w:p>
    <w:p w14:paraId="6680DB87">
      <w:pPr>
        <w:pStyle w:val="16"/>
        <w:jc w:val="left"/>
      </w:pPr>
      <w:r>
        <w:t>访视窗口（Window）：允许完成该访视的时间范围（例如W24=Day168±7）。</w:t>
      </w:r>
    </w:p>
    <w:p w14:paraId="15130E40">
      <w:pPr>
        <w:pStyle w:val="16"/>
        <w:jc w:val="left"/>
      </w:pPr>
      <w:r>
        <w:t>超窗（Out-of-window）：访视发生在窗口之外；数据仍可采集但必须记录偏差并评估影响。</w:t>
      </w:r>
    </w:p>
    <w:p w14:paraId="639F3B44">
      <w:pPr>
        <w:pStyle w:val="16"/>
        <w:jc w:val="left"/>
      </w:pPr>
      <w:r>
        <w:t>EOT：治疗结束时间点；停药后随访（FV）以EOT为锚点计算（不跨组“齐平”）。</w:t>
      </w:r>
    </w:p>
    <w:p w14:paraId="2B75455C">
      <w:pPr>
        <w:pStyle w:val="16"/>
        <w:jc w:val="left"/>
      </w:pPr>
      <w:r>
        <w:t>潜在失访（Potential LTFU）：在窗口期内未完成访视且多次联系失败，需要启动升级追访。</w:t>
      </w:r>
    </w:p>
    <w:p w14:paraId="66CD7012">
      <w:pPr>
        <w:pStyle w:val="16"/>
        <w:jc w:val="left"/>
      </w:pPr>
      <w:r>
        <w:t>失访（LTFU）：在完成规定追访动作后仍无法获得最小随访数据集（或无法确认结局状态）。</w:t>
      </w:r>
    </w:p>
    <w:p w14:paraId="297DDD2D">
      <w:pPr>
        <w:pStyle w:val="16"/>
        <w:jc w:val="left"/>
      </w:pPr>
      <w:r>
        <w:t>缺失原因代码：用于EDC留痕的标准化原因（见附录C）。</w:t>
      </w:r>
    </w:p>
    <w:p w14:paraId="66FFECCA">
      <w:pPr>
        <w:pStyle w:val="3"/>
      </w:pPr>
      <w:r>
        <w:t>5. 角色与职责（摘要）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D7C3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37B47176">
            <w:r>
              <w:t>角色</w:t>
            </w:r>
          </w:p>
        </w:tc>
        <w:tc>
          <w:tcPr>
            <w:tcW w:w="4680" w:type="dxa"/>
          </w:tcPr>
          <w:p w14:paraId="65429A47">
            <w:r>
              <w:t>主要职责（摘要）</w:t>
            </w:r>
          </w:p>
        </w:tc>
      </w:tr>
      <w:tr w14:paraId="1E996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0031D829">
            <w:r>
              <w:t>分中心PI/研究医生</w:t>
            </w:r>
          </w:p>
        </w:tc>
        <w:tc>
          <w:tcPr>
            <w:tcW w:w="4680" w:type="dxa"/>
          </w:tcPr>
          <w:p w14:paraId="2507F61F">
            <w:r>
              <w:t>批准随访调整；对失访升级与被动追溯合规性负责；签字确认关键偏差/影响评估。</w:t>
            </w:r>
          </w:p>
        </w:tc>
      </w:tr>
      <w:tr w14:paraId="225BE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479A4103">
            <w:r>
              <w:t>CRC/研究护士</w:t>
            </w:r>
          </w:p>
        </w:tc>
        <w:tc>
          <w:tcPr>
            <w:tcW w:w="4680" w:type="dxa"/>
          </w:tcPr>
          <w:p w14:paraId="373CFF0D">
            <w:r>
              <w:t>排程与提醒；执行追访；记录联系尝试与结果；按要求录入EDC并闭环Query。</w:t>
            </w:r>
          </w:p>
        </w:tc>
      </w:tr>
      <w:tr w14:paraId="59B00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09FE1338">
            <w:r>
              <w:t>医学监查/安全团队（如有）</w:t>
            </w:r>
          </w:p>
        </w:tc>
        <w:tc>
          <w:tcPr>
            <w:tcW w:w="4680" w:type="dxa"/>
          </w:tcPr>
          <w:p w14:paraId="31AC793B">
            <w:r>
              <w:t>对安全相关随访缺失优先处理；必要时触发非计划安全访视。</w:t>
            </w:r>
          </w:p>
        </w:tc>
      </w:tr>
      <w:tr w14:paraId="32453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697CB090">
            <w:r>
              <w:t>数据管理（DM）</w:t>
            </w:r>
          </w:p>
        </w:tc>
        <w:tc>
          <w:tcPr>
            <w:tcW w:w="4680" w:type="dxa"/>
          </w:tcPr>
          <w:p w14:paraId="4CBD4D27">
            <w:r>
              <w:t>监测缺失/超窗/失访指标；生成质量报告与清单；推动Query与CAPA闭环。</w:t>
            </w:r>
          </w:p>
        </w:tc>
      </w:tr>
      <w:tr w14:paraId="55EDE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29000F07">
            <w:r>
              <w:t>CRA/质量与稽查</w:t>
            </w:r>
          </w:p>
        </w:tc>
        <w:tc>
          <w:tcPr>
            <w:tcW w:w="4680" w:type="dxa"/>
          </w:tcPr>
          <w:p w14:paraId="21A9ACEE">
            <w:r>
              <w:t>核查随访执行、源文件与EDC一致性；提出问题并验证整改。</w:t>
            </w:r>
          </w:p>
        </w:tc>
      </w:tr>
      <w:tr w14:paraId="28F48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44CC5B51">
            <w:r>
              <w:t>PMO</w:t>
            </w:r>
          </w:p>
        </w:tc>
        <w:tc>
          <w:tcPr>
            <w:tcW w:w="4680" w:type="dxa"/>
          </w:tcPr>
          <w:p w14:paraId="0CE0CDA8">
            <w:r>
              <w:t>组织跨中心沟通与培训；对系统性失访/超窗趋势推动项目级CAPA。</w:t>
            </w:r>
          </w:p>
        </w:tc>
      </w:tr>
    </w:tbl>
    <w:p w14:paraId="6DB0514A"/>
    <w:p w14:paraId="3B5ADE3F">
      <w:pPr>
        <w:pStyle w:val="3"/>
      </w:pPr>
      <w:r>
        <w:t>6. 访视窗口与排程规则</w:t>
      </w:r>
    </w:p>
    <w:p w14:paraId="796E4C4E">
      <w:pPr>
        <w:pStyle w:val="4"/>
      </w:pPr>
      <w:r>
        <w:t>6.1 访视节点与窗口（单一事实来源）</w:t>
      </w:r>
    </w:p>
    <w:p w14:paraId="6A3139CE">
      <w:r>
        <w:t>各访视节点与窗口以《随访计划主表（EDC-ready）》为准。本SOP提供最小化窗口速查（附录A），用于现场排程与稽查核对。</w:t>
      </w:r>
    </w:p>
    <w:p w14:paraId="292A55D5">
      <w:pPr>
        <w:pStyle w:val="4"/>
      </w:pPr>
      <w:r>
        <w:t>6.2 锚点日期与EOT规则</w:t>
      </w:r>
    </w:p>
    <w:p w14:paraId="0A62C9CD">
      <w:pPr>
        <w:pStyle w:val="16"/>
        <w:jc w:val="left"/>
      </w:pPr>
      <w:r>
        <w:t>治疗期访视以基线D0为锚点；停药后随访（FV）以受试者实际EOT日期为锚点计算（±14天窗口）。</w:t>
      </w:r>
    </w:p>
    <w:p w14:paraId="7ACA822E">
      <w:pPr>
        <w:pStyle w:val="16"/>
        <w:jc w:val="left"/>
      </w:pPr>
      <w:r>
        <w:t>队列A：EOT可为W16（4m）或W24（6m）；队列B：EOT可为W24（6m）或W36（9m）。</w:t>
      </w:r>
    </w:p>
    <w:p w14:paraId="2BBD67BC">
      <w:pPr>
        <w:pStyle w:val="16"/>
        <w:jc w:val="left"/>
      </w:pPr>
      <w:r>
        <w:t>如提前终止（ET）：尽可能完成ET访视与关键终点/安全性最小数据集，并将后续随访锚点改为ET/EOT实际日期（按随访表规则）。</w:t>
      </w:r>
    </w:p>
    <w:p w14:paraId="7389F336">
      <w:pPr>
        <w:pStyle w:val="4"/>
      </w:pPr>
      <w:r>
        <w:t>6.3 访视未能按窗完成的处理原则</w:t>
      </w:r>
    </w:p>
    <w:p w14:paraId="19F8B846">
      <w:pPr>
        <w:pStyle w:val="14"/>
        <w:jc w:val="left"/>
      </w:pPr>
      <w:r>
        <w:t>优先在窗口内完成：如受试者无法到院，可评估是否允许远程完成部分项目（例如PRO、事件询问），并在窗口内补齐关键检查。</w:t>
      </w:r>
    </w:p>
    <w:p w14:paraId="7183FF07">
      <w:pPr>
        <w:pStyle w:val="14"/>
        <w:jc w:val="left"/>
      </w:pPr>
      <w:r>
        <w:t>窗口外完成：仍应尽快完成关键终点与安全性评估，但必须记录为方案偏差（SOP20），并在EDC中使用标准化缺失/超窗留痕。</w:t>
      </w:r>
    </w:p>
    <w:p w14:paraId="2A82AB1C">
      <w:pPr>
        <w:pStyle w:val="14"/>
        <w:jc w:val="left"/>
      </w:pPr>
      <w:r>
        <w:t>不得以“补做访视”改变后续访视的目标日期（除非研究方案/随访主表明确允许）；停药后随访仍以EOT实际日期为锚点。</w:t>
      </w:r>
    </w:p>
    <w:p w14:paraId="7B3C1130">
      <w:pPr>
        <w:pStyle w:val="4"/>
      </w:pPr>
      <w:r>
        <w:t>6.4 非计划访视（Unscheduled visits）</w:t>
      </w:r>
    </w:p>
    <w:p w14:paraId="1D78D35F">
      <w:pPr>
        <w:pStyle w:val="16"/>
        <w:jc w:val="left"/>
      </w:pPr>
      <w:r>
        <w:t>触发：安全红旗、疑似终点事件、关键化验/心电异常或受试者主诉显著恶化。</w:t>
      </w:r>
    </w:p>
    <w:p w14:paraId="6BCFB21D">
      <w:pPr>
        <w:pStyle w:val="16"/>
        <w:jc w:val="left"/>
      </w:pPr>
      <w:r>
        <w:t>记录：应在EDC登记非计划访视类型、触发原因、完成项目与结论；与计划访视的缺失/超窗需同步留痕。</w:t>
      </w:r>
    </w:p>
    <w:p w14:paraId="7E4AB846">
      <w:pPr>
        <w:pStyle w:val="4"/>
      </w:pPr>
      <w:r>
        <w:t>6.5 远程随访（如适用）</w:t>
      </w:r>
    </w:p>
    <w:p w14:paraId="13AC9CAE">
      <w:pPr>
        <w:pStyle w:val="16"/>
        <w:jc w:val="left"/>
      </w:pPr>
      <w:r>
        <w:t>允许形式：电话/视频随访、短信/微信、电子PRO等；仅用于不需要现场检查的项目或作为“先行信息采集”。</w:t>
      </w:r>
    </w:p>
    <w:p w14:paraId="026E3D77">
      <w:pPr>
        <w:pStyle w:val="16"/>
        <w:jc w:val="left"/>
      </w:pPr>
      <w:r>
        <w:t>合规：必须符合伦理批准与ICF授权范围；不得收集超授权信息；记录随访方式、时间、参与人员与关键结论。</w:t>
      </w:r>
    </w:p>
    <w:p w14:paraId="7F794A9E">
      <w:pPr>
        <w:pStyle w:val="16"/>
        <w:jc w:val="left"/>
      </w:pPr>
      <w:r>
        <w:t>远程随访不能替代研究方案要求的关键实验室/影像/微生物学采样；需尽快安排到院补齐。</w:t>
      </w:r>
    </w:p>
    <w:p w14:paraId="70A192D2">
      <w:pPr>
        <w:pStyle w:val="3"/>
      </w:pPr>
      <w:r>
        <w:t>7. 追访（留存）策略与失访管理</w:t>
      </w:r>
    </w:p>
    <w:p w14:paraId="30DDF3E3">
      <w:pPr>
        <w:pStyle w:val="4"/>
      </w:pPr>
      <w:r>
        <w:t>7.1 基线与每次访视的留存动作（必做）</w:t>
      </w:r>
    </w:p>
    <w:p w14:paraId="3CA98241">
      <w:pPr>
        <w:pStyle w:val="16"/>
        <w:jc w:val="left"/>
      </w:pPr>
      <w:r>
        <w:t>核对并更新联系方式：本人电话/地址 + 至少2名备用联系人；确认偏好联系方式与可联络时段。</w:t>
      </w:r>
    </w:p>
    <w:p w14:paraId="589B047A">
      <w:pPr>
        <w:pStyle w:val="16"/>
        <w:jc w:val="left"/>
      </w:pPr>
      <w:r>
        <w:t>发放随访卡/日程提醒；说明关键访视（W8、EOT、PT-M12/PT-M24）重要性。</w:t>
      </w:r>
    </w:p>
    <w:p w14:paraId="51529967">
      <w:pPr>
        <w:pStyle w:val="16"/>
        <w:jc w:val="left"/>
      </w:pPr>
      <w:r>
        <w:t>对高风险人群（既往依从性差、居住流动性高）建立重点名单，提前排程与提醒。</w:t>
      </w:r>
    </w:p>
    <w:p w14:paraId="30596BB3">
      <w:pPr>
        <w:pStyle w:val="4"/>
      </w:pPr>
      <w:r>
        <w:t>7.2 标准化追访步骤（最小化要求）</w:t>
      </w:r>
    </w:p>
    <w:p w14:paraId="7E391276">
      <w:r>
        <w:t>当受试者在窗口内未到访或未完成关键项目时，按以下步骤追访并留痕（附录B模板）：</w:t>
      </w:r>
    </w:p>
    <w:p w14:paraId="2AF85001">
      <w:pPr>
        <w:pStyle w:val="14"/>
        <w:jc w:val="left"/>
      </w:pPr>
      <w:r>
        <w:t>第1步：窗口内提醒——至少2次电话/短信（建议T-7与T-2），确认预约与交通安排。</w:t>
      </w:r>
    </w:p>
    <w:p w14:paraId="38D2351E">
      <w:pPr>
        <w:pStyle w:val="14"/>
        <w:jc w:val="left"/>
      </w:pPr>
      <w:r>
        <w:t>第2步：窗口期内未到访——至少3次电话联系（不同日期/时段），并至少1次书面/电子方式（短信/微信/邮件/信函）。</w:t>
      </w:r>
    </w:p>
    <w:p w14:paraId="26A5EF7D">
      <w:pPr>
        <w:pStyle w:val="14"/>
        <w:jc w:val="left"/>
      </w:pPr>
      <w:r>
        <w:t>第3步：窗口结束后14天内仍无反馈——标记为“潜在失访”，升级至中心PI；评估是否可启动被动追溯（需伦理/ICF允许）。</w:t>
      </w:r>
    </w:p>
    <w:p w14:paraId="7B5260A7">
      <w:pPr>
        <w:pStyle w:val="14"/>
        <w:jc w:val="left"/>
      </w:pPr>
      <w:r>
        <w:t>第4步：完成规定追访后仍无法获得最小随访数据集——判定为失访（LTFU），填写失访原因与采取的追访措施，进入偏差与趋势监测。</w:t>
      </w:r>
    </w:p>
    <w:p w14:paraId="51FD82D9">
      <w:pPr>
        <w:pStyle w:val="4"/>
      </w:pPr>
      <w:r>
        <w:t>7.3 被动结局追溯（仅在授权范围内）</w:t>
      </w:r>
    </w:p>
    <w:p w14:paraId="229F59D4">
      <w:pPr>
        <w:pStyle w:val="16"/>
        <w:jc w:val="left"/>
      </w:pPr>
      <w:r>
        <w:t>前提：受试者未明确撤回同意，且伦理批准与ICF允许被动追溯。</w:t>
      </w:r>
    </w:p>
    <w:p w14:paraId="3D4BDD67">
      <w:pPr>
        <w:pStyle w:val="16"/>
        <w:jc w:val="left"/>
      </w:pPr>
      <w:r>
        <w:t>来源：院内病案系统/检验系统、结核登记系统或其他合法来源（按机构政策）。</w:t>
      </w:r>
    </w:p>
    <w:p w14:paraId="6A94D1EF">
      <w:pPr>
        <w:pStyle w:val="16"/>
        <w:jc w:val="left"/>
      </w:pPr>
      <w:r>
        <w:t>最小数据集：生存状态、再入院/再治疗信息、关键终点事件线索（如复发/再感染需进一步证据链，见SOP15）。</w:t>
      </w:r>
    </w:p>
    <w:p w14:paraId="2DFAA8D7">
      <w:pPr>
        <w:pStyle w:val="16"/>
        <w:jc w:val="left"/>
      </w:pPr>
      <w:r>
        <w:t>留痕：记录追溯日期、来源、获得信息类型与结论；不得记录超范围隐私信息。</w:t>
      </w:r>
    </w:p>
    <w:p w14:paraId="4163FFF0">
      <w:pPr>
        <w:pStyle w:val="4"/>
      </w:pPr>
      <w:r>
        <w:t>7.4 退出研究/撤回同意与失访的区分</w:t>
      </w:r>
    </w:p>
    <w:p w14:paraId="41F0C1B3">
      <w:pPr>
        <w:pStyle w:val="16"/>
        <w:jc w:val="left"/>
      </w:pPr>
      <w:r>
        <w:t>撤回同意：受试者明确拒绝进一步数据收集或随访——按</w:t>
      </w:r>
      <w:r>
        <w:rPr>
          <w:rFonts w:hint="eastAsia"/>
          <w:lang w:val="en-US" w:eastAsia="zh-CN"/>
        </w:rPr>
        <w:t>相应SOP</w:t>
      </w:r>
      <w:r>
        <w:t>记录范围（治疗/随访/样本/数据）。</w:t>
      </w:r>
    </w:p>
    <w:p w14:paraId="7EFB238F">
      <w:pPr>
        <w:pStyle w:val="16"/>
        <w:jc w:val="left"/>
      </w:pPr>
      <w:r>
        <w:t>停止研究治疗但同意随访：应尽最大努力继续收集结局与安全性最小数据集。</w:t>
      </w:r>
    </w:p>
    <w:p w14:paraId="6A784F6A">
      <w:pPr>
        <w:pStyle w:val="16"/>
        <w:jc w:val="left"/>
      </w:pPr>
      <w:r>
        <w:t>失访：无法联系或无法获得最小数据集——记录追访过程与证据，纳入</w:t>
      </w:r>
      <w:r>
        <w:rPr>
          <w:rFonts w:hint="eastAsia"/>
          <w:lang w:val="en-US" w:eastAsia="zh-CN"/>
        </w:rPr>
        <w:t>相应SOP</w:t>
      </w:r>
      <w:bookmarkStart w:id="0" w:name="_GoBack"/>
      <w:bookmarkEnd w:id="0"/>
      <w:r>
        <w:t>趋势监测与CAPA。</w:t>
      </w:r>
    </w:p>
    <w:p w14:paraId="691F5CF1">
      <w:pPr>
        <w:pStyle w:val="3"/>
      </w:pPr>
      <w:r>
        <w:t>8. 缺失数据处理与留痕（执行口径）</w:t>
      </w:r>
    </w:p>
    <w:p w14:paraId="2EF2FC47">
      <w:pPr>
        <w:pStyle w:val="4"/>
      </w:pPr>
      <w:r>
        <w:t>8.1 一般原则</w:t>
      </w:r>
    </w:p>
    <w:p w14:paraId="0D191F4A">
      <w:pPr>
        <w:pStyle w:val="16"/>
        <w:jc w:val="left"/>
      </w:pPr>
      <w:r>
        <w:t>“不留空”：任何未完成项目必须填写缺失原因代码（附录C）并尽量补充说明。</w:t>
      </w:r>
    </w:p>
    <w:p w14:paraId="55EB73D6">
      <w:pPr>
        <w:pStyle w:val="16"/>
        <w:jc w:val="left"/>
      </w:pPr>
      <w:r>
        <w:t>关键终点与安全性数据优先补齐：微生物学结果按SOP16处理；疑似终点事件按SOP15补齐证据链；AE/SAE按SOP10时限上报。</w:t>
      </w:r>
    </w:p>
    <w:p w14:paraId="42A42B90">
      <w:pPr>
        <w:pStyle w:val="16"/>
        <w:jc w:val="left"/>
      </w:pPr>
      <w:r>
        <w:t>SAP对缺失数据的统计处理（如非劣效、复合不良结局、复发/再感染）以SAP为准；本SOP仅规范现场记录与留痕。</w:t>
      </w:r>
    </w:p>
    <w:p w14:paraId="1E7206C5">
      <w:pPr>
        <w:pStyle w:val="4"/>
      </w:pPr>
      <w:r>
        <w:t>8.2 晚到结果/污染/不可评价的处理</w:t>
      </w:r>
    </w:p>
    <w:p w14:paraId="7615E049">
      <w:pPr>
        <w:pStyle w:val="16"/>
        <w:jc w:val="left"/>
      </w:pPr>
      <w:r>
        <w:t>培养污染/不可评价：按SOP16尽快补采；若超窗仍不可评价，记录为偏差并按SAP处理。</w:t>
      </w:r>
    </w:p>
    <w:p w14:paraId="08A015A2">
      <w:pPr>
        <w:pStyle w:val="16"/>
        <w:jc w:val="left"/>
      </w:pPr>
      <w:r>
        <w:t>晚到结果：以标本采集日期为时间锚；若晚到阳性提示随机化前阳性等情形，按SOP15与SOP20升级处理。</w:t>
      </w:r>
    </w:p>
    <w:p w14:paraId="12B97F37">
      <w:pPr>
        <w:pStyle w:val="4"/>
      </w:pPr>
      <w:r>
        <w:t>8.3 关键状态字段（建议EDC必填）</w:t>
      </w:r>
    </w:p>
    <w:p w14:paraId="1F30EF4F">
      <w:pPr>
        <w:pStyle w:val="16"/>
        <w:jc w:val="left"/>
      </w:pPr>
      <w:r>
        <w:t>访视完成状态：按窗完成/窗外完成/未完成；原因代码；是否触发偏差。</w:t>
      </w:r>
    </w:p>
    <w:p w14:paraId="40BDDEB8">
      <w:pPr>
        <w:pStyle w:val="16"/>
        <w:jc w:val="left"/>
      </w:pPr>
      <w:r>
        <w:t>结局状态：存活/死亡/未知；是否发生疑似终点事件；是否已提交CEC。</w:t>
      </w:r>
    </w:p>
    <w:p w14:paraId="2B608F81">
      <w:pPr>
        <w:pStyle w:val="16"/>
        <w:jc w:val="left"/>
      </w:pPr>
      <w:r>
        <w:t>联系与追访：联系次数、方式、最后一次成功联系日期、被动追溯是否执行。</w:t>
      </w:r>
    </w:p>
    <w:p w14:paraId="2326FC0A">
      <w:pPr>
        <w:pStyle w:val="3"/>
      </w:pPr>
      <w:r>
        <w:t>9. 数据录入、核查与趋势监测</w:t>
      </w:r>
    </w:p>
    <w:p w14:paraId="2DC88B45">
      <w:pPr>
        <w:pStyle w:val="16"/>
        <w:jc w:val="left"/>
      </w:pPr>
      <w:r>
        <w:t>录入时限：计划访视数据建议72小时内录入；涉及SAE/关键安全信号的最小信息应24小时内录入并上报（SOP10）。</w:t>
      </w:r>
    </w:p>
    <w:p w14:paraId="5B49FED1">
      <w:pPr>
        <w:pStyle w:val="16"/>
        <w:jc w:val="left"/>
      </w:pPr>
      <w:r>
        <w:t>数据核查：缺失/超窗/失访清单由DM定期输出并推动Query闭环（SOP19）。</w:t>
      </w:r>
    </w:p>
    <w:p w14:paraId="1D9D205F">
      <w:pPr>
        <w:pStyle w:val="16"/>
        <w:jc w:val="left"/>
      </w:pPr>
      <w:r>
        <w:t>趋势监测：中心级失访率、超窗率、关键终点缺失率为核心质量指标；达到预设阈值应启动CAPA（SOP20）。</w:t>
      </w:r>
    </w:p>
    <w:p w14:paraId="56C1F793">
      <w:pPr>
        <w:pStyle w:val="3"/>
      </w:pPr>
      <w:r>
        <w:t>10. 方案偏差与CAPA触发（示例）</w:t>
      </w:r>
    </w:p>
    <w:p w14:paraId="75F90B50">
      <w:pPr>
        <w:pStyle w:val="16"/>
        <w:jc w:val="left"/>
      </w:pPr>
      <w:r>
        <w:t>关键访视（W8、EOT、PT-M12/PT-M24）未按窗完成且无法补救；</w:t>
      </w:r>
    </w:p>
    <w:p w14:paraId="724D6AF2">
      <w:pPr>
        <w:pStyle w:val="16"/>
        <w:jc w:val="left"/>
      </w:pPr>
      <w:r>
        <w:t>队列B M6 Hard Gate所需培养结果缺失/不可评价导致无法判定；</w:t>
      </w:r>
    </w:p>
    <w:p w14:paraId="17046021">
      <w:pPr>
        <w:pStyle w:val="16"/>
        <w:jc w:val="left"/>
      </w:pPr>
      <w:r>
        <w:t>重复性超窗或同类缺失在同一中心集中出现；</w:t>
      </w:r>
    </w:p>
    <w:p w14:paraId="6E22ECAA">
      <w:pPr>
        <w:pStyle w:val="16"/>
        <w:jc w:val="left"/>
      </w:pPr>
      <w:r>
        <w:t>追访动作未按本SOP执行导致失访。</w:t>
      </w:r>
    </w:p>
    <w:p w14:paraId="7F18EE9B">
      <w:pPr>
        <w:pStyle w:val="3"/>
      </w:pPr>
      <w:r>
        <w:t>附录A：访视窗口速查表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FC35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54F8C4D5">
            <w:r>
              <w:t>访视节点</w:t>
            </w:r>
          </w:p>
        </w:tc>
        <w:tc>
          <w:tcPr>
            <w:tcW w:w="4320" w:type="dxa"/>
            <w:vAlign w:val="top"/>
          </w:tcPr>
          <w:p w14:paraId="2A4D1856">
            <w:r>
              <w:t>窗口</w:t>
            </w:r>
          </w:p>
        </w:tc>
      </w:tr>
      <w:tr w14:paraId="5B67B6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645A68A7">
            <w:r>
              <w:t>V0 筛选</w:t>
            </w:r>
          </w:p>
        </w:tc>
        <w:tc>
          <w:tcPr>
            <w:tcW w:w="4320" w:type="dxa"/>
            <w:vAlign w:val="top"/>
          </w:tcPr>
          <w:p w14:paraId="7E30C952">
            <w:r>
              <w:t>D-7 ~ -1</w:t>
            </w:r>
          </w:p>
        </w:tc>
      </w:tr>
      <w:tr w14:paraId="04263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169F9B74">
            <w:r>
              <w:t>V1 基线</w:t>
            </w:r>
          </w:p>
        </w:tc>
        <w:tc>
          <w:tcPr>
            <w:tcW w:w="4320" w:type="dxa"/>
            <w:vAlign w:val="top"/>
          </w:tcPr>
          <w:p w14:paraId="086EE70C">
            <w:r>
              <w:t>D0</w:t>
            </w:r>
          </w:p>
        </w:tc>
      </w:tr>
      <w:tr w14:paraId="410A66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04CD5836">
            <w:r>
              <w:t>W2</w:t>
            </w:r>
          </w:p>
        </w:tc>
        <w:tc>
          <w:tcPr>
            <w:tcW w:w="4320" w:type="dxa"/>
            <w:vAlign w:val="top"/>
          </w:tcPr>
          <w:p w14:paraId="4C185974">
            <w:r>
              <w:t>D14 ±3</w:t>
            </w:r>
          </w:p>
        </w:tc>
      </w:tr>
      <w:tr w14:paraId="73EAC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24CE2135">
            <w:r>
              <w:t>W4</w:t>
            </w:r>
          </w:p>
        </w:tc>
        <w:tc>
          <w:tcPr>
            <w:tcW w:w="4320" w:type="dxa"/>
            <w:vAlign w:val="top"/>
          </w:tcPr>
          <w:p w14:paraId="63E5C758">
            <w:r>
              <w:t>D28 ±3</w:t>
            </w:r>
          </w:p>
        </w:tc>
      </w:tr>
      <w:tr w14:paraId="1CA14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3B1EB7AA">
            <w:r>
              <w:t>W8</w:t>
            </w:r>
          </w:p>
        </w:tc>
        <w:tc>
          <w:tcPr>
            <w:tcW w:w="4320" w:type="dxa"/>
            <w:vAlign w:val="top"/>
          </w:tcPr>
          <w:p w14:paraId="10BF6BC9">
            <w:r>
              <w:t>D56 ±3</w:t>
            </w:r>
          </w:p>
        </w:tc>
      </w:tr>
      <w:tr w14:paraId="42C623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171043F2">
            <w:r>
              <w:t>W12</w:t>
            </w:r>
          </w:p>
        </w:tc>
        <w:tc>
          <w:tcPr>
            <w:tcW w:w="4320" w:type="dxa"/>
            <w:vAlign w:val="top"/>
          </w:tcPr>
          <w:p w14:paraId="6B33515B">
            <w:r>
              <w:t>D84 ±7</w:t>
            </w:r>
          </w:p>
        </w:tc>
      </w:tr>
      <w:tr w14:paraId="786EC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  <w:vAlign w:val="top"/>
          </w:tcPr>
          <w:p w14:paraId="00BDE7F9">
            <w:r>
              <w:t>W16（EOT-4m）</w:t>
            </w:r>
          </w:p>
        </w:tc>
        <w:tc>
          <w:tcPr>
            <w:tcW w:w="4320" w:type="dxa"/>
            <w:vAlign w:val="top"/>
          </w:tcPr>
          <w:p w14:paraId="4DE25F59">
            <w:r>
              <w:t>D112 ±7</w:t>
            </w:r>
          </w:p>
        </w:tc>
      </w:tr>
      <w:tr w14:paraId="0B8F0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074A47B9">
            <w:r>
              <w:t>W20</w:t>
            </w:r>
          </w:p>
        </w:tc>
        <w:tc>
          <w:tcPr>
            <w:tcW w:w="4320" w:type="dxa"/>
            <w:vAlign w:val="top"/>
          </w:tcPr>
          <w:p w14:paraId="3CEB4AF2">
            <w:r>
              <w:t>D140 ±7</w:t>
            </w:r>
          </w:p>
        </w:tc>
      </w:tr>
      <w:tr w14:paraId="7764C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74353B6E">
            <w:r>
              <w:t>W24（EOT-6m；队列B M6）</w:t>
            </w:r>
          </w:p>
        </w:tc>
        <w:tc>
          <w:tcPr>
            <w:tcW w:w="4320" w:type="dxa"/>
            <w:vAlign w:val="top"/>
          </w:tcPr>
          <w:p w14:paraId="033F550C">
            <w:r>
              <w:t>D168 ±7</w:t>
            </w:r>
          </w:p>
        </w:tc>
      </w:tr>
      <w:tr w14:paraId="2AD18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  <w:vAlign w:val="top"/>
          </w:tcPr>
          <w:p w14:paraId="571C52E8">
            <w:r>
              <w:t>W28</w:t>
            </w:r>
          </w:p>
        </w:tc>
        <w:tc>
          <w:tcPr>
            <w:tcW w:w="4320" w:type="dxa"/>
            <w:vAlign w:val="top"/>
          </w:tcPr>
          <w:p w14:paraId="4E8AA16C">
            <w:r>
              <w:t>D196 ±7</w:t>
            </w:r>
          </w:p>
        </w:tc>
      </w:tr>
      <w:tr w14:paraId="7B48D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1D610099">
            <w:r>
              <w:t>W32</w:t>
            </w:r>
          </w:p>
        </w:tc>
        <w:tc>
          <w:tcPr>
            <w:tcW w:w="4320" w:type="dxa"/>
            <w:vAlign w:val="top"/>
          </w:tcPr>
          <w:p w14:paraId="2503113B">
            <w:r>
              <w:t>D224 ±7</w:t>
            </w:r>
          </w:p>
        </w:tc>
      </w:tr>
      <w:tr w14:paraId="42C82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5F922C1E">
            <w:r>
              <w:t>W36（EOT-9m）</w:t>
            </w:r>
          </w:p>
        </w:tc>
        <w:tc>
          <w:tcPr>
            <w:tcW w:w="4320" w:type="dxa"/>
            <w:vAlign w:val="top"/>
          </w:tcPr>
          <w:p w14:paraId="168DC117">
            <w:r>
              <w:t>D252 ±7</w:t>
            </w:r>
          </w:p>
        </w:tc>
      </w:tr>
      <w:tr w14:paraId="1CF87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5FE38815">
            <w:r>
              <w:t>ET 提前终止</w:t>
            </w:r>
          </w:p>
        </w:tc>
        <w:tc>
          <w:tcPr>
            <w:tcW w:w="4320" w:type="dxa"/>
            <w:vAlign w:val="top"/>
          </w:tcPr>
          <w:p w14:paraId="260EF249">
            <w:r>
              <w:t>任意时间</w:t>
            </w:r>
          </w:p>
        </w:tc>
      </w:tr>
      <w:tr w14:paraId="7BE5B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72B30F60">
            <w:r>
              <w:t>FV1 停药后+1月</w:t>
            </w:r>
          </w:p>
        </w:tc>
        <w:tc>
          <w:tcPr>
            <w:tcW w:w="4320" w:type="dxa"/>
            <w:vAlign w:val="top"/>
          </w:tcPr>
          <w:p w14:paraId="04898FC3">
            <w:r>
              <w:t>±14天</w:t>
            </w:r>
          </w:p>
        </w:tc>
      </w:tr>
      <w:tr w14:paraId="3EA69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20ABEE90">
            <w:r>
              <w:t>FV2 停药后+3月</w:t>
            </w:r>
          </w:p>
        </w:tc>
        <w:tc>
          <w:tcPr>
            <w:tcW w:w="4320" w:type="dxa"/>
            <w:vAlign w:val="top"/>
          </w:tcPr>
          <w:p w14:paraId="70439A42">
            <w:r>
              <w:t>±14天</w:t>
            </w:r>
          </w:p>
        </w:tc>
      </w:tr>
      <w:tr w14:paraId="5618F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690BA798">
            <w:r>
              <w:t>FV3 停药后+6月</w:t>
            </w:r>
          </w:p>
        </w:tc>
        <w:tc>
          <w:tcPr>
            <w:tcW w:w="4320" w:type="dxa"/>
            <w:vAlign w:val="top"/>
          </w:tcPr>
          <w:p w14:paraId="68E2B39A">
            <w:r>
              <w:t>±14天</w:t>
            </w:r>
          </w:p>
        </w:tc>
      </w:tr>
      <w:tr w14:paraId="1045B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19FCD316">
            <w:r>
              <w:t>FV4 停药后+9月</w:t>
            </w:r>
          </w:p>
        </w:tc>
        <w:tc>
          <w:tcPr>
            <w:tcW w:w="4320" w:type="dxa"/>
            <w:vAlign w:val="top"/>
          </w:tcPr>
          <w:p w14:paraId="1CD7E3EC">
            <w:r>
              <w:t>±14天</w:t>
            </w:r>
          </w:p>
        </w:tc>
      </w:tr>
      <w:tr w14:paraId="0F9EE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472FBA56">
            <w:r>
              <w:t>FV5 停药后+12月</w:t>
            </w:r>
          </w:p>
        </w:tc>
        <w:tc>
          <w:tcPr>
            <w:tcW w:w="4320" w:type="dxa"/>
            <w:vAlign w:val="top"/>
          </w:tcPr>
          <w:p w14:paraId="48548163">
            <w:r>
              <w:t>±14天</w:t>
            </w:r>
          </w:p>
        </w:tc>
      </w:tr>
      <w:tr w14:paraId="7A0EF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5B31F856">
            <w:r>
              <w:t>FV6 停药后+18月</w:t>
            </w:r>
          </w:p>
        </w:tc>
        <w:tc>
          <w:tcPr>
            <w:tcW w:w="4320" w:type="dxa"/>
            <w:vAlign w:val="top"/>
          </w:tcPr>
          <w:p w14:paraId="13DEF9E3">
            <w:r>
              <w:t>±14天</w:t>
            </w:r>
          </w:p>
        </w:tc>
      </w:tr>
      <w:tr w14:paraId="250B4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0F85E377">
            <w:r>
              <w:t>FV7 停药后+24月</w:t>
            </w:r>
          </w:p>
        </w:tc>
        <w:tc>
          <w:tcPr>
            <w:tcW w:w="4320" w:type="dxa"/>
            <w:vAlign w:val="top"/>
          </w:tcPr>
          <w:p w14:paraId="587B2935">
            <w:r>
              <w:t>±14天</w:t>
            </w:r>
          </w:p>
        </w:tc>
      </w:tr>
    </w:tbl>
    <w:p w14:paraId="335FC7E0"/>
    <w:p w14:paraId="34A6F5BF">
      <w:pPr>
        <w:pStyle w:val="3"/>
      </w:pPr>
      <w:r>
        <w:t>附录B：追访/联系尝试记录表（模板最小字段）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5472"/>
      </w:tblGrid>
      <w:tr w14:paraId="0DE96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2C0E6A40">
            <w:r>
              <w:t>字段</w:t>
            </w:r>
          </w:p>
        </w:tc>
        <w:tc>
          <w:tcPr>
            <w:tcW w:w="5472" w:type="dxa"/>
            <w:vAlign w:val="top"/>
          </w:tcPr>
          <w:p w14:paraId="5D07805E">
            <w:r>
              <w:t>说明</w:t>
            </w:r>
          </w:p>
        </w:tc>
      </w:tr>
      <w:tr w14:paraId="1A405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524C960A">
            <w:r>
              <w:t>受试者编号/中心</w:t>
            </w:r>
          </w:p>
        </w:tc>
        <w:tc>
          <w:tcPr>
            <w:tcW w:w="5472" w:type="dxa"/>
            <w:vAlign w:val="top"/>
          </w:tcPr>
          <w:p w14:paraId="1662B6C2">
            <w:r>
              <w:t>脱敏编号；中心代码</w:t>
            </w:r>
          </w:p>
        </w:tc>
      </w:tr>
      <w:tr w14:paraId="09341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62FD6AB0">
            <w:r>
              <w:t>目标访视/目标日期/窗口</w:t>
            </w:r>
          </w:p>
        </w:tc>
        <w:tc>
          <w:tcPr>
            <w:tcW w:w="5472" w:type="dxa"/>
            <w:vAlign w:val="top"/>
          </w:tcPr>
          <w:p w14:paraId="513A51A3">
            <w:r>
              <w:t>例如W24；Day168±7</w:t>
            </w:r>
          </w:p>
        </w:tc>
      </w:tr>
      <w:tr w14:paraId="09A09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507C8165">
            <w:r>
              <w:t>联系尝试记录</w:t>
            </w:r>
          </w:p>
        </w:tc>
        <w:tc>
          <w:tcPr>
            <w:tcW w:w="5472" w:type="dxa"/>
            <w:vAlign w:val="top"/>
          </w:tcPr>
          <w:p w14:paraId="74EEDEB0">
            <w:r>
              <w:t>日期/时间；方式（电话/短信/微信/家访/邮件）；结果（成功/未接/拒绝等）；备注</w:t>
            </w:r>
          </w:p>
        </w:tc>
      </w:tr>
      <w:tr w14:paraId="5F7E2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4723B116">
            <w:r>
              <w:t>升级记录</w:t>
            </w:r>
          </w:p>
        </w:tc>
        <w:tc>
          <w:tcPr>
            <w:tcW w:w="5472" w:type="dxa"/>
            <w:vAlign w:val="top"/>
          </w:tcPr>
          <w:p w14:paraId="2138F770">
            <w:r>
              <w:t>升级至PI/PMO日期；采取措施</w:t>
            </w:r>
          </w:p>
        </w:tc>
      </w:tr>
      <w:tr w14:paraId="1A76C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4652BA25">
            <w:r>
              <w:t>被动追溯（如适用）</w:t>
            </w:r>
          </w:p>
        </w:tc>
        <w:tc>
          <w:tcPr>
            <w:tcW w:w="5472" w:type="dxa"/>
            <w:vAlign w:val="top"/>
          </w:tcPr>
          <w:p w14:paraId="62B5FC33">
            <w:r>
              <w:t>来源；日期；获得信息类型；结论</w:t>
            </w:r>
          </w:p>
        </w:tc>
      </w:tr>
      <w:tr w14:paraId="0038E5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089A2D3E">
            <w:r>
              <w:t>最终状态</w:t>
            </w:r>
          </w:p>
        </w:tc>
        <w:tc>
          <w:tcPr>
            <w:tcW w:w="5472" w:type="dxa"/>
            <w:vAlign w:val="top"/>
          </w:tcPr>
          <w:p w14:paraId="58D6B3A6">
            <w:r>
              <w:t>完成/窗外完成/潜在失访/失访/撤回同意/死亡</w:t>
            </w:r>
          </w:p>
        </w:tc>
      </w:tr>
      <w:tr w14:paraId="0F7244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5EAEB9E9">
            <w:r>
              <w:t>记录人/日期</w:t>
            </w:r>
          </w:p>
        </w:tc>
        <w:tc>
          <w:tcPr>
            <w:tcW w:w="5472" w:type="dxa"/>
            <w:vAlign w:val="top"/>
          </w:tcPr>
          <w:p w14:paraId="4B985138">
            <w:r>
              <w:t>CRC/研究者签名日期</w:t>
            </w:r>
          </w:p>
        </w:tc>
      </w:tr>
    </w:tbl>
    <w:p w14:paraId="1DFAAE1D"/>
    <w:p w14:paraId="27E9953F">
      <w:pPr>
        <w:pStyle w:val="3"/>
      </w:pPr>
      <w:r>
        <w:t>附录C：缺失原因代码建议（可用于EDC下拉）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6912"/>
      </w:tblGrid>
      <w:tr w14:paraId="5D282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top"/>
          </w:tcPr>
          <w:p w14:paraId="46860AFA">
            <w:r>
              <w:t>代码</w:t>
            </w:r>
          </w:p>
        </w:tc>
        <w:tc>
          <w:tcPr>
            <w:tcW w:w="6912" w:type="dxa"/>
            <w:vAlign w:val="top"/>
          </w:tcPr>
          <w:p w14:paraId="38586AE7">
            <w:r>
              <w:t>含义（示例）</w:t>
            </w:r>
          </w:p>
        </w:tc>
      </w:tr>
      <w:tr w14:paraId="7B613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top"/>
          </w:tcPr>
          <w:p w14:paraId="66786819">
            <w:r>
              <w:t>ND-PT</w:t>
            </w:r>
          </w:p>
        </w:tc>
        <w:tc>
          <w:tcPr>
            <w:tcW w:w="6912" w:type="dxa"/>
            <w:vAlign w:val="top"/>
          </w:tcPr>
          <w:p w14:paraId="324C604C">
            <w:r>
              <w:t>受试者未到访/未响应（未完成追访动作）</w:t>
            </w:r>
          </w:p>
        </w:tc>
      </w:tr>
      <w:tr w14:paraId="5AFD0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top"/>
          </w:tcPr>
          <w:p w14:paraId="452BB425">
            <w:r>
              <w:t>ND-LTFU</w:t>
            </w:r>
          </w:p>
        </w:tc>
        <w:tc>
          <w:tcPr>
            <w:tcW w:w="6912" w:type="dxa"/>
            <w:vAlign w:val="top"/>
          </w:tcPr>
          <w:p w14:paraId="61E5C2B5">
            <w:r>
              <w:t>完成追访动作后仍无法联系（失访）</w:t>
            </w:r>
          </w:p>
        </w:tc>
      </w:tr>
      <w:tr w14:paraId="2763A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top"/>
          </w:tcPr>
          <w:p w14:paraId="2FA88A5B">
            <w:r>
              <w:t>REF</w:t>
            </w:r>
          </w:p>
        </w:tc>
        <w:tc>
          <w:tcPr>
            <w:tcW w:w="6912" w:type="dxa"/>
            <w:vAlign w:val="top"/>
          </w:tcPr>
          <w:p w14:paraId="659CEE73">
            <w:r>
              <w:t>受试者拒绝该项检查/问卷</w:t>
            </w:r>
          </w:p>
        </w:tc>
      </w:tr>
      <w:tr w14:paraId="18F5E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top"/>
          </w:tcPr>
          <w:p w14:paraId="7AA70E9D">
            <w:r>
              <w:t>MED</w:t>
            </w:r>
          </w:p>
        </w:tc>
        <w:tc>
          <w:tcPr>
            <w:tcW w:w="6912" w:type="dxa"/>
            <w:vAlign w:val="top"/>
          </w:tcPr>
          <w:p w14:paraId="77110DE7">
            <w:r>
              <w:t>因医学原因无法完成（需说明）</w:t>
            </w:r>
          </w:p>
        </w:tc>
      </w:tr>
      <w:tr w14:paraId="40765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top"/>
          </w:tcPr>
          <w:p w14:paraId="06DF3BE9">
            <w:r>
              <w:t>TECH</w:t>
            </w:r>
          </w:p>
        </w:tc>
        <w:tc>
          <w:tcPr>
            <w:tcW w:w="6912" w:type="dxa"/>
            <w:vAlign w:val="top"/>
          </w:tcPr>
          <w:p w14:paraId="5D2F286E">
            <w:r>
              <w:t>技术/设备故障</w:t>
            </w:r>
          </w:p>
        </w:tc>
      </w:tr>
      <w:tr w14:paraId="6B8A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top"/>
          </w:tcPr>
          <w:p w14:paraId="153873E9">
            <w:r>
              <w:t>LAB</w:t>
            </w:r>
          </w:p>
        </w:tc>
        <w:tc>
          <w:tcPr>
            <w:tcW w:w="6912" w:type="dxa"/>
            <w:vAlign w:val="top"/>
          </w:tcPr>
          <w:p w14:paraId="1916044C">
            <w:r>
              <w:t>标本问题/污染/不可评价（见SOP16）</w:t>
            </w:r>
          </w:p>
        </w:tc>
      </w:tr>
      <w:tr w14:paraId="2AB28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top"/>
          </w:tcPr>
          <w:p w14:paraId="40898E24">
            <w:r>
              <w:t>PEND</w:t>
            </w:r>
          </w:p>
        </w:tc>
        <w:tc>
          <w:tcPr>
            <w:tcW w:w="6912" w:type="dxa"/>
            <w:vAlign w:val="top"/>
          </w:tcPr>
          <w:p w14:paraId="35EAD59F">
            <w:r>
              <w:t>结果待回报（晚到结果）</w:t>
            </w:r>
          </w:p>
        </w:tc>
      </w:tr>
      <w:tr w14:paraId="2B352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top"/>
          </w:tcPr>
          <w:p w14:paraId="793DF180">
            <w:r>
              <w:t>NA</w:t>
            </w:r>
          </w:p>
        </w:tc>
        <w:tc>
          <w:tcPr>
            <w:tcW w:w="6912" w:type="dxa"/>
            <w:vAlign w:val="top"/>
          </w:tcPr>
          <w:p w14:paraId="3FC571B7">
            <w:r>
              <w:t>不适用（按方案不需做）</w:t>
            </w:r>
          </w:p>
        </w:tc>
      </w:tr>
      <w:tr w14:paraId="126CD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top"/>
          </w:tcPr>
          <w:p w14:paraId="2C9E940F">
            <w:r>
              <w:t>OTH</w:t>
            </w:r>
          </w:p>
        </w:tc>
        <w:tc>
          <w:tcPr>
            <w:tcW w:w="6912" w:type="dxa"/>
            <w:vAlign w:val="top"/>
          </w:tcPr>
          <w:p w14:paraId="4FD0D169">
            <w:r>
              <w:t>其他（需文本说明）</w:t>
            </w:r>
          </w:p>
        </w:tc>
      </w:tr>
    </w:tbl>
    <w:p w14:paraId="2ED53809"/>
    <w:p w14:paraId="51C6ADAD">
      <w:pPr>
        <w:pStyle w:val="3"/>
      </w:pPr>
      <w:r>
        <w:t>附录D：失访升级决策树（简版）</w:t>
      </w:r>
    </w:p>
    <w:p w14:paraId="6345FB4F">
      <w:pPr>
        <w:pStyle w:val="16"/>
        <w:jc w:val="left"/>
      </w:pPr>
      <w:r>
        <w:t>窗口内未到访 → 启动提醒（T-7/T-2） → 窗口内仍未完成 → 3次电话+1次书面/电子方式 →</w:t>
      </w:r>
    </w:p>
    <w:p w14:paraId="36A1CFF6">
      <w:pPr>
        <w:pStyle w:val="16"/>
        <w:jc w:val="left"/>
      </w:pPr>
      <w:r>
        <w:t>窗口结束后≤14天仍无反馈 → 标记潜在失访并升级PI → 评估被动追溯（若允许） →</w:t>
      </w:r>
    </w:p>
    <w:p w14:paraId="4349E3C8">
      <w:pPr>
        <w:pStyle w:val="16"/>
        <w:jc w:val="left"/>
      </w:pPr>
      <w:r>
        <w:t>仍无法获得最小数据集 → 判定失访（LTFU）并进入偏差/CAPA趋势监测。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A9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3588</Words>
  <Characters>4363</Characters>
  <Lines>0</Lines>
  <Paragraphs>0</Paragraphs>
  <TotalTime>1</TotalTime>
  <ScaleCrop>false</ScaleCrop>
  <LinksUpToDate>false</LinksUpToDate>
  <CharactersWithSpaces>4440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付亮</cp:lastModifiedBy>
  <dcterms:modified xsi:type="dcterms:W3CDTF">2026-03-04T14:52:03Z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eyJoZGlkIjoiZTY1YTEzNzUzNjc3OTdhYTczZDYyMDcwZjdjMDcyY2UiLCJ1c2VySWQiOiIyMDkyMjY1MzMifQ==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177028F9ABAF49FA9A777966B0FB89BC_12</vt:lpwstr>
  </property>
</Properties>
</file>