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E3E9AE">
      <w:pPr>
        <w:pStyle w:val="31"/>
        <w:widowControl/>
        <w:ind w:firstLine="1928" w:firstLineChars="600"/>
      </w:pPr>
      <w:r>
        <w:t>TDSC 研究标准操作规程（SOP）</w:t>
      </w:r>
    </w:p>
    <w:p w14:paraId="4BCE5758">
      <w:pPr>
        <w:pStyle w:val="19"/>
        <w:widowControl/>
        <w:ind w:firstLine="482" w:firstLineChars="200"/>
      </w:pPr>
      <w:r>
        <w:rPr>
          <w:b/>
        </w:rPr>
        <w:t>SOP11：疗效/结局评估（培养、复发、再感染、CEC裁决流程与材料包）</w:t>
      </w:r>
    </w:p>
    <w:p w14:paraId="68B497AE">
      <w:pPr>
        <w:pStyle w:val="19"/>
        <w:widowControl/>
      </w:pPr>
      <w:r>
        <w:rPr>
          <w:b/>
        </w:rPr>
        <w:t>Efficacy/Outcome Assessment (Culture, Relapse, Reinfection, CEC Adjudication &amp; Submission Package)</w:t>
      </w:r>
    </w:p>
    <w:p w14:paraId="3D700A29">
      <w:pPr>
        <w:pStyle w:val="19"/>
        <w:widowControl/>
      </w:pPr>
      <w:r>
        <w:t>版本：V1.0</w:t>
      </w:r>
      <w:r>
        <w:t xml:space="preserve">    日期：2026-03-04    适用：TDSC 研究方案 V2.0（2026-02-28）    保密级别：内部使用</w:t>
      </w:r>
    </w:p>
    <w:p w14:paraId="592F9824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  <w:bdr w:val="none" w:sz="0" w:space="0"/>
        </w:rPr>
      </w:pPr>
      <w:r>
        <w:t>目的</w:t>
      </w:r>
    </w:p>
    <w:p w14:paraId="4C351B86">
      <w:pPr>
        <w:pStyle w:val="19"/>
        <w:widowControl/>
      </w:pPr>
      <w:r>
        <w:rPr>
          <w:b w:val="0"/>
        </w:rPr>
        <w:t>本SOP用于规范TDSC研究中与“疗效/结局评估”相关的关键流程与标准化材料，重点覆盖：（1）微生物学培养结果的判读与可评价性管理；（2）治疗失败、停药后复发与再感染的操作性定义、触发与证据要求；（3）临床结局裁决委员会（CEC）盲态裁决流程、分歧处理与结果回传；（4）CEC提交包（材料包）的组成、去标识化、命名、索引与最小可核查信息。</w:t>
      </w:r>
    </w:p>
    <w:p w14:paraId="0BEF9CDE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  <w:bdr w:val="none" w:sz="0" w:space="0"/>
        </w:rPr>
      </w:pPr>
      <w:r>
        <w:t>适用范围</w:t>
      </w:r>
    </w:p>
    <w:p w14:paraId="4293AD8C">
      <w:pPr>
        <w:pStyle w:val="19"/>
        <w:widowControl/>
      </w:pPr>
      <w:r>
        <w:rPr>
          <w:b w:val="0"/>
        </w:rPr>
        <w:t>适用于所有研究中心研究医生、研究护士、CRC、实验室/微生物学人员、数据管理与统计工作组、EDC与信息系统工作组、PMO及CEC成员。适用于主要终点与关键次要终点相关事件：治疗失败、停药后复发/再感染、与主要终点相关的死亡、疗效驱动的永久性方案更改/再治疗启动等。</w:t>
      </w:r>
    </w:p>
    <w:p w14:paraId="51DD245B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  <w:bdr w:val="none" w:sz="0" w:space="0"/>
        </w:rPr>
      </w:pPr>
      <w:r>
        <w:t>依据文件与对齐原则</w:t>
      </w:r>
    </w:p>
    <w:p w14:paraId="56408E10">
      <w:pPr>
        <w:pStyle w:val="16"/>
        <w:bidi w:val="0"/>
        <w:ind w:left="360" w:leftChars="0" w:hanging="360" w:firstLineChars="0"/>
      </w:pPr>
      <w:r>
        <w:t>TDSC研究方案 V2.0（2026-02-28）：主要终点（PT-M12无复发治愈率）、关键事件定义、事件触发与最小数据集、CEC盲态裁决要求。</w:t>
      </w:r>
    </w:p>
    <w:p w14:paraId="65CF6F4A">
      <w:pPr>
        <w:pStyle w:val="16"/>
        <w:bidi w:val="0"/>
        <w:ind w:left="360" w:leftChars="0" w:hanging="360" w:firstLineChars="0"/>
      </w:pPr>
      <w:r>
        <w:t>TDSC Study Protocol V2.0 (2026-02-28)：Outcome disposition（Table 5）、Hard Gate口径、关键事件操作性定义与ITT处理原则。</w:t>
      </w:r>
    </w:p>
    <w:p w14:paraId="0D543EB2">
      <w:pPr>
        <w:pStyle w:val="16"/>
        <w:bidi w:val="0"/>
        <w:ind w:left="360" w:leftChars="0" w:hanging="360" w:firstLineChars="0"/>
      </w:pPr>
      <w:r>
        <w:t>SOP02：抗结核疗效评估工具包（M6决策点，含培养转阴/污染处理的现场执行要点）。</w:t>
      </w:r>
    </w:p>
    <w:p w14:paraId="5E8FDA3A">
      <w:pPr>
        <w:pStyle w:val="16"/>
        <w:bidi w:val="0"/>
        <w:ind w:left="360" w:leftChars="0" w:hanging="360" w:firstLineChars="0"/>
      </w:pPr>
      <w:r>
        <w:t>SOP16：数据管理、Query闭环与锁库流程；SOP17：偏差/违背与CAPA；AE/SAE相关SOP（如已发布）；CEC章程（若已发布，以章程为准）。</w:t>
      </w:r>
    </w:p>
    <w:p w14:paraId="28FCBA93">
      <w:pPr>
        <w:pStyle w:val="19"/>
        <w:widowControl/>
      </w:pPr>
      <w:r>
        <w:rPr>
          <w:b w:val="0"/>
        </w:rPr>
        <w:t>对齐原则：如本SOP与研究方案、SAP或经指导委员会（SC）批准的CEC章程/终点判定标准存在不一致，以研究方案/SAP/章程为准。本SOP强调“流程、证据包与留痕标准化”。</w:t>
      </w:r>
    </w:p>
    <w:p w14:paraId="31C1B21C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  <w:bdr w:val="none" w:sz="0" w:space="0"/>
        </w:rPr>
      </w:pPr>
      <w:r>
        <w:t>术语与缩略语</w:t>
      </w:r>
    </w:p>
    <w:p w14:paraId="1B7AE16E">
      <w:pPr>
        <w:pStyle w:val="19"/>
        <w:widowControl/>
        <w:numPr>
          <w:ilvl w:val="0"/>
          <w:numId w:val="8"/>
        </w:numPr>
        <w:ind w:left="360" w:leftChars="0" w:hanging="360" w:firstLineChars="0"/>
      </w:pPr>
      <w:r>
        <w:t>EOT：治疗结束日期（End of Treatment）。</w:t>
      </w:r>
    </w:p>
    <w:p w14:paraId="045E0AED">
      <w:pPr>
        <w:pStyle w:val="19"/>
        <w:widowControl/>
        <w:numPr>
          <w:ilvl w:val="0"/>
          <w:numId w:val="8"/>
        </w:numPr>
        <w:ind w:left="360" w:leftChars="0" w:hanging="360" w:firstLineChars="0"/>
      </w:pPr>
      <w:r>
        <w:t>PT-M12：停药后12个月（以实际EOT后52周计，允许窗口±30天）。</w:t>
      </w:r>
    </w:p>
    <w:p w14:paraId="1FA8B07F">
      <w:pPr>
        <w:pStyle w:val="19"/>
        <w:widowControl/>
        <w:numPr>
          <w:ilvl w:val="0"/>
          <w:numId w:val="8"/>
        </w:numPr>
        <w:ind w:left="360" w:leftChars="0" w:hanging="360" w:firstLineChars="0"/>
      </w:pPr>
      <w:r>
        <w:t>PT-M24：停药后24个月（按方案定义）。</w:t>
      </w:r>
    </w:p>
    <w:p w14:paraId="0F509888">
      <w:pPr>
        <w:pStyle w:val="19"/>
        <w:widowControl/>
        <w:numPr>
          <w:ilvl w:val="0"/>
          <w:numId w:val="8"/>
        </w:numPr>
        <w:ind w:left="360" w:leftChars="0" w:hanging="360" w:firstLineChars="0"/>
      </w:pPr>
      <w:r>
        <w:t>MTBC：结核分枝杆菌复合群（Mycobacterium tuberculosis complex）。</w:t>
      </w:r>
    </w:p>
    <w:p w14:paraId="1024F55F">
      <w:pPr>
        <w:pStyle w:val="19"/>
        <w:widowControl/>
        <w:numPr>
          <w:ilvl w:val="0"/>
          <w:numId w:val="8"/>
        </w:numPr>
        <w:ind w:left="360" w:leftChars="0" w:hanging="360" w:firstLineChars="0"/>
      </w:pPr>
      <w:r>
        <w:t>NTM：非结核分枝杆菌（Nontuberculous mycobacteria）。</w:t>
      </w:r>
    </w:p>
    <w:p w14:paraId="773492CB">
      <w:pPr>
        <w:pStyle w:val="19"/>
        <w:widowControl/>
        <w:numPr>
          <w:ilvl w:val="0"/>
          <w:numId w:val="8"/>
        </w:numPr>
        <w:ind w:left="360" w:leftChars="0" w:hanging="360" w:firstLineChars="0"/>
      </w:pPr>
      <w:r>
        <w:t>WGS：全基因组测序（Whole-genome sequencing）；SNP：单核苷酸多态性。</w:t>
      </w:r>
    </w:p>
    <w:p w14:paraId="5B39530B">
      <w:pPr>
        <w:pStyle w:val="19"/>
        <w:widowControl/>
        <w:numPr>
          <w:ilvl w:val="0"/>
          <w:numId w:val="8"/>
        </w:numPr>
        <w:ind w:left="360" w:leftChars="0" w:hanging="360" w:firstLineChars="0"/>
      </w:pPr>
      <w:r>
        <w:t>复发（Relapse）：完成方案规定疗程后，活动性TB复现并需要重新启动抗结核治疗的事件（见第7.4）。</w:t>
      </w:r>
    </w:p>
    <w:p w14:paraId="7952BFE5">
      <w:pPr>
        <w:pStyle w:val="19"/>
        <w:widowControl/>
        <w:numPr>
          <w:ilvl w:val="0"/>
          <w:numId w:val="8"/>
        </w:numPr>
        <w:ind w:left="360" w:leftChars="0" w:hanging="360" w:firstLineChars="0"/>
      </w:pPr>
      <w:r>
        <w:t>再感染（Reinfection）：停药后复阳事件经分型/WGS提示与基线菌株存在显著差异（见第7.5）。</w:t>
      </w:r>
    </w:p>
    <w:p w14:paraId="2A87834D">
      <w:pPr>
        <w:pStyle w:val="19"/>
        <w:widowControl/>
        <w:numPr>
          <w:ilvl w:val="0"/>
          <w:numId w:val="8"/>
        </w:numPr>
        <w:ind w:left="360" w:leftChars="0" w:hanging="360" w:firstLineChars="0"/>
      </w:pPr>
      <w:r>
        <w:t>可评价培养（Evaluable culture）：具备完整源文件、结果可判读且可用于规则判定的培养结果（见第6.2）。</w:t>
      </w:r>
    </w:p>
    <w:p w14:paraId="518F4BAF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  <w:bdr w:val="none" w:sz="0" w:space="0"/>
        </w:rPr>
      </w:pPr>
      <w:r>
        <w:t>角色与职责</w:t>
      </w:r>
    </w:p>
    <w:p w14:paraId="0F6A5602">
      <w:pPr>
        <w:pStyle w:val="19"/>
        <w:widowControl/>
        <w:numPr>
          <w:ilvl w:val="0"/>
          <w:numId w:val="9"/>
        </w:numPr>
        <w:ind w:left="360" w:leftChars="0" w:hanging="360" w:firstLineChars="0"/>
      </w:pPr>
      <w:r>
        <w:t>研究中心（PI/研究医生）：识别疑似事件并启动触发评估；确保关键检查/再采样；完成事件叙述的临床部分；对再治疗/方案变更原因留痕。</w:t>
      </w:r>
    </w:p>
    <w:p w14:paraId="190E1FE0">
      <w:pPr>
        <w:pStyle w:val="19"/>
        <w:widowControl/>
        <w:numPr>
          <w:ilvl w:val="0"/>
          <w:numId w:val="9"/>
        </w:numPr>
        <w:ind w:left="360" w:leftChars="0" w:hanging="360" w:firstLineChars="0"/>
      </w:pPr>
      <w:r>
        <w:t>CRC：收集源文件、制作提交包、去标识化、建立证据索引并按要求上传；跟踪补交材料。</w:t>
      </w:r>
    </w:p>
    <w:p w14:paraId="3FA3F4F7">
      <w:pPr>
        <w:pStyle w:val="19"/>
        <w:widowControl/>
        <w:numPr>
          <w:ilvl w:val="0"/>
          <w:numId w:val="9"/>
        </w:numPr>
        <w:ind w:left="360" w:leftChars="0" w:hanging="360" w:firstLineChars="0"/>
      </w:pPr>
      <w:r>
        <w:t>实验室/微生物学：按规定出具培养与菌种鉴定报告；对污染/无效/矛盾结果启动复核并留痕；为WGS/分型提供菌株或样本流转记录。</w:t>
      </w:r>
    </w:p>
    <w:p w14:paraId="523C767C">
      <w:pPr>
        <w:pStyle w:val="19"/>
        <w:widowControl/>
        <w:numPr>
          <w:ilvl w:val="0"/>
          <w:numId w:val="9"/>
        </w:numPr>
        <w:ind w:left="360" w:leftChars="0" w:hanging="360" w:firstLineChars="0"/>
      </w:pPr>
      <w:r>
        <w:t>数据管理与统计工作组：基于EDC触发规则生成疑似事件清单；对提交包进行完整性/一致性核查；接收CEC裁定并回写EDC；锁库前形成“终点判定最终列表”。</w:t>
      </w:r>
    </w:p>
    <w:p w14:paraId="53713E3A">
      <w:pPr>
        <w:pStyle w:val="19"/>
        <w:widowControl/>
        <w:numPr>
          <w:ilvl w:val="0"/>
          <w:numId w:val="9"/>
        </w:numPr>
        <w:ind w:left="360" w:leftChars="0" w:hanging="360" w:firstLineChars="0"/>
      </w:pPr>
      <w:r>
        <w:t>EDC与信息系统工作组：实现触发规则、裁定字段、权限与审计追踪；提供安全分发/回收通道。</w:t>
      </w:r>
    </w:p>
    <w:p w14:paraId="60B18BDE">
      <w:pPr>
        <w:pStyle w:val="19"/>
        <w:widowControl/>
        <w:numPr>
          <w:ilvl w:val="0"/>
          <w:numId w:val="9"/>
        </w:numPr>
        <w:ind w:left="360" w:leftChars="0" w:hanging="360" w:firstLineChars="0"/>
      </w:pPr>
      <w:r>
        <w:t>PMO：统筹时间节点与会议组织；归档裁决记录与版本控制。</w:t>
      </w:r>
    </w:p>
    <w:p w14:paraId="31F91CAD">
      <w:pPr>
        <w:pStyle w:val="19"/>
        <w:widowControl/>
        <w:numPr>
          <w:ilvl w:val="0"/>
          <w:numId w:val="9"/>
        </w:numPr>
        <w:ind w:left="360" w:leftChars="0" w:hanging="360" w:firstLineChars="0"/>
      </w:pPr>
      <w:r>
        <w:t>CEC成员/主任委员：按预设标准独立评阅、集中讨论分歧病例并形成最终裁定；输出可审计的裁定结论与理由（以章程为准）。</w:t>
      </w:r>
    </w:p>
    <w:p w14:paraId="19ABB260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  <w:bdr w:val="none" w:sz="0" w:space="0"/>
        </w:rPr>
      </w:pPr>
      <w:r>
        <w:t>结局框架与主要终点判定口径（PT-M12）</w:t>
      </w:r>
    </w:p>
    <w:p w14:paraId="55FAB9E4">
      <w:pPr>
        <w:pStyle w:val="19"/>
        <w:widowControl/>
      </w:pPr>
      <w:r>
        <w:rPr>
          <w:b w:val="0"/>
        </w:rPr>
        <w:t>主要终点：停药后12个月良好结局率（Relapse-free cure at PT-M12）。终点分类由独立CEC在盲态条件下、基于预设算法与标准化证据包进行裁定。</w:t>
      </w:r>
    </w:p>
    <w:p w14:paraId="37335F93">
      <w:pPr>
        <w:pStyle w:val="4"/>
        <w:widowControl/>
        <w:numPr>
          <w:ilvl w:val="0"/>
          <w:numId w:val="10"/>
        </w:numPr>
        <w:ind w:left="0" w:leftChars="0" w:firstLine="0" w:firstLineChars="0"/>
        <w:rPr>
          <w:b/>
          <w:bdr w:val="none" w:sz="0" w:space="0"/>
        </w:rPr>
      </w:pPr>
      <w:r>
        <w:t>主要终点的结局处置（Outcome disposition）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96"/>
        <w:gridCol w:w="4384"/>
        <w:gridCol w:w="2596"/>
      </w:tblGrid>
      <w:tr w14:paraId="299C37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55" w:type="pct"/>
            <w:vAlign w:val="center"/>
          </w:tcPr>
          <w:p w14:paraId="0309B6AB">
            <w:pPr>
              <w:jc w:val="left"/>
            </w:pPr>
            <w:r>
              <w:rPr>
                <w:b/>
              </w:rPr>
              <w:t>处置类别</w:t>
            </w:r>
          </w:p>
        </w:tc>
        <w:tc>
          <w:tcPr>
            <w:tcW w:w="2288" w:type="pct"/>
            <w:vAlign w:val="center"/>
          </w:tcPr>
          <w:p w14:paraId="6D6FAA33">
            <w:pPr>
              <w:jc w:val="left"/>
            </w:pPr>
            <w:r>
              <w:rPr>
                <w:b/>
              </w:rPr>
              <w:t>PT-M12 操作性定义（摘要）</w:t>
            </w:r>
          </w:p>
        </w:tc>
        <w:tc>
          <w:tcPr>
            <w:tcW w:w="1355" w:type="pct"/>
            <w:vAlign w:val="center"/>
          </w:tcPr>
          <w:p w14:paraId="0D0C6C71">
            <w:pPr>
              <w:jc w:val="left"/>
            </w:pPr>
            <w:r>
              <w:rPr>
                <w:b/>
              </w:rPr>
              <w:t>主要分析处理</w:t>
            </w:r>
          </w:p>
        </w:tc>
      </w:tr>
      <w:tr w14:paraId="0B0FF5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55" w:type="pct"/>
          </w:tcPr>
          <w:p w14:paraId="30CEDD65">
            <w:pPr>
              <w:jc w:val="left"/>
            </w:pPr>
            <w:r>
              <w:rPr>
                <w:b w:val="0"/>
              </w:rPr>
              <w:t>良好（无复发治愈）</w:t>
            </w:r>
          </w:p>
        </w:tc>
        <w:tc>
          <w:tcPr>
            <w:tcW w:w="2288" w:type="pct"/>
          </w:tcPr>
          <w:p w14:paraId="1EE9C4E8">
            <w:pPr>
              <w:jc w:val="left"/>
            </w:pPr>
            <w:r>
              <w:rPr>
                <w:b w:val="0"/>
              </w:rPr>
              <w:t>基线至PT-M12窗口结束期间未发生任何复合不良事件，且证据充分可裁定。复合不良事件包括：治疗失败；停药后复发；PT-M12前任何死亡；疗效驱动的永久性方案更改或启动救援/再治疗；WGS/分型证实的再感染（保守口径纳入不良）。</w:t>
            </w:r>
          </w:p>
        </w:tc>
        <w:tc>
          <w:tcPr>
            <w:tcW w:w="1355" w:type="pct"/>
          </w:tcPr>
          <w:p w14:paraId="3C6E0FA3">
            <w:pPr>
              <w:jc w:val="left"/>
            </w:pPr>
            <w:r>
              <w:rPr>
                <w:b w:val="0"/>
              </w:rPr>
              <w:t>计为成功</w:t>
            </w:r>
          </w:p>
        </w:tc>
      </w:tr>
      <w:tr w14:paraId="66EDDF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55" w:type="pct"/>
          </w:tcPr>
          <w:p w14:paraId="7D8DCF3A">
            <w:pPr>
              <w:jc w:val="left"/>
            </w:pPr>
            <w:r>
              <w:rPr>
                <w:b w:val="0"/>
              </w:rPr>
              <w:t>不良</w:t>
            </w:r>
          </w:p>
        </w:tc>
        <w:tc>
          <w:tcPr>
            <w:tcW w:w="2288" w:type="pct"/>
          </w:tcPr>
          <w:p w14:paraId="3A2EC8E5">
            <w:pPr>
              <w:jc w:val="left"/>
            </w:pPr>
            <w:r>
              <w:rPr>
                <w:b w:val="0"/>
              </w:rPr>
              <w:t>基线至PT-M12窗口结束期间发生任一复合不良事件，且由CEC裁定成立（含微生物学证实复发/方案定义失败；含WGS/分型证实再感染）。</w:t>
            </w:r>
          </w:p>
        </w:tc>
        <w:tc>
          <w:tcPr>
            <w:tcW w:w="1355" w:type="pct"/>
          </w:tcPr>
          <w:p w14:paraId="0921AC61">
            <w:pPr>
              <w:jc w:val="left"/>
            </w:pPr>
            <w:r>
              <w:rPr>
                <w:b w:val="0"/>
              </w:rPr>
              <w:t>计为失败</w:t>
            </w:r>
          </w:p>
        </w:tc>
      </w:tr>
      <w:tr w14:paraId="284E48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55" w:type="pct"/>
          </w:tcPr>
          <w:p w14:paraId="5A16CCB6">
            <w:pPr>
              <w:jc w:val="left"/>
            </w:pPr>
            <w:r>
              <w:rPr>
                <w:b w:val="0"/>
              </w:rPr>
              <w:t>不可评价（非可评估）</w:t>
            </w:r>
          </w:p>
        </w:tc>
        <w:tc>
          <w:tcPr>
            <w:tcW w:w="2288" w:type="pct"/>
          </w:tcPr>
          <w:p w14:paraId="1CE01948">
            <w:pPr>
              <w:jc w:val="left"/>
            </w:pPr>
            <w:r>
              <w:rPr>
                <w:b w:val="0"/>
              </w:rPr>
              <w:t>PT-M12窗口内证据不足，CEC无法裁定，且在最后一次接触前无已记录的复合不良事件（例如：PT-M12前失访且缺乏关键微生物/临床信息）。</w:t>
            </w:r>
          </w:p>
        </w:tc>
        <w:tc>
          <w:tcPr>
            <w:tcW w:w="1355" w:type="pct"/>
          </w:tcPr>
          <w:p w14:paraId="15DD3053">
            <w:pPr>
              <w:jc w:val="left"/>
            </w:pPr>
            <w:r>
              <w:rPr>
                <w:b w:val="0"/>
              </w:rPr>
              <w:t>主要分析按“缺失=不良”保守处理；敏感性分析另行探索</w:t>
            </w:r>
          </w:p>
        </w:tc>
      </w:tr>
    </w:tbl>
    <w:p w14:paraId="5912B541">
      <w:pPr>
        <w:pStyle w:val="19"/>
        <w:widowControl/>
      </w:pPr>
      <w:r>
        <w:rPr>
          <w:b w:val="0"/>
        </w:rPr>
        <w:t>注：队列B随机化（M6）仅在满足微生物学Hard Gate者中进行；未达标者不进入随机化比较，但仍按方案进行事件监测与证据留痕。</w:t>
      </w:r>
    </w:p>
    <w:p w14:paraId="1F99A6B4">
      <w:pPr>
        <w:pStyle w:val="4"/>
        <w:widowControl/>
        <w:numPr>
          <w:ilvl w:val="0"/>
          <w:numId w:val="10"/>
        </w:numPr>
        <w:ind w:left="0" w:leftChars="0" w:firstLine="0" w:firstLineChars="0"/>
        <w:rPr>
          <w:b/>
          <w:bdr w:val="none" w:sz="0" w:space="0"/>
        </w:rPr>
      </w:pPr>
      <w:r>
        <w:t>培养结果的“可评价性”与常见异常</w:t>
      </w:r>
    </w:p>
    <w:p w14:paraId="2FFAFCEE">
      <w:pPr>
        <w:pStyle w:val="19"/>
        <w:widowControl/>
        <w:numPr>
          <w:ilvl w:val="0"/>
          <w:numId w:val="11"/>
        </w:numPr>
        <w:ind w:left="360" w:leftChars="0" w:hanging="360" w:firstLineChars="0"/>
      </w:pPr>
      <w:r>
        <w:t>可评价培养需满足：有明确采样日期/标本类型；培养方法与结果清晰；关键时点（如复阳）具备MTBC/NTM鉴定结论或可追溯的鉴定流程；报告为源文件（LIS/纸质/电子报告）。</w:t>
      </w:r>
    </w:p>
    <w:p w14:paraId="6687CA34">
      <w:pPr>
        <w:pStyle w:val="19"/>
        <w:widowControl/>
        <w:numPr>
          <w:ilvl w:val="0"/>
          <w:numId w:val="11"/>
        </w:numPr>
        <w:ind w:left="360" w:leftChars="0" w:hanging="360" w:firstLineChars="0"/>
      </w:pPr>
      <w:r>
        <w:t>污染/无效/检测失败：不作为可评价结果；应按方案与微生物学流程在允许窗口内尽快补采，并记录补采原因与日期。</w:t>
      </w:r>
    </w:p>
    <w:p w14:paraId="7355A525">
      <w:pPr>
        <w:pStyle w:val="19"/>
        <w:widowControl/>
        <w:numPr>
          <w:ilvl w:val="0"/>
          <w:numId w:val="11"/>
        </w:numPr>
        <w:ind w:left="360" w:leftChars="0" w:hanging="360" w:firstLineChars="0"/>
      </w:pPr>
      <w:r>
        <w:t>疑似实验室污染或结果矛盾：启动复核（重复培养/复采/鉴定），并将复核过程纳入证据包；最终归类由CEC在综合证据后裁定。</w:t>
      </w:r>
    </w:p>
    <w:p w14:paraId="427FDEA6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  <w:bdr w:val="none" w:sz="0" w:space="0"/>
        </w:rPr>
      </w:pPr>
      <w:r>
        <w:t>微生物学培养与复发/再感染判定流程</w:t>
      </w:r>
    </w:p>
    <w:p w14:paraId="5B54D8AC">
      <w:pPr>
        <w:pStyle w:val="4"/>
        <w:widowControl/>
        <w:numPr>
          <w:ilvl w:val="0"/>
          <w:numId w:val="12"/>
        </w:numPr>
        <w:ind w:left="0" w:leftChars="0" w:firstLine="0" w:firstLineChars="0"/>
        <w:rPr>
          <w:b/>
          <w:bdr w:val="none" w:sz="0" w:space="0"/>
        </w:rPr>
      </w:pPr>
      <w:r>
        <w:t>关键时间点与事件触发评估</w:t>
      </w:r>
    </w:p>
    <w:p w14:paraId="1ED988E3">
      <w:pPr>
        <w:pStyle w:val="19"/>
        <w:widowControl/>
        <w:numPr>
          <w:ilvl w:val="0"/>
          <w:numId w:val="13"/>
        </w:numPr>
        <w:ind w:left="360" w:leftChars="0" w:hanging="360" w:firstLineChars="0"/>
      </w:pPr>
      <w:r>
        <w:t>按随访表完成治疗期与停药后随访的痰检（培养为主，必要时涂片/分子检测辅助）。</w:t>
      </w:r>
    </w:p>
    <w:p w14:paraId="2BE962EA">
      <w:pPr>
        <w:pStyle w:val="19"/>
        <w:widowControl/>
        <w:numPr>
          <w:ilvl w:val="0"/>
          <w:numId w:val="13"/>
        </w:numPr>
        <w:ind w:left="360" w:leftChars="0" w:hanging="360" w:firstLineChars="0"/>
      </w:pPr>
      <w:r>
        <w:t>出现疑似复发/再感染或疑似失败/耐药时，应启动“事件触发评估”（不受常规访视窗口限制），优先补充微生物学、影像学与临床证据，并记录触发原因。</w:t>
      </w:r>
    </w:p>
    <w:p w14:paraId="4675FF57">
      <w:pPr>
        <w:pStyle w:val="4"/>
        <w:widowControl/>
        <w:numPr>
          <w:ilvl w:val="0"/>
          <w:numId w:val="12"/>
        </w:numPr>
        <w:ind w:left="0" w:leftChars="0" w:firstLine="0" w:firstLineChars="0"/>
        <w:rPr>
          <w:b/>
          <w:bdr w:val="none" w:sz="0" w:space="0"/>
        </w:rPr>
      </w:pPr>
      <w:r>
        <w:t>队列B M6 微生物学 Hard Gate（用于随机资格）</w:t>
      </w:r>
    </w:p>
    <w:p w14:paraId="7FE0A34A">
      <w:pPr>
        <w:pStyle w:val="19"/>
        <w:widowControl/>
      </w:pPr>
      <w:r>
        <w:rPr>
          <w:b w:val="0"/>
        </w:rPr>
        <w:t>Hard Gate 仅采用微生物学口径（不含影像学/生物标志物）。操作性要求摘要如下：</w:t>
      </w:r>
    </w:p>
    <w:p w14:paraId="79319F99">
      <w:pPr>
        <w:pStyle w:val="19"/>
        <w:widowControl/>
        <w:numPr>
          <w:ilvl w:val="0"/>
          <w:numId w:val="14"/>
        </w:numPr>
        <w:ind w:left="360" w:leftChars="0" w:hanging="360" w:firstLineChars="0"/>
      </w:pPr>
      <w:r>
        <w:t>在M6访视前四个月内，至少两次可评价的分枝杆菌培养阴性，且两次采样间隔≥7天；</w:t>
      </w:r>
    </w:p>
    <w:p w14:paraId="2D07B04A">
      <w:pPr>
        <w:pStyle w:val="19"/>
        <w:widowControl/>
        <w:numPr>
          <w:ilvl w:val="0"/>
          <w:numId w:val="14"/>
        </w:numPr>
        <w:ind w:left="360" w:leftChars="0" w:hanging="360" w:firstLineChars="0"/>
      </w:pPr>
      <w:r>
        <w:t>自治疗满四个月至随机化时点无培养再阳证据；</w:t>
      </w:r>
    </w:p>
    <w:p w14:paraId="6595D746">
      <w:pPr>
        <w:pStyle w:val="19"/>
        <w:widowControl/>
        <w:numPr>
          <w:ilvl w:val="0"/>
          <w:numId w:val="14"/>
        </w:numPr>
        <w:ind w:left="360" w:leftChars="0" w:hanging="360" w:firstLineChars="0"/>
      </w:pPr>
      <w:r>
        <w:t>如受试者无法自行咳痰，应尝试诱导痰或其他合格呼吸道标本；若仍无法获得可评价培养结果，则判定为未达标，不进入随机化。</w:t>
      </w:r>
    </w:p>
    <w:p w14:paraId="3BD319C6">
      <w:pPr>
        <w:pStyle w:val="19"/>
        <w:widowControl/>
        <w:numPr>
          <w:ilvl w:val="0"/>
          <w:numId w:val="14"/>
        </w:numPr>
        <w:ind w:left="360" w:leftChars="0" w:hanging="360" w:firstLineChars="0"/>
      </w:pPr>
      <w:r>
        <w:t>如M6附近采样培养结果在随机化后“迟到转阳”，按预设规则处理：随机化比较仍按ITT口径；临床处置与事件归类按本SOP与方案规则触发并提交CEC裁决。</w:t>
      </w:r>
    </w:p>
    <w:p w14:paraId="558DEA45">
      <w:pPr>
        <w:pStyle w:val="4"/>
        <w:widowControl/>
        <w:numPr>
          <w:ilvl w:val="0"/>
          <w:numId w:val="12"/>
        </w:numPr>
        <w:ind w:left="0" w:leftChars="0" w:firstLine="0" w:firstLineChars="0"/>
        <w:rPr>
          <w:b/>
          <w:bdr w:val="none" w:sz="0" w:space="0"/>
        </w:rPr>
      </w:pPr>
      <w:r>
        <w:t>治疗失败（Treatment failure）的操作性标准（摘要）</w:t>
      </w:r>
    </w:p>
    <w:p w14:paraId="553C82F3">
      <w:pPr>
        <w:pStyle w:val="19"/>
        <w:widowControl/>
      </w:pPr>
      <w:r>
        <w:rPr>
          <w:b w:val="0"/>
        </w:rPr>
        <w:t>治疗失败为治疗期内持续/复现细菌学阳性或临床/影像学进展，提示现方案无法控制疾病并需要加强/更改治疗。常用操作性标准包括（满足其一即可触发并提交CEC裁决）：</w:t>
      </w:r>
    </w:p>
    <w:p w14:paraId="2F122D18">
      <w:pPr>
        <w:pStyle w:val="19"/>
        <w:widowControl/>
        <w:numPr>
          <w:ilvl w:val="0"/>
          <w:numId w:val="15"/>
        </w:numPr>
        <w:ind w:left="0" w:leftChars="0" w:firstLine="0" w:firstLineChars="0"/>
        <w:rPr>
          <w:b w:val="0"/>
          <w:bdr w:val="none" w:sz="0" w:space="0"/>
        </w:rPr>
      </w:pPr>
      <w:r>
        <w:t>约治疗满四个月后（如第17周及以后）培养仍阳性或再次转阳，且已排除实验室污染与明显依从性问题；</w:t>
      </w:r>
    </w:p>
    <w:p w14:paraId="5F8C5926">
      <w:pPr>
        <w:pStyle w:val="19"/>
        <w:widowControl/>
        <w:numPr>
          <w:ilvl w:val="0"/>
          <w:numId w:val="15"/>
        </w:numPr>
        <w:ind w:left="0" w:leftChars="0" w:firstLine="0" w:firstLineChars="0"/>
        <w:rPr>
          <w:b w:val="0"/>
          <w:bdr w:val="none" w:sz="0" w:space="0"/>
        </w:rPr>
      </w:pPr>
      <w:r>
        <w:t>两次独立痰培养阳性且间隔≥7天；或一次培养阳性并伴明确临床/影像学进展；</w:t>
      </w:r>
    </w:p>
    <w:p w14:paraId="7DC1222C">
      <w:pPr>
        <w:pStyle w:val="19"/>
        <w:widowControl/>
        <w:numPr>
          <w:ilvl w:val="0"/>
          <w:numId w:val="15"/>
        </w:numPr>
        <w:ind w:left="0" w:leftChars="0" w:firstLine="0" w:firstLineChars="0"/>
        <w:rPr>
          <w:b w:val="0"/>
          <w:bdr w:val="none" w:sz="0" w:space="0"/>
        </w:rPr>
      </w:pPr>
      <w:r>
        <w:t>TB相关临床恶化需住院/重症救治，且归因于活动性TB；</w:t>
      </w:r>
    </w:p>
    <w:p w14:paraId="7215ACBC">
      <w:pPr>
        <w:pStyle w:val="19"/>
        <w:widowControl/>
        <w:numPr>
          <w:ilvl w:val="0"/>
          <w:numId w:val="15"/>
        </w:numPr>
        <w:ind w:left="0" w:leftChars="0" w:firstLine="0" w:firstLineChars="0"/>
        <w:rPr>
          <w:b w:val="0"/>
          <w:bdr w:val="none" w:sz="0" w:space="0"/>
        </w:rPr>
      </w:pPr>
      <w:r>
        <w:t>发现关键耐药（如利福平或氟喹诺酮耐药）导致必须更改方案。</w:t>
      </w:r>
    </w:p>
    <w:p w14:paraId="09990393">
      <w:pPr>
        <w:pStyle w:val="4"/>
        <w:widowControl/>
        <w:numPr>
          <w:ilvl w:val="0"/>
          <w:numId w:val="12"/>
        </w:numPr>
        <w:ind w:left="0" w:leftChars="0" w:firstLine="0" w:firstLineChars="0"/>
        <w:rPr>
          <w:b/>
          <w:bdr w:val="none" w:sz="0" w:space="0"/>
        </w:rPr>
      </w:pPr>
      <w:r>
        <w:t>停药后复发（Relapse）的操作性标准（摘要）</w:t>
      </w:r>
    </w:p>
    <w:p w14:paraId="297A77A7">
      <w:pPr>
        <w:pStyle w:val="19"/>
        <w:widowControl/>
      </w:pPr>
      <w:r>
        <w:rPr>
          <w:b w:val="0"/>
        </w:rPr>
        <w:t>复发定义为完成方案规定疗程后活动性TB复现并需要重新启动抗结核治疗，优先由微生物学证实；亦允许在患者安全优先的前提下使用预设复合临床证据。满足以下任一条即可触发复发疑似事件：</w:t>
      </w:r>
    </w:p>
    <w:p w14:paraId="0E796645">
      <w:pPr>
        <w:pStyle w:val="19"/>
        <w:widowControl/>
        <w:numPr>
          <w:ilvl w:val="0"/>
          <w:numId w:val="7"/>
        </w:numPr>
        <w:ind w:left="0" w:leftChars="0" w:firstLine="0" w:firstLineChars="0"/>
        <w:rPr>
          <w:b w:val="0"/>
          <w:bdr w:val="none" w:sz="0" w:space="0"/>
        </w:rPr>
      </w:pPr>
      <w:r>
        <w:t>停药后出现≥1次痰培养阳性且鉴定为MTBC（优先）；</w:t>
      </w:r>
    </w:p>
    <w:p w14:paraId="230CB1ED">
      <w:pPr>
        <w:pStyle w:val="19"/>
        <w:widowControl/>
        <w:numPr>
          <w:ilvl w:val="0"/>
          <w:numId w:val="7"/>
        </w:numPr>
        <w:ind w:left="0" w:leftChars="0" w:firstLine="0" w:firstLineChars="0"/>
        <w:rPr>
          <w:b w:val="0"/>
          <w:bdr w:val="none" w:sz="0" w:space="0"/>
        </w:rPr>
      </w:pPr>
      <w:r>
        <w:t>停药后出现两次独立分子检测阳性（间隔≥7天），并伴结核相关症状复燃和/或影像学进展，且研究者启动再治疗；</w:t>
      </w:r>
    </w:p>
    <w:p w14:paraId="082860D7">
      <w:pPr>
        <w:pStyle w:val="19"/>
        <w:widowControl/>
        <w:numPr>
          <w:ilvl w:val="0"/>
          <w:numId w:val="7"/>
        </w:numPr>
        <w:ind w:left="0" w:leftChars="0" w:firstLine="0" w:firstLineChars="0"/>
        <w:rPr>
          <w:b w:val="0"/>
          <w:bdr w:val="none" w:sz="0" w:space="0"/>
        </w:rPr>
      </w:pPr>
      <w:r>
        <w:t>停药后出现强烈临床与影像学复发证据，虽暂未获得培养阳性，但在充分检查后研究者基于患者安全决定启动再治疗（必须提交完整证据包，由CEC裁决）。</w:t>
      </w:r>
    </w:p>
    <w:p w14:paraId="316CBF2C">
      <w:pPr>
        <w:pStyle w:val="4"/>
        <w:widowControl/>
        <w:numPr>
          <w:ilvl w:val="0"/>
          <w:numId w:val="16"/>
        </w:numPr>
        <w:ind w:left="0" w:leftChars="0" w:firstLine="0" w:firstLineChars="0"/>
        <w:rPr>
          <w:b/>
          <w:bdr w:val="none" w:sz="0" w:space="0"/>
        </w:rPr>
      </w:pPr>
      <w:r>
        <w:t>复发 vs 再感染（Reinfection）区分与WGS口径</w:t>
      </w:r>
    </w:p>
    <w:p w14:paraId="69FA50BF">
      <w:pPr>
        <w:pStyle w:val="19"/>
        <w:widowControl/>
        <w:numPr>
          <w:ilvl w:val="0"/>
          <w:numId w:val="17"/>
        </w:numPr>
        <w:ind w:left="360" w:leftChars="0" w:hanging="360" w:firstLineChars="0"/>
      </w:pPr>
      <w:r>
        <w:t>对停药后复阳事件，在条件允许时进行菌株分型或WGS，以区分“复发（同一菌株再活化）”与“再感染（不同菌株新感染）”。</w:t>
      </w:r>
    </w:p>
    <w:p w14:paraId="663D4210">
      <w:pPr>
        <w:pStyle w:val="19"/>
        <w:widowControl/>
        <w:numPr>
          <w:ilvl w:val="0"/>
          <w:numId w:val="17"/>
        </w:numPr>
        <w:ind w:left="360" w:leftChars="0" w:hanging="360" w:firstLineChars="0"/>
      </w:pPr>
      <w:r>
        <w:t>当前建议阈值（用于操作学与EDC字段示例）：与基线菌株SNP差异≤12 归类为复发；&gt;12 归类为再感染。阈值如由CEC章程/SC另行锁定更新，以更新版本为准。</w:t>
      </w:r>
    </w:p>
    <w:p w14:paraId="59832C82">
      <w:pPr>
        <w:pStyle w:val="19"/>
        <w:widowControl/>
        <w:numPr>
          <w:ilvl w:val="0"/>
          <w:numId w:val="17"/>
        </w:numPr>
        <w:ind w:left="360" w:leftChars="0" w:hanging="360" w:firstLineChars="0"/>
      </w:pPr>
      <w:r>
        <w:t>若无WGS/分型或结果无法判定：归类为“复发/无法区分”，并按主要终点复合不良事件的保守策略处理（计入不良）；敏感性分析由SAP预设。</w:t>
      </w:r>
    </w:p>
    <w:p w14:paraId="6CDDCF77">
      <w:pPr>
        <w:pStyle w:val="19"/>
        <w:widowControl/>
        <w:numPr>
          <w:ilvl w:val="0"/>
          <w:numId w:val="17"/>
        </w:numPr>
        <w:ind w:left="360" w:leftChars="0" w:hanging="360" w:firstLineChars="0"/>
      </w:pPr>
      <w:r>
        <w:t>再感染在临床归类上不等同于“方案治疗失败”，但在主要终点复合不良结局中默认作为不良结局纳入（保守口径）。</w:t>
      </w:r>
    </w:p>
    <w:p w14:paraId="09E14A7E">
      <w:pPr>
        <w:pStyle w:val="4"/>
        <w:widowControl/>
        <w:numPr>
          <w:ilvl w:val="0"/>
          <w:numId w:val="16"/>
        </w:numPr>
        <w:ind w:left="0" w:leftChars="0" w:firstLine="0" w:firstLineChars="0"/>
        <w:rPr>
          <w:b/>
          <w:bdr w:val="none" w:sz="0" w:space="0"/>
        </w:rPr>
      </w:pPr>
      <w:r>
        <w:t>污染、NTM与无效标本处理</w:t>
      </w:r>
    </w:p>
    <w:p w14:paraId="6E706304">
      <w:pPr>
        <w:pStyle w:val="19"/>
        <w:widowControl/>
        <w:numPr>
          <w:ilvl w:val="0"/>
          <w:numId w:val="18"/>
        </w:numPr>
        <w:ind w:left="360" w:leftChars="0" w:hanging="360" w:firstLineChars="0"/>
      </w:pPr>
      <w:r>
        <w:t>培养污染、标本无效或检测失败：在允许时间窗内尽快补采并完成判读；补采与复核过程需留痕并纳入证据包。</w:t>
      </w:r>
    </w:p>
    <w:p w14:paraId="3527BD49">
      <w:pPr>
        <w:pStyle w:val="19"/>
        <w:widowControl/>
        <w:numPr>
          <w:ilvl w:val="0"/>
          <w:numId w:val="18"/>
        </w:numPr>
        <w:ind w:left="360" w:leftChars="0" w:hanging="360" w:firstLineChars="0"/>
      </w:pPr>
      <w:r>
        <w:t>如复阳事件最终鉴定为NTM：不计为复发/失败事件，但需单独记录为NTM事件；若临床已启动再治疗，仍需提交CEC裁决并评估其对主要终点归类的影响。</w:t>
      </w:r>
    </w:p>
    <w:p w14:paraId="52344C9B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  <w:bdr w:val="none" w:sz="0" w:space="0"/>
        </w:rPr>
      </w:pPr>
      <w:r>
        <w:t>事件识别与提交触发（EDC任务）</w:t>
      </w:r>
    </w:p>
    <w:p w14:paraId="1D1095E5">
      <w:pPr>
        <w:pStyle w:val="19"/>
        <w:widowControl/>
      </w:pPr>
      <w:r>
        <w:rPr>
          <w:b w:val="0"/>
        </w:rPr>
        <w:t>EDC将按方案与数据管理计划配置触发规则。当满足触发条件时，系统生成“疑似结局事件”任务，要求中心按本SOP制作并提交材料包。常见触发示例包括：停药后培养阳性（MTBC）、再治疗启动、治疗期复阳/疑似失败、死亡等。</w:t>
      </w:r>
    </w:p>
    <w:p w14:paraId="497136F9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  <w:bdr w:val="none" w:sz="0" w:space="0"/>
        </w:rPr>
      </w:pPr>
      <w:r>
        <w:t>CEC裁定流程与分歧处理</w:t>
      </w:r>
    </w:p>
    <w:p w14:paraId="2F9792B9">
      <w:pPr>
        <w:pStyle w:val="19"/>
        <w:widowControl/>
        <w:numPr>
          <w:ilvl w:val="0"/>
          <w:numId w:val="19"/>
        </w:numPr>
        <w:ind w:left="360" w:leftChars="0" w:hanging="360" w:firstLineChars="0"/>
      </w:pPr>
      <w:r>
        <w:t>分散评阅：至少两名CEC成员对提交包独立裁定并填写裁定表（在EDC或安全平台完成）。</w:t>
      </w:r>
    </w:p>
    <w:p w14:paraId="7163B751">
      <w:pPr>
        <w:pStyle w:val="19"/>
        <w:widowControl/>
        <w:numPr>
          <w:ilvl w:val="0"/>
          <w:numId w:val="19"/>
        </w:numPr>
        <w:ind w:left="360" w:leftChars="0" w:hanging="360" w:firstLineChars="0"/>
      </w:pPr>
      <w:r>
        <w:t>分歧处理：对裁定不一致病例，由主任委员组织集中讨论；仍无法一致时按多数票或主任委员裁决形成最终结论（以CEC章程为准）。</w:t>
      </w:r>
    </w:p>
    <w:p w14:paraId="77F13E54">
      <w:pPr>
        <w:pStyle w:val="19"/>
        <w:widowControl/>
        <w:numPr>
          <w:ilvl w:val="0"/>
          <w:numId w:val="19"/>
        </w:numPr>
        <w:ind w:left="360" w:leftChars="0" w:hanging="360" w:firstLineChars="0"/>
      </w:pPr>
      <w:r>
        <w:t>过程留痕：讨论要点、参与人员、最终结论与理由形成可追溯记录，由PMO与数据管理归档。</w:t>
      </w:r>
    </w:p>
    <w:p w14:paraId="71C76160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  <w:bdr w:val="none" w:sz="0" w:space="0"/>
        </w:rPr>
      </w:pPr>
      <w:r>
        <w:t>CEC提交包（材料包）制作标准</w:t>
      </w:r>
    </w:p>
    <w:p w14:paraId="05D8E2EF">
      <w:pPr>
        <w:pStyle w:val="4"/>
        <w:widowControl/>
        <w:numPr>
          <w:numId w:val="0"/>
        </w:numPr>
        <w:ind w:leftChars="0"/>
        <w:rPr>
          <w:b/>
          <w:bdr w:val="none" w:sz="0" w:space="0"/>
        </w:rPr>
      </w:pPr>
      <w:r>
        <w:rPr>
          <w:rFonts w:hint="eastAsia"/>
          <w:lang w:val="en-US" w:eastAsia="zh-CN"/>
        </w:rPr>
        <w:t>13.1</w:t>
      </w:r>
      <w:r>
        <w:t>通用要求</w:t>
      </w:r>
    </w:p>
    <w:p w14:paraId="28E21439">
      <w:pPr>
        <w:pStyle w:val="19"/>
        <w:widowControl/>
        <w:numPr>
          <w:ilvl w:val="0"/>
          <w:numId w:val="20"/>
        </w:numPr>
        <w:ind w:left="360" w:leftChars="0" w:hanging="360" w:firstLineChars="0"/>
      </w:pPr>
      <w:r>
        <w:t>去标识化：移除姓名、身份证号、电话、住址、床号、门诊号等直接识别信息，仅保留Subject ID与必要日期。</w:t>
      </w:r>
    </w:p>
    <w:p w14:paraId="7054E0C1">
      <w:pPr>
        <w:pStyle w:val="19"/>
        <w:widowControl/>
        <w:numPr>
          <w:ilvl w:val="0"/>
          <w:numId w:val="20"/>
        </w:numPr>
        <w:ind w:left="360" w:leftChars="0" w:hanging="360" w:firstLineChars="0"/>
      </w:pPr>
      <w:r>
        <w:t>盲态：不得包含随机分组信息、组别标签或可直接推断分组的信息；给药/停药日期以“时间轴”呈现且不标注组别名称。</w:t>
      </w:r>
    </w:p>
    <w:p w14:paraId="7E8A5866">
      <w:pPr>
        <w:pStyle w:val="19"/>
        <w:widowControl/>
        <w:numPr>
          <w:ilvl w:val="0"/>
          <w:numId w:val="20"/>
        </w:numPr>
        <w:ind w:left="360" w:leftChars="0" w:hanging="360" w:firstLineChars="0"/>
      </w:pPr>
      <w:r>
        <w:t>一致性：提交包中的关键日期与结果需与eCRF一致；不一致需在叙述中解释并保留源证据。</w:t>
      </w:r>
    </w:p>
    <w:p w14:paraId="6171051D">
      <w:pPr>
        <w:pStyle w:val="19"/>
        <w:widowControl/>
        <w:numPr>
          <w:ilvl w:val="0"/>
          <w:numId w:val="20"/>
        </w:numPr>
        <w:ind w:left="360" w:leftChars="0" w:hanging="360" w:firstLineChars="0"/>
      </w:pPr>
      <w:r>
        <w:t>格式与命名：封面表+事件叙述+证据索引+源文件附件；源文件建议PDF化；文件名使用“SubjectID_事件类型_日期_序号”。</w:t>
      </w:r>
    </w:p>
    <w:p w14:paraId="5EC39F83">
      <w:pPr>
        <w:pStyle w:val="19"/>
        <w:widowControl/>
        <w:numPr>
          <w:ilvl w:val="0"/>
          <w:numId w:val="20"/>
        </w:numPr>
        <w:ind w:left="360" w:leftChars="0" w:hanging="360" w:firstLineChars="0"/>
      </w:pPr>
      <w:r>
        <w:t>最小必要原则：仅提交支持裁定所必需的证据；CEC补充材料需求按Query流程补交。</w:t>
      </w:r>
    </w:p>
    <w:p w14:paraId="7C75AD8A">
      <w:pPr>
        <w:pStyle w:val="4"/>
        <w:widowControl/>
        <w:numPr>
          <w:numId w:val="0"/>
        </w:numPr>
        <w:ind w:leftChars="0"/>
        <w:rPr>
          <w:b/>
          <w:bdr w:val="none" w:sz="0" w:space="0"/>
        </w:rPr>
      </w:pPr>
      <w:r>
        <w:rPr>
          <w:rFonts w:hint="eastAsia"/>
          <w:lang w:val="en-US" w:eastAsia="zh-CN"/>
        </w:rPr>
        <w:t>13.2</w:t>
      </w:r>
      <w:r>
        <w:t>疑似复发/再感染/NTM 事件提交包（最低要求）</w:t>
      </w:r>
    </w:p>
    <w:p w14:paraId="0061F7C5">
      <w:pPr>
        <w:pStyle w:val="19"/>
        <w:widowControl/>
        <w:numPr>
          <w:ilvl w:val="0"/>
          <w:numId w:val="21"/>
        </w:numPr>
        <w:ind w:left="360" w:leftChars="0" w:hanging="360" w:firstLineChars="0"/>
      </w:pPr>
      <w:r>
        <w:t>封面表（Appendix A）。</w:t>
      </w:r>
    </w:p>
    <w:p w14:paraId="58E5FA50">
      <w:pPr>
        <w:pStyle w:val="19"/>
        <w:widowControl/>
        <w:numPr>
          <w:ilvl w:val="0"/>
          <w:numId w:val="21"/>
        </w:numPr>
        <w:ind w:left="360" w:leftChars="0" w:hanging="360" w:firstLineChars="0"/>
      </w:pPr>
      <w:r>
        <w:t>事件叙述（Appendix B）：基线→治疗期→EOT→随访时间轴；复发线索与处置；再治疗原因与时间点（不标注组别）。</w:t>
      </w:r>
    </w:p>
    <w:p w14:paraId="21C8DBDE">
      <w:pPr>
        <w:pStyle w:val="19"/>
        <w:widowControl/>
        <w:numPr>
          <w:ilvl w:val="0"/>
          <w:numId w:val="21"/>
        </w:numPr>
        <w:ind w:left="360" w:leftChars="0" w:hanging="360" w:firstLineChars="0"/>
      </w:pPr>
      <w:r>
        <w:t>证据索引（Appendix C）。</w:t>
      </w:r>
    </w:p>
    <w:p w14:paraId="2FD8D599">
      <w:pPr>
        <w:pStyle w:val="19"/>
        <w:widowControl/>
        <w:numPr>
          <w:ilvl w:val="0"/>
          <w:numId w:val="21"/>
        </w:numPr>
        <w:ind w:left="360" w:leftChars="0" w:hanging="360" w:firstLineChars="0"/>
      </w:pPr>
      <w:r>
        <w:t>微生物学证据：EOT前后培养时间线汇总（Appendix F）；事件相关培养原始报告；MTBC/NTM鉴定报告。</w:t>
      </w:r>
    </w:p>
    <w:p w14:paraId="18E0BE11">
      <w:pPr>
        <w:pStyle w:val="19"/>
        <w:widowControl/>
        <w:numPr>
          <w:ilvl w:val="0"/>
          <w:numId w:val="21"/>
        </w:numPr>
        <w:ind w:left="360" w:leftChars="0" w:hanging="360" w:firstLineChars="0"/>
      </w:pPr>
      <w:r>
        <w:t>WGS/分型证据：WGS报告与SNP差异结论（Appendix G）；缺失需说明原因。</w:t>
      </w:r>
    </w:p>
    <w:p w14:paraId="40A382A6">
      <w:pPr>
        <w:pStyle w:val="19"/>
        <w:widowControl/>
        <w:numPr>
          <w:ilvl w:val="0"/>
          <w:numId w:val="21"/>
        </w:numPr>
        <w:ind w:left="360" w:leftChars="0" w:hanging="360" w:firstLineChars="0"/>
      </w:pPr>
      <w:r>
        <w:t>临床与影像证据（如相关）：症状/体征、再治疗记录、住院/门急诊记录；关键CXR/CT报告。</w:t>
      </w:r>
    </w:p>
    <w:p w14:paraId="11921EC8">
      <w:pPr>
        <w:pStyle w:val="4"/>
        <w:widowControl/>
        <w:numPr>
          <w:numId w:val="0"/>
        </w:numPr>
        <w:ind w:leftChars="0"/>
        <w:rPr>
          <w:b/>
          <w:bdr w:val="none" w:sz="0" w:space="0"/>
        </w:rPr>
      </w:pPr>
      <w:r>
        <w:rPr>
          <w:rFonts w:hint="eastAsia"/>
          <w:lang w:val="en-US" w:eastAsia="zh-CN"/>
        </w:rPr>
        <w:t>13.3</w:t>
      </w:r>
      <w:r>
        <w:t>死亡/关键安全事件提交包（最低要求）</w:t>
      </w:r>
    </w:p>
    <w:p w14:paraId="1888DC26">
      <w:pPr>
        <w:pStyle w:val="19"/>
        <w:widowControl/>
        <w:numPr>
          <w:ilvl w:val="0"/>
          <w:numId w:val="22"/>
        </w:numPr>
        <w:ind w:left="360" w:leftChars="0" w:hanging="360" w:firstLineChars="0"/>
      </w:pPr>
      <w:r>
        <w:t>封面表（Appendix A），注明死亡日期与场景、初步死因。</w:t>
      </w:r>
    </w:p>
    <w:p w14:paraId="572DA9EE">
      <w:pPr>
        <w:pStyle w:val="19"/>
        <w:widowControl/>
        <w:numPr>
          <w:ilvl w:val="0"/>
          <w:numId w:val="22"/>
        </w:numPr>
        <w:ind w:left="360" w:leftChars="0" w:hanging="360" w:firstLineChars="0"/>
      </w:pPr>
      <w:r>
        <w:t>事件叙述（Appendix B）：死亡前约30天关键病程与用药、检验与处置要点（不标注组别）。</w:t>
      </w:r>
    </w:p>
    <w:p w14:paraId="6314728C">
      <w:pPr>
        <w:pStyle w:val="19"/>
        <w:widowControl/>
        <w:numPr>
          <w:ilvl w:val="0"/>
          <w:numId w:val="22"/>
        </w:numPr>
        <w:ind w:left="360" w:leftChars="0" w:hanging="360" w:firstLineChars="0"/>
      </w:pPr>
      <w:r>
        <w:t>死亡证据：死亡医学证明/死亡记录、出院小结/抢救记录（如有）。</w:t>
      </w:r>
    </w:p>
    <w:p w14:paraId="04CFF297">
      <w:pPr>
        <w:pStyle w:val="19"/>
        <w:widowControl/>
        <w:numPr>
          <w:ilvl w:val="0"/>
          <w:numId w:val="22"/>
        </w:numPr>
        <w:ind w:left="360" w:leftChars="0" w:hanging="360" w:firstLineChars="0"/>
      </w:pPr>
      <w:r>
        <w:t>关键实验室趋势（如疑似DILI等）：肝功能、胆红素、凝血功能等。</w:t>
      </w:r>
    </w:p>
    <w:p w14:paraId="436DE719">
      <w:pPr>
        <w:pStyle w:val="19"/>
        <w:widowControl/>
        <w:numPr>
          <w:ilvl w:val="0"/>
          <w:numId w:val="22"/>
        </w:numPr>
        <w:ind w:left="360" w:leftChars="0" w:hanging="360" w:firstLineChars="0"/>
      </w:pPr>
      <w:r>
        <w:t>SAE报告表及因果性/严重性评估（与AE/SAE SOP一致）。</w:t>
      </w:r>
    </w:p>
    <w:p w14:paraId="6B8E37BF">
      <w:pPr>
        <w:pStyle w:val="4"/>
        <w:widowControl/>
        <w:numPr>
          <w:numId w:val="0"/>
        </w:numPr>
        <w:ind w:leftChars="0"/>
        <w:rPr>
          <w:b/>
          <w:bdr w:val="none" w:sz="0" w:space="0"/>
        </w:rPr>
      </w:pPr>
      <w:r>
        <w:rPr>
          <w:rFonts w:hint="eastAsia"/>
          <w:lang w:val="en-US" w:eastAsia="zh-CN"/>
        </w:rPr>
        <w:t>13.4</w:t>
      </w:r>
      <w:r>
        <w:t>治疗失败/耐药事件提交包（最低要求）</w:t>
      </w:r>
    </w:p>
    <w:p w14:paraId="66848123">
      <w:pPr>
        <w:pStyle w:val="19"/>
        <w:widowControl/>
        <w:numPr>
          <w:ilvl w:val="0"/>
          <w:numId w:val="23"/>
        </w:numPr>
        <w:ind w:left="360" w:leftChars="0" w:hanging="360" w:firstLineChars="0"/>
      </w:pPr>
      <w:r>
        <w:t>失败/耐药判定依据与时间轴；细菌学复阳证据；DST/WGS（如有）；临床/影像学恶化证据；方案更改/退出研究治疗记录。</w:t>
      </w:r>
    </w:p>
    <w:p w14:paraId="74A97BA2">
      <w:pPr>
        <w:pStyle w:val="19"/>
        <w:widowControl/>
        <w:numPr>
          <w:ilvl w:val="0"/>
          <w:numId w:val="23"/>
        </w:numPr>
        <w:ind w:left="360" w:leftChars="0" w:hanging="360" w:firstLineChars="0"/>
      </w:pPr>
      <w:r>
        <w:t>若与主要终点事件重叠，应在封面表中注明事件类型优先级，避免重复提交。</w:t>
      </w:r>
    </w:p>
    <w:p w14:paraId="64BEDDC1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  <w:bdr w:val="none" w:sz="0" w:space="0"/>
        </w:rPr>
      </w:pPr>
      <w:r>
        <w:t>裁定结果回传、数据库更新与锁库衔接</w:t>
      </w:r>
    </w:p>
    <w:p w14:paraId="3ED22FC7">
      <w:pPr>
        <w:pStyle w:val="19"/>
        <w:widowControl/>
        <w:numPr>
          <w:ilvl w:val="0"/>
          <w:numId w:val="24"/>
        </w:numPr>
        <w:ind w:left="360" w:leftChars="0" w:hanging="360" w:firstLineChars="0"/>
      </w:pPr>
      <w:r>
        <w:t>裁定回传：CEC向数据管理组提交核准的裁定结论/终点判定列表，作为统计分析的唯一依据。</w:t>
      </w:r>
    </w:p>
    <w:p w14:paraId="22431433">
      <w:pPr>
        <w:pStyle w:val="19"/>
        <w:widowControl/>
        <w:numPr>
          <w:ilvl w:val="0"/>
          <w:numId w:val="24"/>
        </w:numPr>
        <w:ind w:left="360" w:leftChars="0" w:hanging="360" w:firstLineChars="0"/>
      </w:pPr>
      <w:r>
        <w:t>EDC更新：数据管理回写裁定字段并关闭相关Query；锁库前完成“裁定—回写—核对—冻结”。</w:t>
      </w:r>
    </w:p>
    <w:p w14:paraId="70AE8B55">
      <w:pPr>
        <w:pStyle w:val="19"/>
        <w:widowControl/>
        <w:numPr>
          <w:ilvl w:val="0"/>
          <w:numId w:val="24"/>
        </w:numPr>
        <w:ind w:left="360" w:leftChars="0" w:hanging="360" w:firstLineChars="0"/>
      </w:pPr>
      <w:r>
        <w:t>变更控制：锁库前新增证据导致裁定变更须留审计追踪；锁库后变更按解锁/再锁库程序执行（见SOP16）。</w:t>
      </w:r>
    </w:p>
    <w:p w14:paraId="42C15FB8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  <w:bdr w:val="none" w:sz="0" w:space="0"/>
        </w:rPr>
      </w:pPr>
      <w:r>
        <w:t>质量控制与偏差处理</w:t>
      </w:r>
    </w:p>
    <w:p w14:paraId="51499850">
      <w:pPr>
        <w:pStyle w:val="19"/>
        <w:widowControl/>
        <w:numPr>
          <w:ilvl w:val="0"/>
          <w:numId w:val="25"/>
        </w:numPr>
        <w:ind w:left="360" w:leftChars="0" w:hanging="360" w:firstLineChars="0"/>
      </w:pPr>
      <w:r>
        <w:t>提交包完整性核查：封面、叙述、索引与关键证据是否齐全；不齐全触发Query补充。</w:t>
      </w:r>
    </w:p>
    <w:p w14:paraId="5AD5E328">
      <w:pPr>
        <w:pStyle w:val="19"/>
        <w:widowControl/>
        <w:numPr>
          <w:ilvl w:val="0"/>
          <w:numId w:val="25"/>
        </w:numPr>
        <w:ind w:left="360" w:leftChars="0" w:hanging="360" w:firstLineChars="0"/>
      </w:pPr>
      <w:r>
        <w:t>一致性核查：关键日期（EOT、采样、报告）、关键结果（培养、鉴定、WGS）与eCRF核对。</w:t>
      </w:r>
    </w:p>
    <w:p w14:paraId="58669B0F">
      <w:pPr>
        <w:pStyle w:val="19"/>
        <w:widowControl/>
        <w:numPr>
          <w:ilvl w:val="0"/>
          <w:numId w:val="25"/>
        </w:numPr>
        <w:ind w:left="360" w:leftChars="0" w:hanging="360" w:firstLineChars="0"/>
      </w:pPr>
      <w:r>
        <w:t>偏差与CAPA：漏报/误报、盲态破坏、去标识化不足等需记录偏差并启动CAPA（SOP17）。</w:t>
      </w:r>
    </w:p>
    <w:p w14:paraId="5A7C1544">
      <w:pPr>
        <w:pStyle w:val="19"/>
        <w:widowControl/>
      </w:pPr>
      <w:r>
        <w:t>附录（模板/材料包）</w:t>
      </w:r>
    </w:p>
    <w:p w14:paraId="074E5DBD">
      <w:pPr>
        <w:pStyle w:val="164"/>
        <w:widowControl/>
      </w:pPr>
      <w:r>
        <w:t>附录A：CEC提交封面表（模板）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32"/>
        <w:gridCol w:w="5944"/>
      </w:tblGrid>
      <w:tr w14:paraId="1919A1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96" w:type="pct"/>
            <w:vAlign w:val="center"/>
          </w:tcPr>
          <w:p w14:paraId="3D1E6A0D">
            <w:pPr>
              <w:jc w:val="left"/>
            </w:pPr>
            <w:r>
              <w:rPr>
                <w:b/>
              </w:rPr>
              <w:t>字段</w:t>
            </w:r>
          </w:p>
        </w:tc>
        <w:tc>
          <w:tcPr>
            <w:tcW w:w="3103" w:type="pct"/>
            <w:vAlign w:val="center"/>
          </w:tcPr>
          <w:p w14:paraId="47E05701">
            <w:pPr>
              <w:jc w:val="left"/>
            </w:pPr>
            <w:r>
              <w:rPr>
                <w:b/>
              </w:rPr>
              <w:t>填写内容</w:t>
            </w:r>
          </w:p>
        </w:tc>
      </w:tr>
      <w:tr w14:paraId="1457AB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96" w:type="pct"/>
          </w:tcPr>
          <w:p w14:paraId="0F1CA8C1">
            <w:pPr>
              <w:jc w:val="left"/>
            </w:pPr>
            <w:r>
              <w:rPr>
                <w:b w:val="0"/>
              </w:rPr>
              <w:t>Subject ID</w:t>
            </w:r>
          </w:p>
        </w:tc>
        <w:tc>
          <w:tcPr>
            <w:tcW w:w="3103" w:type="pct"/>
          </w:tcPr>
          <w:p w14:paraId="7BBB8684">
            <w:pPr>
              <w:jc w:val="left"/>
            </w:pPr>
          </w:p>
        </w:tc>
      </w:tr>
      <w:tr w14:paraId="2B18E3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96" w:type="pct"/>
          </w:tcPr>
          <w:p w14:paraId="0070A120">
            <w:pPr>
              <w:jc w:val="left"/>
            </w:pPr>
            <w:r>
              <w:rPr>
                <w:b w:val="0"/>
              </w:rPr>
              <w:t>研究中心/分中心</w:t>
            </w:r>
          </w:p>
        </w:tc>
        <w:tc>
          <w:tcPr>
            <w:tcW w:w="3103" w:type="pct"/>
          </w:tcPr>
          <w:p w14:paraId="508CC396">
            <w:pPr>
              <w:jc w:val="left"/>
            </w:pPr>
          </w:p>
        </w:tc>
      </w:tr>
      <w:tr w14:paraId="5944D3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96" w:type="pct"/>
          </w:tcPr>
          <w:p w14:paraId="53CD9B7E">
            <w:pPr>
              <w:jc w:val="left"/>
            </w:pPr>
            <w:r>
              <w:rPr>
                <w:b w:val="0"/>
              </w:rPr>
              <w:t>事件类型</w:t>
            </w:r>
          </w:p>
        </w:tc>
        <w:tc>
          <w:tcPr>
            <w:tcW w:w="3103" w:type="pct"/>
          </w:tcPr>
          <w:p w14:paraId="0C2CA074">
            <w:pPr>
              <w:jc w:val="left"/>
            </w:pPr>
            <w:r>
              <w:rPr>
                <w:b w:val="0"/>
              </w:rPr>
              <w:t>□疑似复发/再感染/NTM  □死亡  □治疗失败/耐药  □其他：</w:t>
            </w:r>
          </w:p>
        </w:tc>
      </w:tr>
      <w:tr w14:paraId="769DAF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96" w:type="pct"/>
          </w:tcPr>
          <w:p w14:paraId="6DF17741">
            <w:pPr>
              <w:jc w:val="left"/>
            </w:pPr>
            <w:r>
              <w:rPr>
                <w:b w:val="0"/>
              </w:rPr>
              <w:t>EOT日期（如适用）</w:t>
            </w:r>
          </w:p>
        </w:tc>
        <w:tc>
          <w:tcPr>
            <w:tcW w:w="3103" w:type="pct"/>
          </w:tcPr>
          <w:p w14:paraId="543AE7F4">
            <w:pPr>
              <w:jc w:val="left"/>
            </w:pPr>
          </w:p>
        </w:tc>
      </w:tr>
      <w:tr w14:paraId="2D12A4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96" w:type="pct"/>
          </w:tcPr>
          <w:p w14:paraId="7DED4456">
            <w:pPr>
              <w:jc w:val="left"/>
            </w:pPr>
            <w:r>
              <w:rPr>
                <w:b w:val="0"/>
              </w:rPr>
              <w:t>事件发生日期/首次证据日期</w:t>
            </w:r>
          </w:p>
        </w:tc>
        <w:tc>
          <w:tcPr>
            <w:tcW w:w="3103" w:type="pct"/>
          </w:tcPr>
          <w:p w14:paraId="097D9C9D">
            <w:pPr>
              <w:jc w:val="left"/>
            </w:pPr>
          </w:p>
        </w:tc>
      </w:tr>
      <w:tr w14:paraId="7FA54C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96" w:type="pct"/>
          </w:tcPr>
          <w:p w14:paraId="75854BA8">
            <w:pPr>
              <w:jc w:val="left"/>
            </w:pPr>
            <w:r>
              <w:rPr>
                <w:b w:val="0"/>
              </w:rPr>
              <w:t>触发来源</w:t>
            </w:r>
          </w:p>
        </w:tc>
        <w:tc>
          <w:tcPr>
            <w:tcW w:w="3103" w:type="pct"/>
          </w:tcPr>
          <w:p w14:paraId="144BC34F">
            <w:pPr>
              <w:jc w:val="left"/>
            </w:pPr>
            <w:r>
              <w:rPr>
                <w:b w:val="0"/>
              </w:rPr>
              <w:t>□EDC触发  □中心主动报告  □监查发现  □其他</w:t>
            </w:r>
          </w:p>
        </w:tc>
      </w:tr>
      <w:tr w14:paraId="6BD338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96" w:type="pct"/>
          </w:tcPr>
          <w:p w14:paraId="2687CEA3">
            <w:pPr>
              <w:jc w:val="left"/>
            </w:pPr>
            <w:r>
              <w:rPr>
                <w:b w:val="0"/>
              </w:rPr>
              <w:t>盲态声明</w:t>
            </w:r>
          </w:p>
        </w:tc>
        <w:tc>
          <w:tcPr>
            <w:tcW w:w="3103" w:type="pct"/>
          </w:tcPr>
          <w:p w14:paraId="27F5DDE9">
            <w:pPr>
              <w:jc w:val="left"/>
            </w:pPr>
            <w:r>
              <w:rPr>
                <w:b w:val="0"/>
              </w:rPr>
              <w:t>本提交包不包含随机分组/组别标签等盲态破坏信息。</w:t>
            </w:r>
          </w:p>
        </w:tc>
      </w:tr>
      <w:tr w14:paraId="0F58A4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96" w:type="pct"/>
          </w:tcPr>
          <w:p w14:paraId="040F7344">
            <w:pPr>
              <w:jc w:val="left"/>
            </w:pPr>
            <w:r>
              <w:rPr>
                <w:b w:val="0"/>
              </w:rPr>
              <w:t>提交人/日期</w:t>
            </w:r>
          </w:p>
        </w:tc>
        <w:tc>
          <w:tcPr>
            <w:tcW w:w="3103" w:type="pct"/>
          </w:tcPr>
          <w:p w14:paraId="1A118E5F">
            <w:pPr>
              <w:jc w:val="left"/>
            </w:pPr>
          </w:p>
        </w:tc>
      </w:tr>
    </w:tbl>
    <w:p w14:paraId="19205061">
      <w:pPr>
        <w:jc w:val="left"/>
      </w:pPr>
    </w:p>
    <w:p w14:paraId="6EE7FF25">
      <w:pPr>
        <w:pStyle w:val="164"/>
        <w:widowControl/>
      </w:pPr>
      <w:r>
        <w:t>附录B：事件叙述（Narrative）模板</w:t>
      </w:r>
    </w:p>
    <w:p w14:paraId="5B9CF25F">
      <w:pPr>
        <w:pStyle w:val="19"/>
        <w:widowControl/>
      </w:pPr>
      <w:r>
        <w:rPr>
          <w:rFonts w:hint="eastAsia"/>
          <w:lang w:val="en-US" w:eastAsia="zh-CN"/>
        </w:rPr>
        <w:t>1</w:t>
      </w:r>
      <w:r>
        <w:t>.</w:t>
      </w:r>
      <w:r>
        <w:t>基线概况：入组日期、诊断依据、初始细菌学与影像学概况（去标识化）。</w:t>
      </w:r>
    </w:p>
    <w:p w14:paraId="7AE551EF">
      <w:pPr>
        <w:pStyle w:val="19"/>
        <w:widowControl/>
      </w:pPr>
      <w:r>
        <w:rPr>
          <w:rFonts w:hint="eastAsia"/>
          <w:lang w:val="en-US" w:eastAsia="zh-CN"/>
        </w:rPr>
        <w:t>2</w:t>
      </w:r>
      <w:r>
        <w:t>.</w:t>
      </w:r>
      <w:r>
        <w:t>治疗期关键节点：给药/停药日期、关键培养结果、重要不良事件与处理（不标注组别）。</w:t>
      </w:r>
    </w:p>
    <w:p w14:paraId="6FF64CDE">
      <w:pPr>
        <w:pStyle w:val="19"/>
        <w:widowControl/>
      </w:pPr>
      <w:r>
        <w:rPr>
          <w:rFonts w:hint="eastAsia"/>
          <w:lang w:val="en-US" w:eastAsia="zh-CN"/>
        </w:rPr>
        <w:t>3</w:t>
      </w:r>
      <w:r>
        <w:t>.</w:t>
      </w:r>
      <w:r>
        <w:t>事件经过：症状出现与就诊经过、关键检查（培养/鉴定/WGS/影像/实验室）时间轴、处置措施。</w:t>
      </w:r>
    </w:p>
    <w:p w14:paraId="587BEB0A">
      <w:pPr>
        <w:pStyle w:val="19"/>
        <w:widowControl/>
      </w:pPr>
      <w:r>
        <w:rPr>
          <w:rFonts w:hint="eastAsia"/>
          <w:lang w:val="en-US" w:eastAsia="zh-CN"/>
        </w:rPr>
        <w:t>4</w:t>
      </w:r>
      <w:r>
        <w:t>.</w:t>
      </w:r>
      <w:r>
        <w:t>结论与提交理由：为何认为满足疑似事件触发条件；尚缺信息与拟补交计划（如有）。</w:t>
      </w:r>
    </w:p>
    <w:p w14:paraId="7DFF0597">
      <w:pPr>
        <w:pStyle w:val="164"/>
        <w:widowControl/>
      </w:pPr>
      <w:r>
        <w:t>附录C：证据文件索引（模板）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0"/>
        <w:gridCol w:w="2633"/>
        <w:gridCol w:w="1591"/>
        <w:gridCol w:w="1591"/>
        <w:gridCol w:w="2171"/>
      </w:tblGrid>
      <w:tr w14:paraId="3B7066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0" w:type="pct"/>
            <w:vAlign w:val="center"/>
          </w:tcPr>
          <w:p w14:paraId="38C8F1C1">
            <w:pPr>
              <w:jc w:val="left"/>
            </w:pPr>
            <w:r>
              <w:rPr>
                <w:b/>
              </w:rPr>
              <w:t>序号</w:t>
            </w:r>
          </w:p>
        </w:tc>
        <w:tc>
          <w:tcPr>
            <w:tcW w:w="1374" w:type="pct"/>
            <w:vAlign w:val="center"/>
          </w:tcPr>
          <w:p w14:paraId="12A95275">
            <w:pPr>
              <w:jc w:val="left"/>
            </w:pPr>
            <w:r>
              <w:rPr>
                <w:b/>
              </w:rPr>
              <w:t>文件名</w:t>
            </w:r>
          </w:p>
        </w:tc>
        <w:tc>
          <w:tcPr>
            <w:tcW w:w="830" w:type="pct"/>
            <w:vAlign w:val="center"/>
          </w:tcPr>
          <w:p w14:paraId="4E4DB089">
            <w:pPr>
              <w:jc w:val="left"/>
            </w:pPr>
            <w:r>
              <w:rPr>
                <w:b/>
              </w:rPr>
              <w:t>文件类型</w:t>
            </w:r>
          </w:p>
        </w:tc>
        <w:tc>
          <w:tcPr>
            <w:tcW w:w="830" w:type="pct"/>
            <w:vAlign w:val="center"/>
          </w:tcPr>
          <w:p w14:paraId="30AB59A7">
            <w:pPr>
              <w:jc w:val="left"/>
            </w:pPr>
            <w:r>
              <w:rPr>
                <w:b/>
              </w:rPr>
              <w:t>日期范围</w:t>
            </w:r>
          </w:p>
        </w:tc>
        <w:tc>
          <w:tcPr>
            <w:tcW w:w="1133" w:type="pct"/>
            <w:vAlign w:val="center"/>
          </w:tcPr>
          <w:p w14:paraId="6A43E4B2">
            <w:pPr>
              <w:jc w:val="left"/>
            </w:pPr>
            <w:r>
              <w:rPr>
                <w:b/>
              </w:rPr>
              <w:t>来源/说明</w:t>
            </w:r>
          </w:p>
        </w:tc>
      </w:tr>
      <w:tr w14:paraId="6FA98C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0" w:type="pct"/>
          </w:tcPr>
          <w:p w14:paraId="058F7873">
            <w:pPr>
              <w:jc w:val="left"/>
            </w:pPr>
          </w:p>
        </w:tc>
        <w:tc>
          <w:tcPr>
            <w:tcW w:w="1374" w:type="pct"/>
          </w:tcPr>
          <w:p w14:paraId="4ED24C11">
            <w:pPr>
              <w:jc w:val="left"/>
            </w:pPr>
          </w:p>
        </w:tc>
        <w:tc>
          <w:tcPr>
            <w:tcW w:w="830" w:type="pct"/>
          </w:tcPr>
          <w:p w14:paraId="4F619B0E">
            <w:pPr>
              <w:jc w:val="left"/>
            </w:pPr>
          </w:p>
        </w:tc>
        <w:tc>
          <w:tcPr>
            <w:tcW w:w="830" w:type="pct"/>
          </w:tcPr>
          <w:p w14:paraId="4581F5B8">
            <w:pPr>
              <w:jc w:val="left"/>
            </w:pPr>
          </w:p>
        </w:tc>
        <w:tc>
          <w:tcPr>
            <w:tcW w:w="1133" w:type="pct"/>
          </w:tcPr>
          <w:p w14:paraId="08FD0432">
            <w:pPr>
              <w:jc w:val="left"/>
            </w:pPr>
          </w:p>
        </w:tc>
      </w:tr>
      <w:tr w14:paraId="51C884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0" w:type="pct"/>
          </w:tcPr>
          <w:p w14:paraId="25AD0ECC">
            <w:pPr>
              <w:jc w:val="left"/>
            </w:pPr>
          </w:p>
        </w:tc>
        <w:tc>
          <w:tcPr>
            <w:tcW w:w="1374" w:type="pct"/>
          </w:tcPr>
          <w:p w14:paraId="4826188C">
            <w:pPr>
              <w:jc w:val="left"/>
            </w:pPr>
          </w:p>
        </w:tc>
        <w:tc>
          <w:tcPr>
            <w:tcW w:w="830" w:type="pct"/>
          </w:tcPr>
          <w:p w14:paraId="08954387">
            <w:pPr>
              <w:jc w:val="left"/>
            </w:pPr>
          </w:p>
        </w:tc>
        <w:tc>
          <w:tcPr>
            <w:tcW w:w="830" w:type="pct"/>
          </w:tcPr>
          <w:p w14:paraId="1862CEDE">
            <w:pPr>
              <w:jc w:val="left"/>
            </w:pPr>
          </w:p>
        </w:tc>
        <w:tc>
          <w:tcPr>
            <w:tcW w:w="1133" w:type="pct"/>
          </w:tcPr>
          <w:p w14:paraId="4E0ACB78">
            <w:pPr>
              <w:jc w:val="left"/>
            </w:pPr>
          </w:p>
        </w:tc>
      </w:tr>
      <w:tr w14:paraId="676300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0" w:type="pct"/>
          </w:tcPr>
          <w:p w14:paraId="13EF7F2D">
            <w:pPr>
              <w:jc w:val="left"/>
            </w:pPr>
          </w:p>
        </w:tc>
        <w:tc>
          <w:tcPr>
            <w:tcW w:w="1374" w:type="pct"/>
          </w:tcPr>
          <w:p w14:paraId="0494ABCE">
            <w:pPr>
              <w:jc w:val="left"/>
            </w:pPr>
          </w:p>
        </w:tc>
        <w:tc>
          <w:tcPr>
            <w:tcW w:w="830" w:type="pct"/>
          </w:tcPr>
          <w:p w14:paraId="041A64EB">
            <w:pPr>
              <w:jc w:val="left"/>
            </w:pPr>
          </w:p>
        </w:tc>
        <w:tc>
          <w:tcPr>
            <w:tcW w:w="830" w:type="pct"/>
          </w:tcPr>
          <w:p w14:paraId="63ACDF82">
            <w:pPr>
              <w:jc w:val="left"/>
            </w:pPr>
          </w:p>
        </w:tc>
        <w:tc>
          <w:tcPr>
            <w:tcW w:w="1133" w:type="pct"/>
          </w:tcPr>
          <w:p w14:paraId="10E926B8">
            <w:pPr>
              <w:jc w:val="left"/>
            </w:pPr>
          </w:p>
        </w:tc>
      </w:tr>
      <w:tr w14:paraId="651CA0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0" w:type="pct"/>
          </w:tcPr>
          <w:p w14:paraId="62BBA255">
            <w:pPr>
              <w:jc w:val="left"/>
            </w:pPr>
          </w:p>
        </w:tc>
        <w:tc>
          <w:tcPr>
            <w:tcW w:w="1374" w:type="pct"/>
          </w:tcPr>
          <w:p w14:paraId="6572B89D">
            <w:pPr>
              <w:jc w:val="left"/>
            </w:pPr>
          </w:p>
        </w:tc>
        <w:tc>
          <w:tcPr>
            <w:tcW w:w="830" w:type="pct"/>
          </w:tcPr>
          <w:p w14:paraId="5FA27055">
            <w:pPr>
              <w:jc w:val="left"/>
            </w:pPr>
          </w:p>
        </w:tc>
        <w:tc>
          <w:tcPr>
            <w:tcW w:w="830" w:type="pct"/>
          </w:tcPr>
          <w:p w14:paraId="62F7B9E6">
            <w:pPr>
              <w:jc w:val="left"/>
            </w:pPr>
          </w:p>
        </w:tc>
        <w:tc>
          <w:tcPr>
            <w:tcW w:w="1133" w:type="pct"/>
          </w:tcPr>
          <w:p w14:paraId="2EE62D4F">
            <w:pPr>
              <w:jc w:val="left"/>
            </w:pPr>
          </w:p>
        </w:tc>
      </w:tr>
      <w:tr w14:paraId="1C4905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0" w:type="pct"/>
          </w:tcPr>
          <w:p w14:paraId="1AD7F9AC">
            <w:pPr>
              <w:jc w:val="left"/>
            </w:pPr>
          </w:p>
        </w:tc>
        <w:tc>
          <w:tcPr>
            <w:tcW w:w="1374" w:type="pct"/>
          </w:tcPr>
          <w:p w14:paraId="5822767F">
            <w:pPr>
              <w:jc w:val="left"/>
            </w:pPr>
          </w:p>
        </w:tc>
        <w:tc>
          <w:tcPr>
            <w:tcW w:w="830" w:type="pct"/>
          </w:tcPr>
          <w:p w14:paraId="11D8F01D">
            <w:pPr>
              <w:jc w:val="left"/>
            </w:pPr>
          </w:p>
        </w:tc>
        <w:tc>
          <w:tcPr>
            <w:tcW w:w="830" w:type="pct"/>
          </w:tcPr>
          <w:p w14:paraId="5ED8B058">
            <w:pPr>
              <w:jc w:val="left"/>
            </w:pPr>
          </w:p>
        </w:tc>
        <w:tc>
          <w:tcPr>
            <w:tcW w:w="1133" w:type="pct"/>
          </w:tcPr>
          <w:p w14:paraId="094DECE8">
            <w:pPr>
              <w:jc w:val="left"/>
            </w:pPr>
          </w:p>
        </w:tc>
      </w:tr>
    </w:tbl>
    <w:p w14:paraId="2835CC6A">
      <w:pPr>
        <w:pStyle w:val="164"/>
        <w:widowControl/>
      </w:pPr>
      <w:r>
        <w:t>附录D：去标识化与盲态检查清单（Checklist）</w:t>
      </w:r>
    </w:p>
    <w:p w14:paraId="41E22992">
      <w:pPr>
        <w:pStyle w:val="19"/>
        <w:widowControl/>
        <w:numPr>
          <w:ilvl w:val="0"/>
          <w:numId w:val="26"/>
        </w:numPr>
      </w:pPr>
      <w:r>
        <w:t>□ 已移除/遮盖姓名、身份证号、电话、住址、床号、门诊号等直接识别信息；</w:t>
      </w:r>
    </w:p>
    <w:p w14:paraId="359B48AC">
      <w:pPr>
        <w:pStyle w:val="19"/>
        <w:widowControl/>
        <w:numPr>
          <w:ilvl w:val="0"/>
          <w:numId w:val="26"/>
        </w:numPr>
      </w:pPr>
      <w:r>
        <w:t>□ 影像/检验报告中的姓名栏已遮盖或裁剪；</w:t>
      </w:r>
    </w:p>
    <w:p w14:paraId="14DFB408">
      <w:pPr>
        <w:pStyle w:val="19"/>
        <w:widowControl/>
        <w:numPr>
          <w:ilvl w:val="0"/>
          <w:numId w:val="26"/>
        </w:numPr>
      </w:pPr>
      <w:r>
        <w:t>□ 扫描件/截图未包含二维码或条形码中可识别信息（如有已处理）；</w:t>
      </w:r>
    </w:p>
    <w:p w14:paraId="4E63ED7E">
      <w:pPr>
        <w:pStyle w:val="19"/>
        <w:widowControl/>
        <w:numPr>
          <w:ilvl w:val="0"/>
          <w:numId w:val="26"/>
        </w:numPr>
      </w:pPr>
      <w:r>
        <w:t>□ 文件名仅包含Subject ID与事件类型，不包含姓名；</w:t>
      </w:r>
    </w:p>
    <w:p w14:paraId="13097722">
      <w:pPr>
        <w:pStyle w:val="19"/>
        <w:widowControl/>
        <w:numPr>
          <w:ilvl w:val="0"/>
          <w:numId w:val="26"/>
        </w:numPr>
      </w:pPr>
      <w:r>
        <w:t>□ 提交包未包含随机分组或可直接推断分组的信息（含TB22等探索性结果）。</w:t>
      </w:r>
    </w:p>
    <w:p w14:paraId="7B39D281">
      <w:pPr>
        <w:pStyle w:val="164"/>
        <w:widowControl/>
      </w:pPr>
      <w:r>
        <w:t>附录E：CEC裁定字段建议（供EDC配置参考）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86"/>
        <w:gridCol w:w="3502"/>
        <w:gridCol w:w="3488"/>
      </w:tblGrid>
      <w:tr w14:paraId="49D129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50" w:type="pct"/>
            <w:vAlign w:val="center"/>
          </w:tcPr>
          <w:p w14:paraId="09A74DA2">
            <w:pPr>
              <w:jc w:val="left"/>
            </w:pPr>
            <w:r>
              <w:rPr>
                <w:b/>
              </w:rPr>
              <w:t>事件类别</w:t>
            </w:r>
          </w:p>
        </w:tc>
        <w:tc>
          <w:tcPr>
            <w:tcW w:w="1828" w:type="pct"/>
            <w:vAlign w:val="center"/>
          </w:tcPr>
          <w:p w14:paraId="14E1C5EF">
            <w:pPr>
              <w:jc w:val="left"/>
            </w:pPr>
            <w:r>
              <w:rPr>
                <w:b/>
              </w:rPr>
              <w:t>裁定选项（示例）</w:t>
            </w:r>
          </w:p>
        </w:tc>
        <w:tc>
          <w:tcPr>
            <w:tcW w:w="1821" w:type="pct"/>
            <w:vAlign w:val="center"/>
          </w:tcPr>
          <w:p w14:paraId="53092E6C">
            <w:pPr>
              <w:jc w:val="left"/>
            </w:pPr>
            <w:r>
              <w:rPr>
                <w:b/>
              </w:rPr>
              <w:t>关键依据字段（示例）</w:t>
            </w:r>
          </w:p>
        </w:tc>
      </w:tr>
      <w:tr w14:paraId="5FBE6D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50" w:type="pct"/>
          </w:tcPr>
          <w:p w14:paraId="640D0CC1">
            <w:pPr>
              <w:jc w:val="left"/>
            </w:pPr>
            <w:r>
              <w:rPr>
                <w:b w:val="0"/>
              </w:rPr>
              <w:t>疑似复发/再感染</w:t>
            </w:r>
          </w:p>
        </w:tc>
        <w:tc>
          <w:tcPr>
            <w:tcW w:w="1828" w:type="pct"/>
          </w:tcPr>
          <w:p w14:paraId="12510A39">
            <w:pPr>
              <w:jc w:val="left"/>
            </w:pPr>
            <w:r>
              <w:rPr>
                <w:b w:val="0"/>
              </w:rPr>
              <w:t>□Relapse（≤12 SNPs） □Reinfection（&gt;12 SNPs） □NTM □Not evaluable</w:t>
            </w:r>
          </w:p>
        </w:tc>
        <w:tc>
          <w:tcPr>
            <w:tcW w:w="1821" w:type="pct"/>
          </w:tcPr>
          <w:p w14:paraId="60B544C9">
            <w:pPr>
              <w:jc w:val="left"/>
            </w:pPr>
            <w:r>
              <w:rPr>
                <w:b w:val="0"/>
              </w:rPr>
              <w:t>培养阳性日期；MTBC鉴定；WGS SNP差异；证据充分性；是否启动再治疗</w:t>
            </w:r>
          </w:p>
        </w:tc>
      </w:tr>
      <w:tr w14:paraId="475B52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50" w:type="pct"/>
          </w:tcPr>
          <w:p w14:paraId="457CFAE0">
            <w:pPr>
              <w:jc w:val="left"/>
            </w:pPr>
            <w:r>
              <w:rPr>
                <w:b w:val="0"/>
              </w:rPr>
              <w:t>治疗失败/耐药</w:t>
            </w:r>
          </w:p>
        </w:tc>
        <w:tc>
          <w:tcPr>
            <w:tcW w:w="1828" w:type="pct"/>
          </w:tcPr>
          <w:p w14:paraId="3E65A8BD">
            <w:pPr>
              <w:jc w:val="left"/>
            </w:pPr>
            <w:r>
              <w:rPr>
                <w:b w:val="0"/>
              </w:rPr>
              <w:t>□Failure □Resistance confirmed □Other □Not evaluable</w:t>
            </w:r>
          </w:p>
        </w:tc>
        <w:tc>
          <w:tcPr>
            <w:tcW w:w="1821" w:type="pct"/>
          </w:tcPr>
          <w:p w14:paraId="35A1BD4D">
            <w:pPr>
              <w:jc w:val="left"/>
            </w:pPr>
            <w:r>
              <w:rPr>
                <w:b w:val="0"/>
              </w:rPr>
              <w:t>复阳/恶化证据；培养/分子结果；DST/WGS；依从性/污染排除；临床处置</w:t>
            </w:r>
          </w:p>
        </w:tc>
      </w:tr>
      <w:tr w14:paraId="444DCC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50" w:type="pct"/>
          </w:tcPr>
          <w:p w14:paraId="1A6E06A7">
            <w:pPr>
              <w:jc w:val="left"/>
            </w:pPr>
            <w:r>
              <w:rPr>
                <w:b w:val="0"/>
              </w:rPr>
              <w:t>死亡</w:t>
            </w:r>
          </w:p>
        </w:tc>
        <w:tc>
          <w:tcPr>
            <w:tcW w:w="1828" w:type="pct"/>
          </w:tcPr>
          <w:p w14:paraId="0244C0CE">
            <w:pPr>
              <w:jc w:val="left"/>
            </w:pPr>
            <w:r>
              <w:rPr>
                <w:b w:val="0"/>
              </w:rPr>
              <w:t>□TB-related death □Non-TB death □Uncertain</w:t>
            </w:r>
          </w:p>
        </w:tc>
        <w:tc>
          <w:tcPr>
            <w:tcW w:w="1821" w:type="pct"/>
          </w:tcPr>
          <w:p w14:paraId="2B160659">
            <w:pPr>
              <w:jc w:val="left"/>
            </w:pPr>
            <w:r>
              <w:rPr>
                <w:b w:val="0"/>
              </w:rPr>
              <w:t>死亡日期；主要死因；证据等级；与TB/药物相关性说明</w:t>
            </w:r>
          </w:p>
        </w:tc>
      </w:tr>
    </w:tbl>
    <w:p w14:paraId="26083ED2">
      <w:pPr>
        <w:jc w:val="left"/>
      </w:pPr>
    </w:p>
    <w:p w14:paraId="0B62DBD6">
      <w:pPr>
        <w:pStyle w:val="164"/>
        <w:widowControl/>
      </w:pPr>
      <w:r>
        <w:t>附录F：培养时间线汇总表（模板）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67"/>
        <w:gridCol w:w="1440"/>
        <w:gridCol w:w="1440"/>
        <w:gridCol w:w="1440"/>
        <w:gridCol w:w="1740"/>
        <w:gridCol w:w="2049"/>
      </w:tblGrid>
      <w:tr w14:paraId="77DE36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467" w:type="dxa"/>
            <w:vAlign w:val="center"/>
          </w:tcPr>
          <w:p w14:paraId="5C169F4F">
            <w:pPr>
              <w:jc w:val="left"/>
              <w:rPr>
                <w:b w:val="0"/>
              </w:rPr>
            </w:pPr>
            <w:bookmarkStart w:id="0" w:name="_GoBack"/>
            <w:bookmarkEnd w:id="0"/>
            <w:r>
              <w:rPr>
                <w:b/>
              </w:rPr>
              <w:t>时间点</w:t>
            </w:r>
          </w:p>
        </w:tc>
        <w:tc>
          <w:tcPr>
            <w:tcW w:w="1440" w:type="dxa"/>
            <w:vAlign w:val="center"/>
          </w:tcPr>
          <w:p w14:paraId="505F05FF">
            <w:pPr>
              <w:jc w:val="left"/>
            </w:pPr>
            <w:r>
              <w:rPr>
                <w:b/>
              </w:rPr>
              <w:t>采样日期</w:t>
            </w:r>
          </w:p>
        </w:tc>
        <w:tc>
          <w:tcPr>
            <w:tcW w:w="1440" w:type="dxa"/>
            <w:vAlign w:val="center"/>
          </w:tcPr>
          <w:p w14:paraId="4E94CD23">
            <w:pPr>
              <w:jc w:val="left"/>
            </w:pPr>
            <w:r>
              <w:rPr>
                <w:b/>
              </w:rPr>
              <w:t>标本类型</w:t>
            </w:r>
          </w:p>
        </w:tc>
        <w:tc>
          <w:tcPr>
            <w:tcW w:w="1440" w:type="dxa"/>
            <w:vAlign w:val="center"/>
          </w:tcPr>
          <w:p w14:paraId="0BCCD0D9">
            <w:pPr>
              <w:jc w:val="left"/>
            </w:pPr>
            <w:r>
              <w:rPr>
                <w:b/>
              </w:rPr>
              <w:t>培养结果</w:t>
            </w:r>
          </w:p>
        </w:tc>
        <w:tc>
          <w:tcPr>
            <w:tcW w:w="1740" w:type="dxa"/>
            <w:vAlign w:val="center"/>
          </w:tcPr>
          <w:p w14:paraId="6AC5DF68">
            <w:pPr>
              <w:jc w:val="left"/>
            </w:pPr>
            <w:r>
              <w:rPr>
                <w:b/>
              </w:rPr>
              <w:t>鉴定（MTBC/NTM）</w:t>
            </w:r>
          </w:p>
        </w:tc>
        <w:tc>
          <w:tcPr>
            <w:tcW w:w="2049" w:type="dxa"/>
            <w:vAlign w:val="center"/>
          </w:tcPr>
          <w:p w14:paraId="40042B5A">
            <w:pPr>
              <w:jc w:val="left"/>
            </w:pPr>
            <w:r>
              <w:rPr>
                <w:b/>
              </w:rPr>
              <w:t>备注（污染/复核/补采）</w:t>
            </w:r>
          </w:p>
        </w:tc>
      </w:tr>
      <w:tr w14:paraId="7E4F2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6" w:type="pct"/>
          </w:tcPr>
          <w:p w14:paraId="6488D616">
            <w:pPr>
              <w:jc w:val="left"/>
            </w:pPr>
            <w:r>
              <w:rPr>
                <w:b w:val="0"/>
              </w:rPr>
              <w:t>基线</w:t>
            </w:r>
          </w:p>
        </w:tc>
        <w:tc>
          <w:tcPr>
            <w:tcW w:w="751" w:type="pct"/>
          </w:tcPr>
          <w:p w14:paraId="081DEDD9">
            <w:pPr>
              <w:jc w:val="left"/>
            </w:pPr>
          </w:p>
        </w:tc>
        <w:tc>
          <w:tcPr>
            <w:tcW w:w="751" w:type="pct"/>
          </w:tcPr>
          <w:p w14:paraId="6FE728F2">
            <w:pPr>
              <w:jc w:val="left"/>
            </w:pPr>
          </w:p>
        </w:tc>
        <w:tc>
          <w:tcPr>
            <w:tcW w:w="751" w:type="pct"/>
          </w:tcPr>
          <w:p w14:paraId="213A34F2">
            <w:pPr>
              <w:jc w:val="left"/>
            </w:pPr>
          </w:p>
        </w:tc>
        <w:tc>
          <w:tcPr>
            <w:tcW w:w="908" w:type="pct"/>
          </w:tcPr>
          <w:p w14:paraId="1EF9F9E6">
            <w:pPr>
              <w:jc w:val="left"/>
            </w:pPr>
          </w:p>
        </w:tc>
        <w:tc>
          <w:tcPr>
            <w:tcW w:w="1069" w:type="pct"/>
          </w:tcPr>
          <w:p w14:paraId="2617C30E">
            <w:pPr>
              <w:jc w:val="left"/>
            </w:pPr>
          </w:p>
        </w:tc>
      </w:tr>
      <w:tr w14:paraId="32AF4D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6" w:type="pct"/>
          </w:tcPr>
          <w:p w14:paraId="5C08F8B5">
            <w:pPr>
              <w:jc w:val="left"/>
            </w:pPr>
            <w:r>
              <w:rPr>
                <w:b w:val="0"/>
              </w:rPr>
              <w:t>W8</w:t>
            </w:r>
          </w:p>
        </w:tc>
        <w:tc>
          <w:tcPr>
            <w:tcW w:w="751" w:type="pct"/>
          </w:tcPr>
          <w:p w14:paraId="7C6C2AC7">
            <w:pPr>
              <w:jc w:val="left"/>
            </w:pPr>
          </w:p>
        </w:tc>
        <w:tc>
          <w:tcPr>
            <w:tcW w:w="751" w:type="pct"/>
          </w:tcPr>
          <w:p w14:paraId="73672011">
            <w:pPr>
              <w:jc w:val="left"/>
            </w:pPr>
          </w:p>
        </w:tc>
        <w:tc>
          <w:tcPr>
            <w:tcW w:w="751" w:type="pct"/>
          </w:tcPr>
          <w:p w14:paraId="6A0566B1">
            <w:pPr>
              <w:jc w:val="left"/>
            </w:pPr>
          </w:p>
        </w:tc>
        <w:tc>
          <w:tcPr>
            <w:tcW w:w="908" w:type="pct"/>
          </w:tcPr>
          <w:p w14:paraId="1CBFE531">
            <w:pPr>
              <w:jc w:val="left"/>
            </w:pPr>
          </w:p>
        </w:tc>
        <w:tc>
          <w:tcPr>
            <w:tcW w:w="1069" w:type="pct"/>
          </w:tcPr>
          <w:p w14:paraId="48A10DE2">
            <w:pPr>
              <w:jc w:val="left"/>
            </w:pPr>
          </w:p>
        </w:tc>
      </w:tr>
      <w:tr w14:paraId="262BF3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6" w:type="pct"/>
          </w:tcPr>
          <w:p w14:paraId="0A6C4086">
            <w:pPr>
              <w:jc w:val="left"/>
            </w:pPr>
            <w:r>
              <w:rPr>
                <w:b w:val="0"/>
              </w:rPr>
              <w:t>W16/EOT-4m</w:t>
            </w:r>
          </w:p>
        </w:tc>
        <w:tc>
          <w:tcPr>
            <w:tcW w:w="751" w:type="pct"/>
          </w:tcPr>
          <w:p w14:paraId="4095FC32">
            <w:pPr>
              <w:jc w:val="left"/>
            </w:pPr>
          </w:p>
        </w:tc>
        <w:tc>
          <w:tcPr>
            <w:tcW w:w="751" w:type="pct"/>
          </w:tcPr>
          <w:p w14:paraId="3155DF11">
            <w:pPr>
              <w:jc w:val="left"/>
            </w:pPr>
          </w:p>
        </w:tc>
        <w:tc>
          <w:tcPr>
            <w:tcW w:w="751" w:type="pct"/>
          </w:tcPr>
          <w:p w14:paraId="4E454822">
            <w:pPr>
              <w:jc w:val="left"/>
            </w:pPr>
          </w:p>
        </w:tc>
        <w:tc>
          <w:tcPr>
            <w:tcW w:w="908" w:type="pct"/>
          </w:tcPr>
          <w:p w14:paraId="4A8F1F8E">
            <w:pPr>
              <w:jc w:val="left"/>
            </w:pPr>
          </w:p>
        </w:tc>
        <w:tc>
          <w:tcPr>
            <w:tcW w:w="1069" w:type="pct"/>
          </w:tcPr>
          <w:p w14:paraId="5B4705A5">
            <w:pPr>
              <w:jc w:val="left"/>
            </w:pPr>
          </w:p>
        </w:tc>
      </w:tr>
      <w:tr w14:paraId="452614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6" w:type="pct"/>
          </w:tcPr>
          <w:p w14:paraId="5AE2F069">
            <w:pPr>
              <w:jc w:val="left"/>
            </w:pPr>
            <w:r>
              <w:rPr>
                <w:b w:val="0"/>
              </w:rPr>
              <w:t>M6</w:t>
            </w:r>
          </w:p>
        </w:tc>
        <w:tc>
          <w:tcPr>
            <w:tcW w:w="751" w:type="pct"/>
          </w:tcPr>
          <w:p w14:paraId="3636E5BF">
            <w:pPr>
              <w:jc w:val="left"/>
            </w:pPr>
          </w:p>
        </w:tc>
        <w:tc>
          <w:tcPr>
            <w:tcW w:w="751" w:type="pct"/>
          </w:tcPr>
          <w:p w14:paraId="010A6200">
            <w:pPr>
              <w:jc w:val="left"/>
            </w:pPr>
          </w:p>
        </w:tc>
        <w:tc>
          <w:tcPr>
            <w:tcW w:w="751" w:type="pct"/>
          </w:tcPr>
          <w:p w14:paraId="267FEDB4">
            <w:pPr>
              <w:jc w:val="left"/>
            </w:pPr>
          </w:p>
        </w:tc>
        <w:tc>
          <w:tcPr>
            <w:tcW w:w="908" w:type="pct"/>
          </w:tcPr>
          <w:p w14:paraId="63B45F4F">
            <w:pPr>
              <w:jc w:val="left"/>
            </w:pPr>
          </w:p>
        </w:tc>
        <w:tc>
          <w:tcPr>
            <w:tcW w:w="1069" w:type="pct"/>
          </w:tcPr>
          <w:p w14:paraId="7B326C99">
            <w:pPr>
              <w:jc w:val="left"/>
            </w:pPr>
          </w:p>
        </w:tc>
      </w:tr>
      <w:tr w14:paraId="2513F2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6" w:type="pct"/>
          </w:tcPr>
          <w:p w14:paraId="699B94FB">
            <w:pPr>
              <w:jc w:val="left"/>
            </w:pPr>
            <w:r>
              <w:rPr>
                <w:b w:val="0"/>
              </w:rPr>
              <w:t>EOT</w:t>
            </w:r>
          </w:p>
        </w:tc>
        <w:tc>
          <w:tcPr>
            <w:tcW w:w="751" w:type="pct"/>
          </w:tcPr>
          <w:p w14:paraId="299C8685">
            <w:pPr>
              <w:jc w:val="left"/>
            </w:pPr>
          </w:p>
        </w:tc>
        <w:tc>
          <w:tcPr>
            <w:tcW w:w="751" w:type="pct"/>
          </w:tcPr>
          <w:p w14:paraId="305A4F47">
            <w:pPr>
              <w:jc w:val="left"/>
            </w:pPr>
          </w:p>
        </w:tc>
        <w:tc>
          <w:tcPr>
            <w:tcW w:w="751" w:type="pct"/>
          </w:tcPr>
          <w:p w14:paraId="4CCDCB7C">
            <w:pPr>
              <w:jc w:val="left"/>
            </w:pPr>
          </w:p>
        </w:tc>
        <w:tc>
          <w:tcPr>
            <w:tcW w:w="908" w:type="pct"/>
          </w:tcPr>
          <w:p w14:paraId="51493754">
            <w:pPr>
              <w:jc w:val="left"/>
            </w:pPr>
          </w:p>
        </w:tc>
        <w:tc>
          <w:tcPr>
            <w:tcW w:w="1069" w:type="pct"/>
          </w:tcPr>
          <w:p w14:paraId="627FE6E9">
            <w:pPr>
              <w:jc w:val="left"/>
            </w:pPr>
          </w:p>
        </w:tc>
      </w:tr>
      <w:tr w14:paraId="464ED8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6" w:type="pct"/>
          </w:tcPr>
          <w:p w14:paraId="00696F0A">
            <w:pPr>
              <w:jc w:val="left"/>
            </w:pPr>
            <w:r>
              <w:rPr>
                <w:b w:val="0"/>
              </w:rPr>
              <w:t>PT-M12</w:t>
            </w:r>
          </w:p>
        </w:tc>
        <w:tc>
          <w:tcPr>
            <w:tcW w:w="751" w:type="pct"/>
          </w:tcPr>
          <w:p w14:paraId="27885CBB">
            <w:pPr>
              <w:jc w:val="left"/>
            </w:pPr>
          </w:p>
        </w:tc>
        <w:tc>
          <w:tcPr>
            <w:tcW w:w="751" w:type="pct"/>
          </w:tcPr>
          <w:p w14:paraId="2ACEE0EE">
            <w:pPr>
              <w:jc w:val="left"/>
            </w:pPr>
          </w:p>
        </w:tc>
        <w:tc>
          <w:tcPr>
            <w:tcW w:w="751" w:type="pct"/>
          </w:tcPr>
          <w:p w14:paraId="6B022D6C">
            <w:pPr>
              <w:jc w:val="left"/>
            </w:pPr>
          </w:p>
        </w:tc>
        <w:tc>
          <w:tcPr>
            <w:tcW w:w="908" w:type="pct"/>
          </w:tcPr>
          <w:p w14:paraId="2E5F6540">
            <w:pPr>
              <w:jc w:val="left"/>
            </w:pPr>
          </w:p>
        </w:tc>
        <w:tc>
          <w:tcPr>
            <w:tcW w:w="1069" w:type="pct"/>
          </w:tcPr>
          <w:p w14:paraId="55215475">
            <w:pPr>
              <w:jc w:val="left"/>
            </w:pPr>
          </w:p>
        </w:tc>
      </w:tr>
      <w:tr w14:paraId="6FBD64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6" w:type="pct"/>
          </w:tcPr>
          <w:p w14:paraId="2D6DB98B">
            <w:pPr>
              <w:jc w:val="left"/>
            </w:pPr>
            <w:r>
              <w:rPr>
                <w:b w:val="0"/>
              </w:rPr>
              <w:t>PT-M24</w:t>
            </w:r>
          </w:p>
        </w:tc>
        <w:tc>
          <w:tcPr>
            <w:tcW w:w="751" w:type="pct"/>
          </w:tcPr>
          <w:p w14:paraId="3026EADC">
            <w:pPr>
              <w:jc w:val="left"/>
            </w:pPr>
          </w:p>
        </w:tc>
        <w:tc>
          <w:tcPr>
            <w:tcW w:w="751" w:type="pct"/>
          </w:tcPr>
          <w:p w14:paraId="7888425B">
            <w:pPr>
              <w:jc w:val="left"/>
            </w:pPr>
          </w:p>
        </w:tc>
        <w:tc>
          <w:tcPr>
            <w:tcW w:w="751" w:type="pct"/>
          </w:tcPr>
          <w:p w14:paraId="43AE2128">
            <w:pPr>
              <w:jc w:val="left"/>
            </w:pPr>
          </w:p>
        </w:tc>
        <w:tc>
          <w:tcPr>
            <w:tcW w:w="908" w:type="pct"/>
          </w:tcPr>
          <w:p w14:paraId="26A4BA2F">
            <w:pPr>
              <w:jc w:val="left"/>
            </w:pPr>
          </w:p>
        </w:tc>
        <w:tc>
          <w:tcPr>
            <w:tcW w:w="1069" w:type="pct"/>
          </w:tcPr>
          <w:p w14:paraId="632F296F">
            <w:pPr>
              <w:jc w:val="left"/>
            </w:pPr>
          </w:p>
        </w:tc>
      </w:tr>
      <w:tr w14:paraId="20A5E7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6" w:type="pct"/>
          </w:tcPr>
          <w:p w14:paraId="6E9EFE67">
            <w:pPr>
              <w:jc w:val="left"/>
            </w:pPr>
            <w:r>
              <w:rPr>
                <w:b w:val="0"/>
              </w:rPr>
              <w:t>事件触发补采</w:t>
            </w:r>
          </w:p>
        </w:tc>
        <w:tc>
          <w:tcPr>
            <w:tcW w:w="751" w:type="pct"/>
          </w:tcPr>
          <w:p w14:paraId="0D2DAC1D">
            <w:pPr>
              <w:jc w:val="left"/>
            </w:pPr>
          </w:p>
        </w:tc>
        <w:tc>
          <w:tcPr>
            <w:tcW w:w="751" w:type="pct"/>
          </w:tcPr>
          <w:p w14:paraId="728B5875">
            <w:pPr>
              <w:jc w:val="left"/>
            </w:pPr>
          </w:p>
        </w:tc>
        <w:tc>
          <w:tcPr>
            <w:tcW w:w="751" w:type="pct"/>
          </w:tcPr>
          <w:p w14:paraId="1F8F5BCE">
            <w:pPr>
              <w:jc w:val="left"/>
            </w:pPr>
          </w:p>
        </w:tc>
        <w:tc>
          <w:tcPr>
            <w:tcW w:w="908" w:type="pct"/>
          </w:tcPr>
          <w:p w14:paraId="58A6AC61">
            <w:pPr>
              <w:jc w:val="left"/>
            </w:pPr>
          </w:p>
        </w:tc>
        <w:tc>
          <w:tcPr>
            <w:tcW w:w="1069" w:type="pct"/>
          </w:tcPr>
          <w:p w14:paraId="6456DCD0">
            <w:pPr>
              <w:jc w:val="left"/>
            </w:pPr>
          </w:p>
        </w:tc>
      </w:tr>
    </w:tbl>
    <w:p w14:paraId="7997ACAC">
      <w:pPr>
        <w:jc w:val="left"/>
      </w:pPr>
    </w:p>
    <w:p w14:paraId="1C82363D">
      <w:pPr>
        <w:pStyle w:val="4"/>
        <w:jc w:val="left"/>
      </w:pPr>
      <w:r>
        <w:t>附录G：WGS/分型结果摘要表（模板）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6"/>
        <w:gridCol w:w="1759"/>
        <w:gridCol w:w="1662"/>
        <w:gridCol w:w="1639"/>
        <w:gridCol w:w="2760"/>
      </w:tblGrid>
      <w:tr w14:paraId="73AD7D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7" w:type="pct"/>
            <w:vAlign w:val="center"/>
          </w:tcPr>
          <w:p w14:paraId="00E3CB18">
            <w:pPr>
              <w:jc w:val="left"/>
            </w:pPr>
            <w:r>
              <w:rPr>
                <w:b/>
              </w:rPr>
              <w:t>基线菌株编号</w:t>
            </w:r>
          </w:p>
        </w:tc>
        <w:tc>
          <w:tcPr>
            <w:tcW w:w="918" w:type="pct"/>
            <w:vAlign w:val="center"/>
          </w:tcPr>
          <w:p w14:paraId="0C98D4E5">
            <w:pPr>
              <w:jc w:val="left"/>
            </w:pPr>
            <w:r>
              <w:rPr>
                <w:b/>
              </w:rPr>
              <w:t>复阳菌株编号</w:t>
            </w:r>
          </w:p>
        </w:tc>
        <w:tc>
          <w:tcPr>
            <w:tcW w:w="867" w:type="pct"/>
            <w:vAlign w:val="center"/>
          </w:tcPr>
          <w:p w14:paraId="205F45D6">
            <w:pPr>
              <w:jc w:val="left"/>
            </w:pPr>
            <w:r>
              <w:rPr>
                <w:b/>
              </w:rPr>
              <w:t>SNP差异</w:t>
            </w:r>
          </w:p>
        </w:tc>
        <w:tc>
          <w:tcPr>
            <w:tcW w:w="855" w:type="pct"/>
            <w:vAlign w:val="center"/>
          </w:tcPr>
          <w:p w14:paraId="7335CC09">
            <w:pPr>
              <w:jc w:val="left"/>
            </w:pPr>
            <w:r>
              <w:rPr>
                <w:b/>
              </w:rPr>
              <w:t>初步归类</w:t>
            </w:r>
          </w:p>
        </w:tc>
        <w:tc>
          <w:tcPr>
            <w:tcW w:w="1440" w:type="pct"/>
            <w:vAlign w:val="center"/>
          </w:tcPr>
          <w:p w14:paraId="56FF4116">
            <w:pPr>
              <w:jc w:val="left"/>
            </w:pPr>
            <w:r>
              <w:rPr>
                <w:b/>
              </w:rPr>
              <w:t>备注（报告日期/平台/缺失原因）</w:t>
            </w:r>
          </w:p>
        </w:tc>
      </w:tr>
      <w:tr w14:paraId="5F7C4B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7" w:type="pct"/>
          </w:tcPr>
          <w:p w14:paraId="0578B5D3">
            <w:pPr>
              <w:jc w:val="left"/>
            </w:pPr>
          </w:p>
        </w:tc>
        <w:tc>
          <w:tcPr>
            <w:tcW w:w="918" w:type="pct"/>
          </w:tcPr>
          <w:p w14:paraId="12B96EA1">
            <w:pPr>
              <w:jc w:val="left"/>
            </w:pPr>
          </w:p>
        </w:tc>
        <w:tc>
          <w:tcPr>
            <w:tcW w:w="867" w:type="pct"/>
          </w:tcPr>
          <w:p w14:paraId="4DAE03BB">
            <w:pPr>
              <w:jc w:val="left"/>
            </w:pPr>
          </w:p>
        </w:tc>
        <w:tc>
          <w:tcPr>
            <w:tcW w:w="855" w:type="pct"/>
          </w:tcPr>
          <w:p w14:paraId="4AC8084C">
            <w:pPr>
              <w:jc w:val="left"/>
            </w:pPr>
          </w:p>
        </w:tc>
        <w:tc>
          <w:tcPr>
            <w:tcW w:w="1440" w:type="pct"/>
          </w:tcPr>
          <w:p w14:paraId="4C59EA4B">
            <w:pPr>
              <w:jc w:val="left"/>
            </w:pPr>
          </w:p>
        </w:tc>
      </w:tr>
      <w:tr w14:paraId="69EDFF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7" w:type="pct"/>
          </w:tcPr>
          <w:p w14:paraId="497EAFB0">
            <w:pPr>
              <w:jc w:val="left"/>
            </w:pPr>
          </w:p>
        </w:tc>
        <w:tc>
          <w:tcPr>
            <w:tcW w:w="918" w:type="pct"/>
          </w:tcPr>
          <w:p w14:paraId="47AF7528">
            <w:pPr>
              <w:jc w:val="left"/>
            </w:pPr>
          </w:p>
        </w:tc>
        <w:tc>
          <w:tcPr>
            <w:tcW w:w="867" w:type="pct"/>
          </w:tcPr>
          <w:p w14:paraId="2C285319">
            <w:pPr>
              <w:jc w:val="left"/>
            </w:pPr>
          </w:p>
        </w:tc>
        <w:tc>
          <w:tcPr>
            <w:tcW w:w="855" w:type="pct"/>
          </w:tcPr>
          <w:p w14:paraId="23169AA5">
            <w:pPr>
              <w:jc w:val="left"/>
            </w:pPr>
          </w:p>
        </w:tc>
        <w:tc>
          <w:tcPr>
            <w:tcW w:w="1440" w:type="pct"/>
          </w:tcPr>
          <w:p w14:paraId="30C137AC">
            <w:pPr>
              <w:jc w:val="left"/>
            </w:pPr>
          </w:p>
        </w:tc>
      </w:tr>
      <w:tr w14:paraId="3914D4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7" w:type="pct"/>
          </w:tcPr>
          <w:p w14:paraId="030BC720">
            <w:pPr>
              <w:jc w:val="left"/>
            </w:pPr>
          </w:p>
        </w:tc>
        <w:tc>
          <w:tcPr>
            <w:tcW w:w="918" w:type="pct"/>
          </w:tcPr>
          <w:p w14:paraId="5C53C6C4">
            <w:pPr>
              <w:jc w:val="left"/>
            </w:pPr>
          </w:p>
        </w:tc>
        <w:tc>
          <w:tcPr>
            <w:tcW w:w="867" w:type="pct"/>
          </w:tcPr>
          <w:p w14:paraId="14C00F06">
            <w:pPr>
              <w:jc w:val="left"/>
            </w:pPr>
          </w:p>
        </w:tc>
        <w:tc>
          <w:tcPr>
            <w:tcW w:w="855" w:type="pct"/>
          </w:tcPr>
          <w:p w14:paraId="53A8350C">
            <w:pPr>
              <w:jc w:val="left"/>
            </w:pPr>
          </w:p>
        </w:tc>
        <w:tc>
          <w:tcPr>
            <w:tcW w:w="1440" w:type="pct"/>
          </w:tcPr>
          <w:p w14:paraId="64629D29">
            <w:pPr>
              <w:jc w:val="left"/>
            </w:pPr>
          </w:p>
        </w:tc>
      </w:tr>
    </w:tbl>
    <w:p w14:paraId="7AC40EE2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B1559E1"/>
    <w:multiLevelType w:val="singleLevel"/>
    <w:tmpl w:val="9B1559E1"/>
    <w:lvl w:ilvl="0" w:tentative="0">
      <w:start w:val="0"/>
      <w:numFmt w:val="bullet"/>
      <w:suff w:val="space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1">
    <w:nsid w:val="9B9F6DA5"/>
    <w:multiLevelType w:val="singleLevel"/>
    <w:tmpl w:val="9B9F6DA5"/>
    <w:lvl w:ilvl="0" w:tentative="0">
      <w:start w:val="0"/>
      <w:numFmt w:val="bullet"/>
      <w:suff w:val="space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2">
    <w:nsid w:val="B154C38B"/>
    <w:multiLevelType w:val="singleLevel"/>
    <w:tmpl w:val="B154C38B"/>
    <w:lvl w:ilvl="0" w:tentative="0">
      <w:start w:val="0"/>
      <w:numFmt w:val="bullet"/>
      <w:pStyle w:val="16"/>
      <w:suff w:val="space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3">
    <w:nsid w:val="C55488C5"/>
    <w:multiLevelType w:val="singleLevel"/>
    <w:tmpl w:val="C55488C5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4">
    <w:nsid w:val="C812EE4C"/>
    <w:multiLevelType w:val="singleLevel"/>
    <w:tmpl w:val="C812EE4C"/>
    <w:lvl w:ilvl="0" w:tentative="0">
      <w:start w:val="0"/>
      <w:numFmt w:val="bullet"/>
      <w:suff w:val="space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5">
    <w:nsid w:val="C8879777"/>
    <w:multiLevelType w:val="singleLevel"/>
    <w:tmpl w:val="C8879777"/>
    <w:lvl w:ilvl="0" w:tentative="0">
      <w:start w:val="0"/>
      <w:numFmt w:val="bullet"/>
      <w:suff w:val="space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CA6208A1"/>
    <w:multiLevelType w:val="singleLevel"/>
    <w:tmpl w:val="CA6208A1"/>
    <w:lvl w:ilvl="0" w:tentative="0">
      <w:start w:val="5"/>
      <w:numFmt w:val="decimal"/>
      <w:suff w:val="space"/>
      <w:lvlText w:val="7.%1"/>
      <w:lvlJc w:val="left"/>
      <w:pPr>
        <w:ind w:left="0" w:firstLine="0"/>
      </w:pPr>
      <w:rPr>
        <w:rFonts w:hint="default"/>
      </w:rPr>
    </w:lvl>
  </w:abstractNum>
  <w:abstractNum w:abstractNumId="7">
    <w:nsid w:val="CEA2EEFC"/>
    <w:multiLevelType w:val="singleLevel"/>
    <w:tmpl w:val="CEA2EEFC"/>
    <w:lvl w:ilvl="0" w:tentative="0">
      <w:start w:val="0"/>
      <w:numFmt w:val="bullet"/>
      <w:suff w:val="space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8">
    <w:nsid w:val="D1B793C5"/>
    <w:multiLevelType w:val="singleLevel"/>
    <w:tmpl w:val="D1B793C5"/>
    <w:lvl w:ilvl="0" w:tentative="0">
      <w:start w:val="0"/>
      <w:numFmt w:val="bullet"/>
      <w:suff w:val="space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9">
    <w:nsid w:val="D7A7B797"/>
    <w:multiLevelType w:val="singleLevel"/>
    <w:tmpl w:val="D7A7B797"/>
    <w:lvl w:ilvl="0" w:tentative="0">
      <w:start w:val="1"/>
      <w:numFmt w:val="decimal"/>
      <w:suff w:val="space"/>
      <w:lvlText w:val="6.%1"/>
      <w:lvlJc w:val="left"/>
      <w:pPr>
        <w:ind w:left="0" w:firstLine="0"/>
      </w:pPr>
      <w:rPr>
        <w:rFonts w:hint="default"/>
      </w:rPr>
    </w:lvl>
  </w:abstractNum>
  <w:abstractNum w:abstractNumId="10">
    <w:nsid w:val="E0A870E9"/>
    <w:multiLevelType w:val="singleLevel"/>
    <w:tmpl w:val="E0A870E9"/>
    <w:lvl w:ilvl="0" w:tentative="0">
      <w:start w:val="0"/>
      <w:numFmt w:val="bullet"/>
      <w:suff w:val="space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11">
    <w:nsid w:val="F7537343"/>
    <w:multiLevelType w:val="singleLevel"/>
    <w:tmpl w:val="F7537343"/>
    <w:lvl w:ilvl="0" w:tentative="0">
      <w:start w:val="0"/>
      <w:numFmt w:val="bullet"/>
      <w:suff w:val="space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12">
    <w:nsid w:val="F910173A"/>
    <w:multiLevelType w:val="singleLevel"/>
    <w:tmpl w:val="F910173A"/>
    <w:lvl w:ilvl="0" w:tentative="0">
      <w:start w:val="0"/>
      <w:numFmt w:val="bullet"/>
      <w:suff w:val="space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13">
    <w:nsid w:val="FC0B72B6"/>
    <w:multiLevelType w:val="singleLevel"/>
    <w:tmpl w:val="FC0B72B6"/>
    <w:lvl w:ilvl="0" w:tentative="0">
      <w:start w:val="0"/>
      <w:numFmt w:val="bullet"/>
      <w:suff w:val="space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14">
    <w:nsid w:val="FE2993D8"/>
    <w:multiLevelType w:val="singleLevel"/>
    <w:tmpl w:val="FE2993D8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15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6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17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18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19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20">
    <w:nsid w:val="FFFFFF89"/>
    <w:multiLevelType w:val="singleLevel"/>
    <w:tmpl w:val="FFFFFF89"/>
    <w:lvl w:ilvl="0" w:tentative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21">
    <w:nsid w:val="3AF7E138"/>
    <w:multiLevelType w:val="singleLevel"/>
    <w:tmpl w:val="3AF7E138"/>
    <w:lvl w:ilvl="0" w:tentative="0">
      <w:start w:val="1"/>
      <w:numFmt w:val="decimal"/>
      <w:suff w:val="space"/>
      <w:lvlText w:val="7.%1"/>
      <w:lvlJc w:val="left"/>
      <w:pPr>
        <w:ind w:left="0" w:firstLine="0"/>
      </w:pPr>
      <w:rPr>
        <w:rFonts w:hint="default"/>
      </w:rPr>
    </w:lvl>
  </w:abstractNum>
  <w:abstractNum w:abstractNumId="22">
    <w:nsid w:val="3BBBE0E8"/>
    <w:multiLevelType w:val="singleLevel"/>
    <w:tmpl w:val="3BBBE0E8"/>
    <w:lvl w:ilvl="0" w:tentative="0">
      <w:start w:val="0"/>
      <w:numFmt w:val="bullet"/>
      <w:suff w:val="space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23">
    <w:nsid w:val="478F8B75"/>
    <w:multiLevelType w:val="singleLevel"/>
    <w:tmpl w:val="478F8B75"/>
    <w:lvl w:ilvl="0" w:tentative="0">
      <w:start w:val="0"/>
      <w:numFmt w:val="bullet"/>
      <w:suff w:val="space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24">
    <w:nsid w:val="60252FCA"/>
    <w:multiLevelType w:val="singleLevel"/>
    <w:tmpl w:val="60252FCA"/>
    <w:lvl w:ilvl="0" w:tentative="0">
      <w:start w:val="0"/>
      <w:numFmt w:val="bullet"/>
      <w:suff w:val="space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25">
    <w:nsid w:val="621B38A1"/>
    <w:multiLevelType w:val="singleLevel"/>
    <w:tmpl w:val="621B38A1"/>
    <w:lvl w:ilvl="0" w:tentative="0">
      <w:start w:val="0"/>
      <w:numFmt w:val="bullet"/>
      <w:suff w:val="space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6"/>
  </w:num>
  <w:num w:numId="2">
    <w:abstractNumId w:val="19"/>
  </w:num>
  <w:num w:numId="3">
    <w:abstractNumId w:val="2"/>
  </w:num>
  <w:num w:numId="4">
    <w:abstractNumId w:val="17"/>
  </w:num>
  <w:num w:numId="5">
    <w:abstractNumId w:val="15"/>
  </w:num>
  <w:num w:numId="6">
    <w:abstractNumId w:val="18"/>
  </w:num>
  <w:num w:numId="7">
    <w:abstractNumId w:val="14"/>
  </w:num>
  <w:num w:numId="8">
    <w:abstractNumId w:val="13"/>
  </w:num>
  <w:num w:numId="9">
    <w:abstractNumId w:val="25"/>
  </w:num>
  <w:num w:numId="10">
    <w:abstractNumId w:val="9"/>
  </w:num>
  <w:num w:numId="11">
    <w:abstractNumId w:val="5"/>
  </w:num>
  <w:num w:numId="12">
    <w:abstractNumId w:val="21"/>
  </w:num>
  <w:num w:numId="13">
    <w:abstractNumId w:val="7"/>
  </w:num>
  <w:num w:numId="14">
    <w:abstractNumId w:val="10"/>
  </w:num>
  <w:num w:numId="15">
    <w:abstractNumId w:val="3"/>
  </w:num>
  <w:num w:numId="16">
    <w:abstractNumId w:val="6"/>
  </w:num>
  <w:num w:numId="17">
    <w:abstractNumId w:val="24"/>
  </w:num>
  <w:num w:numId="18">
    <w:abstractNumId w:val="1"/>
  </w:num>
  <w:num w:numId="19">
    <w:abstractNumId w:val="8"/>
  </w:num>
  <w:num w:numId="20">
    <w:abstractNumId w:val="12"/>
  </w:num>
  <w:num w:numId="21">
    <w:abstractNumId w:val="4"/>
  </w:num>
  <w:num w:numId="22">
    <w:abstractNumId w:val="22"/>
  </w:num>
  <w:num w:numId="23">
    <w:abstractNumId w:val="11"/>
  </w:num>
  <w:num w:numId="24">
    <w:abstractNumId w:val="0"/>
  </w:num>
  <w:num w:numId="25">
    <w:abstractNumId w:val="23"/>
  </w:num>
  <w:num w:numId="2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EDF6DFF"/>
    <w:rsid w:val="202B233A"/>
    <w:rsid w:val="22B61C24"/>
    <w:rsid w:val="3A3C2EFF"/>
    <w:rsid w:val="76362E4B"/>
    <w:rsid w:val="7AE95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76" w:lineRule="auto"/>
      <w:jc w:val="left"/>
    </w:pPr>
    <w:rPr>
      <w:rFonts w:ascii="Calibri" w:hAnsi="Calibri" w:eastAsia="宋体" w:cstheme="minorBidi"/>
      <w:sz w:val="22"/>
      <w:szCs w:val="22"/>
      <w:lang w:val="en-US" w:eastAsia="en-US" w:bidi="ar-SA"/>
    </w:rPr>
  </w:style>
  <w:style w:type="paragraph" w:styleId="3">
    <w:name w:val="heading 1"/>
    <w:next w:val="1"/>
    <w:link w:val="138"/>
    <w:qFormat/>
    <w:uiPriority w:val="9"/>
    <w:pPr>
      <w:spacing w:before="200" w:after="80" w:line="240" w:lineRule="auto"/>
      <w:jc w:val="left"/>
      <w:outlineLvl w:val="0"/>
    </w:pPr>
    <w:rPr>
      <w:rFonts w:ascii="Times New Roman" w:hAnsi="Times New Roman" w:eastAsia="宋体" w:cs="Times New Roman"/>
      <w:b/>
      <w:sz w:val="28"/>
      <w:szCs w:val="22"/>
      <w:lang w:bidi="ar-SA"/>
    </w:rPr>
  </w:style>
  <w:style w:type="paragraph" w:styleId="4">
    <w:name w:val="heading 2"/>
    <w:next w:val="1"/>
    <w:link w:val="139"/>
    <w:unhideWhenUsed/>
    <w:qFormat/>
    <w:uiPriority w:val="9"/>
    <w:pPr>
      <w:spacing w:before="200" w:after="80" w:line="240" w:lineRule="auto"/>
      <w:jc w:val="left"/>
      <w:outlineLvl w:val="1"/>
    </w:pPr>
    <w:rPr>
      <w:rFonts w:ascii="Times New Roman" w:hAnsi="Times New Roman" w:eastAsia="宋体" w:cs="Times New Roman"/>
      <w:b/>
      <w:sz w:val="28"/>
      <w:szCs w:val="22"/>
      <w:lang w:bidi="ar-SA"/>
    </w:rPr>
  </w:style>
  <w:style w:type="paragraph" w:styleId="5">
    <w:name w:val="heading 3"/>
    <w:next w:val="1"/>
    <w:link w:val="140"/>
    <w:unhideWhenUsed/>
    <w:qFormat/>
    <w:uiPriority w:val="9"/>
    <w:pPr>
      <w:spacing w:before="160" w:after="40" w:line="240" w:lineRule="auto"/>
      <w:jc w:val="left"/>
      <w:outlineLvl w:val="2"/>
    </w:pPr>
    <w:rPr>
      <w:rFonts w:ascii="Times New Roman" w:hAnsi="Times New Roman" w:eastAsia="宋体" w:cs="Times New Roman"/>
      <w:b/>
      <w:sz w:val="24"/>
      <w:szCs w:val="22"/>
      <w:lang w:bidi="ar-SA"/>
    </w:rPr>
  </w:style>
  <w:style w:type="paragraph" w:styleId="6">
    <w:name w:val="heading 4"/>
    <w:next w:val="1"/>
    <w:link w:val="150"/>
    <w:semiHidden/>
    <w:unhideWhenUsed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3"/>
    </w:pPr>
    <w:rPr>
      <w:rFonts w:ascii="Times New Roman" w:hAnsi="Times New Roman" w:eastAsia="宋体" w:cs="Times New Roman"/>
      <w:b/>
      <w:bCs/>
      <w:kern w:val="2"/>
      <w:sz w:val="28"/>
      <w:szCs w:val="28"/>
      <w:lang w:bidi="ar-SA"/>
    </w:rPr>
  </w:style>
  <w:style w:type="paragraph" w:styleId="7">
    <w:name w:val="heading 5"/>
    <w:next w:val="1"/>
    <w:link w:val="151"/>
    <w:semiHidden/>
    <w:unhideWhenUsed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4"/>
    </w:pPr>
    <w:rPr>
      <w:rFonts w:ascii="Times New Roman" w:hAnsi="Times New Roman" w:eastAsia="宋体" w:cs="Times New Roman"/>
      <w:b/>
      <w:bCs/>
      <w:kern w:val="2"/>
      <w:sz w:val="28"/>
      <w:szCs w:val="28"/>
      <w:lang w:bidi="ar-SA"/>
    </w:rPr>
  </w:style>
  <w:style w:type="paragraph" w:styleId="8">
    <w:name w:val="heading 6"/>
    <w:next w:val="1"/>
    <w:link w:val="152"/>
    <w:semiHidden/>
    <w:unhideWhenUsed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5"/>
    </w:pPr>
    <w:rPr>
      <w:rFonts w:ascii="Times New Roman" w:hAnsi="Times New Roman" w:eastAsia="宋体" w:cs="Times New Roman"/>
      <w:b/>
      <w:bCs/>
      <w:kern w:val="2"/>
      <w:sz w:val="28"/>
      <w:szCs w:val="24"/>
      <w:lang w:bidi="ar-SA"/>
    </w:rPr>
  </w:style>
  <w:style w:type="paragraph" w:styleId="9">
    <w:name w:val="heading 7"/>
    <w:next w:val="1"/>
    <w:link w:val="153"/>
    <w:semiHidden/>
    <w:unhideWhenUsed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6"/>
    </w:pPr>
    <w:rPr>
      <w:rFonts w:ascii="Times New Roman" w:hAnsi="Times New Roman" w:eastAsia="宋体" w:cs="Times New Roman"/>
      <w:b/>
      <w:bCs/>
      <w:kern w:val="2"/>
      <w:sz w:val="24"/>
      <w:szCs w:val="24"/>
      <w:lang w:bidi="ar-SA"/>
    </w:rPr>
  </w:style>
  <w:style w:type="paragraph" w:styleId="10">
    <w:name w:val="heading 8"/>
    <w:next w:val="1"/>
    <w:link w:val="154"/>
    <w:semiHidden/>
    <w:unhideWhenUsed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7"/>
    </w:pPr>
    <w:rPr>
      <w:rFonts w:ascii="Times New Roman" w:hAnsi="Times New Roman" w:eastAsia="宋体" w:cs="Times New Roman"/>
      <w:b/>
      <w:kern w:val="2"/>
      <w:sz w:val="24"/>
      <w:szCs w:val="24"/>
      <w:lang w:bidi="ar-SA"/>
    </w:rPr>
  </w:style>
  <w:style w:type="paragraph" w:styleId="11">
    <w:name w:val="heading 9"/>
    <w:next w:val="1"/>
    <w:link w:val="155"/>
    <w:semiHidden/>
    <w:unhideWhenUsed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8"/>
    </w:pPr>
    <w:rPr>
      <w:rFonts w:ascii="Times New Roman" w:hAnsi="Times New Roman" w:eastAsia="宋体" w:cs="Times New Roman"/>
      <w:b/>
      <w:kern w:val="2"/>
      <w:sz w:val="21"/>
      <w:szCs w:val="21"/>
      <w:lang w:bidi="ar-SA"/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874CB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link w:val="144"/>
    <w:unhideWhenUsed/>
    <w:qFormat/>
    <w:uiPriority w:val="99"/>
    <w:pPr>
      <w:spacing w:before="0" w:after="0" w:line="240" w:lineRule="auto"/>
      <w:ind w:firstLine="0"/>
      <w:outlineLvl w:val="9"/>
    </w:pPr>
    <w:rPr>
      <w:rFonts w:ascii="Times New Roman" w:hAnsi="Calibri" w:eastAsia="宋体" w:cs="Times New Roman"/>
      <w:sz w:val="24"/>
    </w:r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next w:val="1"/>
    <w:link w:val="142"/>
    <w:qFormat/>
    <w:uiPriority w:val="11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b/>
      <w:kern w:val="28"/>
      <w:sz w:val="32"/>
      <w:szCs w:val="24"/>
      <w:lang w:bidi="ar-SA"/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next w:val="1"/>
    <w:link w:val="141"/>
    <w:qFormat/>
    <w:uiPriority w:val="10"/>
    <w:pPr>
      <w:spacing w:before="240" w:after="120" w:line="240" w:lineRule="auto"/>
      <w:jc w:val="left"/>
      <w:outlineLvl w:val="9"/>
    </w:pPr>
    <w:rPr>
      <w:rFonts w:ascii="Times New Roman" w:hAnsi="Times New Roman" w:eastAsia="宋体" w:cs="Times New Roman"/>
      <w:b/>
      <w:sz w:val="32"/>
      <w:szCs w:val="22"/>
      <w:lang w:bidi="ar-SA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2E54A1" w:themeColor="accent1" w:themeShade="BF"/>
    </w:rPr>
    <w:tblPr>
      <w:tblBorders>
        <w:top w:val="single" w:color="4874CB" w:themeColor="accent1" w:sz="8" w:space="0"/>
        <w:bottom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874CB" w:themeColor="accent1" w:sz="8" w:space="0"/>
          <w:left w:val="nil"/>
          <w:bottom w:val="single" w:color="4874CB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874CB" w:themeColor="accent1" w:sz="8" w:space="0"/>
          <w:left w:val="nil"/>
          <w:bottom w:val="single" w:color="4874CB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C65F10" w:themeColor="accent2" w:themeShade="BF"/>
    </w:rPr>
    <w:tblPr>
      <w:tblBorders>
        <w:top w:val="single" w:color="EE822F" w:themeColor="accent2" w:sz="8" w:space="0"/>
        <w:bottom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E822F" w:themeColor="accent2" w:sz="8" w:space="0"/>
          <w:left w:val="nil"/>
          <w:bottom w:val="single" w:color="EE822F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E822F" w:themeColor="accent2" w:sz="8" w:space="0"/>
          <w:left w:val="nil"/>
          <w:bottom w:val="single" w:color="EE822F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B68C02" w:themeColor="accent3" w:themeShade="BF"/>
    </w:rPr>
    <w:tblPr>
      <w:tblBorders>
        <w:top w:val="single" w:color="F2BA02" w:themeColor="accent3" w:sz="8" w:space="0"/>
        <w:bottom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2BA02" w:themeColor="accent3" w:sz="8" w:space="0"/>
          <w:left w:val="nil"/>
          <w:bottom w:val="single" w:color="F2BA02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2BA02" w:themeColor="accent3" w:sz="8" w:space="0"/>
          <w:left w:val="nil"/>
          <w:bottom w:val="single" w:color="F2BA02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588E32" w:themeColor="accent4" w:themeShade="BF"/>
    </w:rPr>
    <w:tblPr>
      <w:tblBorders>
        <w:top w:val="single" w:color="75BD42" w:themeColor="accent4" w:sz="8" w:space="0"/>
        <w:bottom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75BD42" w:themeColor="accent4" w:sz="8" w:space="0"/>
          <w:left w:val="nil"/>
          <w:bottom w:val="single" w:color="75BD4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75BD42" w:themeColor="accent4" w:sz="8" w:space="0"/>
          <w:left w:val="nil"/>
          <w:bottom w:val="single" w:color="75BD4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249087" w:themeColor="accent5" w:themeShade="BF"/>
    </w:rPr>
    <w:tblPr>
      <w:tblBorders>
        <w:top w:val="single" w:color="30C0B4" w:themeColor="accent5" w:sz="8" w:space="0"/>
        <w:bottom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30C0B4" w:themeColor="accent5" w:sz="8" w:space="0"/>
          <w:left w:val="nil"/>
          <w:bottom w:val="single" w:color="30C0B4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30C0B4" w:themeColor="accent5" w:sz="8" w:space="0"/>
          <w:left w:val="nil"/>
          <w:bottom w:val="single" w:color="30C0B4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C81D31" w:themeColor="accent6" w:themeShade="BF"/>
    </w:rPr>
    <w:tblPr>
      <w:tblBorders>
        <w:top w:val="single" w:color="E54C5E" w:themeColor="accent6" w:sz="8" w:space="0"/>
        <w:bottom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54C5E" w:themeColor="accent6" w:sz="8" w:space="0"/>
          <w:left w:val="nil"/>
          <w:bottom w:val="single" w:color="E54C5E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54C5E" w:themeColor="accent6" w:sz="8" w:space="0"/>
          <w:left w:val="nil"/>
          <w:bottom w:val="single" w:color="E54C5E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874CB" w:themeColor="accent1" w:sz="6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band1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E822F" w:themeColor="accent2" w:sz="6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band1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2BA02" w:themeColor="accent3" w:sz="6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band1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5BD42" w:themeColor="accent4" w:sz="6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band1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0C0B4" w:themeColor="accent5" w:sz="6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band1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54C5E" w:themeColor="accent6" w:sz="6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band1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  <w:insideH w:val="single" w:color="4874CB" w:themeColor="accent1" w:sz="8" w:space="0"/>
        <w:insideV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18" w:space="0"/>
          <w:right w:val="single" w:color="4874CB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874CB" w:themeColor="accent1" w:sz="6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band1Vert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  <w:shd w:val="clear" w:color="auto" w:fill="D1DCF2" w:themeFill="accent1" w:themeFillTint="3F"/>
      </w:tcPr>
    </w:tblStylePr>
    <w:tblStylePr w:type="band1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V w:val="single" w:sz="8" w:space="0"/>
        </w:tcBorders>
        <w:shd w:val="clear" w:color="auto" w:fill="D1DCF2" w:themeFill="accent1" w:themeFillTint="3F"/>
      </w:tcPr>
    </w:tblStylePr>
    <w:tblStylePr w:type="band2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  <w:insideH w:val="single" w:color="EE822F" w:themeColor="accent2" w:sz="8" w:space="0"/>
        <w:insideV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18" w:space="0"/>
          <w:right w:val="single" w:color="EE822F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E822F" w:themeColor="accent2" w:sz="6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band1Vert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  <w:shd w:val="clear" w:color="auto" w:fill="FAE0CB" w:themeFill="accent2" w:themeFillTint="3F"/>
      </w:tcPr>
    </w:tblStylePr>
    <w:tblStylePr w:type="band1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V w:val="single" w:sz="8" w:space="0"/>
        </w:tcBorders>
        <w:shd w:val="clear" w:color="auto" w:fill="FAE0CB" w:themeFill="accent2" w:themeFillTint="3F"/>
      </w:tcPr>
    </w:tblStylePr>
    <w:tblStylePr w:type="band2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  <w:insideH w:val="single" w:color="F2BA02" w:themeColor="accent3" w:sz="8" w:space="0"/>
        <w:insideV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18" w:space="0"/>
          <w:right w:val="single" w:color="F2BA02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2BA02" w:themeColor="accent3" w:sz="6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band1Vert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  <w:shd w:val="clear" w:color="auto" w:fill="FEEFBD" w:themeFill="accent3" w:themeFillTint="3F"/>
      </w:tcPr>
    </w:tblStylePr>
    <w:tblStylePr w:type="band1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V w:val="single" w:sz="8" w:space="0"/>
        </w:tcBorders>
        <w:shd w:val="clear" w:color="auto" w:fill="FEEFBD" w:themeFill="accent3" w:themeFillTint="3F"/>
      </w:tcPr>
    </w:tblStylePr>
    <w:tblStylePr w:type="band2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  <w:insideH w:val="single" w:color="75BD42" w:themeColor="accent4" w:sz="8" w:space="0"/>
        <w:insideV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18" w:space="0"/>
          <w:right w:val="single" w:color="75BD4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75BD42" w:themeColor="accent4" w:sz="6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band1Vert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  <w:shd w:val="clear" w:color="auto" w:fill="DCEED0" w:themeFill="accent4" w:themeFillTint="3F"/>
      </w:tcPr>
    </w:tblStylePr>
    <w:tblStylePr w:type="band1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V w:val="single" w:sz="8" w:space="0"/>
        </w:tcBorders>
        <w:shd w:val="clear" w:color="auto" w:fill="DCEED0" w:themeFill="accent4" w:themeFillTint="3F"/>
      </w:tcPr>
    </w:tblStylePr>
    <w:tblStylePr w:type="band2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  <w:insideH w:val="single" w:color="30C0B4" w:themeColor="accent5" w:sz="8" w:space="0"/>
        <w:insideV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18" w:space="0"/>
          <w:right w:val="single" w:color="30C0B4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30C0B4" w:themeColor="accent5" w:sz="6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band1Vert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  <w:shd w:val="clear" w:color="auto" w:fill="C9F1EE" w:themeFill="accent5" w:themeFillTint="3F"/>
      </w:tcPr>
    </w:tblStylePr>
    <w:tblStylePr w:type="band1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V w:val="single" w:sz="8" w:space="0"/>
        </w:tcBorders>
        <w:shd w:val="clear" w:color="auto" w:fill="C9F1EE" w:themeFill="accent5" w:themeFillTint="3F"/>
      </w:tcPr>
    </w:tblStylePr>
    <w:tblStylePr w:type="band2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  <w:insideH w:val="single" w:color="E54C5E" w:themeColor="accent6" w:sz="8" w:space="0"/>
        <w:insideV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18" w:space="0"/>
          <w:right w:val="single" w:color="E54C5E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54C5E" w:themeColor="accent6" w:sz="6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band1Vert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  <w:shd w:val="clear" w:color="auto" w:fill="F8D2D7" w:themeFill="accent6" w:themeFillTint="3F"/>
      </w:tcPr>
    </w:tblStylePr>
    <w:tblStylePr w:type="band1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V w:val="single" w:sz="8" w:space="0"/>
        </w:tcBorders>
        <w:shd w:val="clear" w:color="auto" w:fill="F8D2D7" w:themeFill="accent6" w:themeFillTint="3F"/>
      </w:tcPr>
    </w:tblStylePr>
    <w:tblStylePr w:type="band2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596D8" w:themeColor="accent1" w:themeTint="BF" w:sz="8" w:space="0"/>
        <w:left w:val="single" w:color="7596D8" w:themeColor="accent1" w:themeTint="BF" w:sz="8" w:space="0"/>
        <w:bottom w:val="single" w:color="7596D8" w:themeColor="accent1" w:themeTint="BF" w:sz="8" w:space="0"/>
        <w:right w:val="single" w:color="7596D8" w:themeColor="accent1" w:themeTint="BF" w:sz="8" w:space="0"/>
        <w:insideH w:val="single" w:color="7596D8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596D8" w:themeColor="accent1" w:themeTint="BF" w:sz="8" w:space="0"/>
          <w:left w:val="single" w:color="7596D8" w:themeColor="accent1" w:themeTint="BF" w:sz="8" w:space="0"/>
          <w:bottom w:val="single" w:color="7596D8" w:themeColor="accent1" w:themeTint="BF" w:sz="8" w:space="0"/>
          <w:right w:val="single" w:color="7596D8" w:themeColor="accent1" w:themeTint="BF" w:sz="8" w:space="0"/>
          <w:insideH w:val="nil"/>
          <w:insideV w:val="nil"/>
        </w:tcBorders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596D8" w:themeColor="accent1" w:themeTint="BF" w:sz="6" w:space="0"/>
          <w:left w:val="single" w:color="7596D8" w:themeColor="accent1" w:themeTint="BF" w:sz="8" w:space="0"/>
          <w:bottom w:val="single" w:color="7596D8" w:themeColor="accent1" w:themeTint="BF" w:sz="8" w:space="0"/>
          <w:right w:val="single" w:color="7596D8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DC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1DC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F2A163" w:themeColor="accent2" w:themeTint="BF" w:sz="8" w:space="0"/>
        <w:left w:val="single" w:color="F2A163" w:themeColor="accent2" w:themeTint="BF" w:sz="8" w:space="0"/>
        <w:bottom w:val="single" w:color="F2A163" w:themeColor="accent2" w:themeTint="BF" w:sz="8" w:space="0"/>
        <w:right w:val="single" w:color="F2A163" w:themeColor="accent2" w:themeTint="BF" w:sz="8" w:space="0"/>
        <w:insideH w:val="single" w:color="F2A163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2A163" w:themeColor="accent2" w:themeTint="BF" w:sz="8" w:space="0"/>
          <w:left w:val="single" w:color="F2A163" w:themeColor="accent2" w:themeTint="BF" w:sz="8" w:space="0"/>
          <w:bottom w:val="single" w:color="F2A163" w:themeColor="accent2" w:themeTint="BF" w:sz="8" w:space="0"/>
          <w:right w:val="single" w:color="F2A163" w:themeColor="accent2" w:themeTint="BF" w:sz="8" w:space="0"/>
          <w:insideH w:val="nil"/>
          <w:insideV w:val="nil"/>
        </w:tcBorders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2A163" w:themeColor="accent2" w:themeTint="BF" w:sz="6" w:space="0"/>
          <w:left w:val="single" w:color="F2A163" w:themeColor="accent2" w:themeTint="BF" w:sz="8" w:space="0"/>
          <w:bottom w:val="single" w:color="F2A163" w:themeColor="accent2" w:themeTint="BF" w:sz="8" w:space="0"/>
          <w:right w:val="single" w:color="F2A163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0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E0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FDCF39" w:themeColor="accent3" w:themeTint="BF" w:sz="8" w:space="0"/>
        <w:left w:val="single" w:color="FDCF39" w:themeColor="accent3" w:themeTint="BF" w:sz="8" w:space="0"/>
        <w:bottom w:val="single" w:color="FDCF39" w:themeColor="accent3" w:themeTint="BF" w:sz="8" w:space="0"/>
        <w:right w:val="single" w:color="FDCF39" w:themeColor="accent3" w:themeTint="BF" w:sz="8" w:space="0"/>
        <w:insideH w:val="single" w:color="FDCF39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DCF39" w:themeColor="accent3" w:themeTint="BF" w:sz="8" w:space="0"/>
          <w:left w:val="single" w:color="FDCF39" w:themeColor="accent3" w:themeTint="BF" w:sz="8" w:space="0"/>
          <w:bottom w:val="single" w:color="FDCF39" w:themeColor="accent3" w:themeTint="BF" w:sz="8" w:space="0"/>
          <w:right w:val="single" w:color="FDCF39" w:themeColor="accent3" w:themeTint="BF" w:sz="8" w:space="0"/>
          <w:insideH w:val="nil"/>
          <w:insideV w:val="nil"/>
        </w:tcBorders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DCF39" w:themeColor="accent3" w:themeTint="BF" w:sz="6" w:space="0"/>
          <w:left w:val="single" w:color="FDCF39" w:themeColor="accent3" w:themeTint="BF" w:sz="8" w:space="0"/>
          <w:bottom w:val="single" w:color="FDCF39" w:themeColor="accent3" w:themeTint="BF" w:sz="8" w:space="0"/>
          <w:right w:val="single" w:color="FDCF39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FBD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EFBD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7CD71" w:themeColor="accent4" w:themeTint="BF" w:sz="8" w:space="0"/>
        <w:left w:val="single" w:color="97CD71" w:themeColor="accent4" w:themeTint="BF" w:sz="8" w:space="0"/>
        <w:bottom w:val="single" w:color="97CD71" w:themeColor="accent4" w:themeTint="BF" w:sz="8" w:space="0"/>
        <w:right w:val="single" w:color="97CD71" w:themeColor="accent4" w:themeTint="BF" w:sz="8" w:space="0"/>
        <w:insideH w:val="single" w:color="97CD71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7CD71" w:themeColor="accent4" w:themeTint="BF" w:sz="8" w:space="0"/>
          <w:left w:val="single" w:color="97CD71" w:themeColor="accent4" w:themeTint="BF" w:sz="8" w:space="0"/>
          <w:bottom w:val="single" w:color="97CD71" w:themeColor="accent4" w:themeTint="BF" w:sz="8" w:space="0"/>
          <w:right w:val="single" w:color="97CD71" w:themeColor="accent4" w:themeTint="BF" w:sz="8" w:space="0"/>
          <w:insideH w:val="nil"/>
          <w:insideV w:val="nil"/>
        </w:tcBorders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7CD71" w:themeColor="accent4" w:themeTint="BF" w:sz="6" w:space="0"/>
          <w:left w:val="single" w:color="97CD71" w:themeColor="accent4" w:themeTint="BF" w:sz="8" w:space="0"/>
          <w:bottom w:val="single" w:color="97CD71" w:themeColor="accent4" w:themeTint="BF" w:sz="8" w:space="0"/>
          <w:right w:val="single" w:color="97CD71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ED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CEED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5DD6CC" w:themeColor="accent5" w:themeTint="BF" w:sz="8" w:space="0"/>
        <w:left w:val="single" w:color="5DD6CC" w:themeColor="accent5" w:themeTint="BF" w:sz="8" w:space="0"/>
        <w:bottom w:val="single" w:color="5DD6CC" w:themeColor="accent5" w:themeTint="BF" w:sz="8" w:space="0"/>
        <w:right w:val="single" w:color="5DD6CC" w:themeColor="accent5" w:themeTint="BF" w:sz="8" w:space="0"/>
        <w:insideH w:val="single" w:color="5DD6CC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5DD6CC" w:themeColor="accent5" w:themeTint="BF" w:sz="8" w:space="0"/>
          <w:left w:val="single" w:color="5DD6CC" w:themeColor="accent5" w:themeTint="BF" w:sz="8" w:space="0"/>
          <w:bottom w:val="single" w:color="5DD6CC" w:themeColor="accent5" w:themeTint="BF" w:sz="8" w:space="0"/>
          <w:right w:val="single" w:color="5DD6CC" w:themeColor="accent5" w:themeTint="BF" w:sz="8" w:space="0"/>
          <w:insideH w:val="nil"/>
          <w:insideV w:val="nil"/>
        </w:tcBorders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5DD6CC" w:themeColor="accent5" w:themeTint="BF" w:sz="6" w:space="0"/>
          <w:left w:val="single" w:color="5DD6CC" w:themeColor="accent5" w:themeTint="BF" w:sz="8" w:space="0"/>
          <w:bottom w:val="single" w:color="5DD6CC" w:themeColor="accent5" w:themeTint="BF" w:sz="8" w:space="0"/>
          <w:right w:val="single" w:color="5DD6CC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1EE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9F1EE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EB7886" w:themeColor="accent6" w:themeTint="BF" w:sz="8" w:space="0"/>
        <w:left w:val="single" w:color="EB7886" w:themeColor="accent6" w:themeTint="BF" w:sz="8" w:space="0"/>
        <w:bottom w:val="single" w:color="EB7886" w:themeColor="accent6" w:themeTint="BF" w:sz="8" w:space="0"/>
        <w:right w:val="single" w:color="EB7886" w:themeColor="accent6" w:themeTint="BF" w:sz="8" w:space="0"/>
        <w:insideH w:val="single" w:color="EB7886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EB7886" w:themeColor="accent6" w:themeTint="BF" w:sz="8" w:space="0"/>
          <w:left w:val="single" w:color="EB7886" w:themeColor="accent6" w:themeTint="BF" w:sz="8" w:space="0"/>
          <w:bottom w:val="single" w:color="EB7886" w:themeColor="accent6" w:themeTint="BF" w:sz="8" w:space="0"/>
          <w:right w:val="single" w:color="EB7886" w:themeColor="accent6" w:themeTint="BF" w:sz="8" w:space="0"/>
          <w:insideH w:val="nil"/>
          <w:insideV w:val="nil"/>
        </w:tcBorders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B7886" w:themeColor="accent6" w:themeTint="BF" w:sz="6" w:space="0"/>
          <w:left w:val="single" w:color="EB7886" w:themeColor="accent6" w:themeTint="BF" w:sz="8" w:space="0"/>
          <w:bottom w:val="single" w:color="EB7886" w:themeColor="accent6" w:themeTint="BF" w:sz="8" w:space="0"/>
          <w:right w:val="single" w:color="EB7886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D7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D2D7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874CB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874CB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E822F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E822F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2BA02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2BA02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5BD4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5BD4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30C0B4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0C0B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54C5E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4C5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bottom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874CB" w:themeColor="accent1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4874CB" w:themeColor="accent1" w:sz="8" w:space="0"/>
          <w:bottom w:val="single" w:color="4874CB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874CB" w:themeColor="accent1" w:sz="8" w:space="0"/>
          <w:bottom w:val="single" w:color="4874CB" w:themeColor="accent1" w:sz="8" w:space="0"/>
        </w:tcBorders>
      </w:tcPr>
    </w:tblStylePr>
    <w:tblStylePr w:type="band1Vert">
      <w:tblPr/>
      <w:tcPr>
        <w:shd w:val="clear" w:color="auto" w:fill="D1DCF2" w:themeFill="accent1" w:themeFillTint="3F"/>
      </w:tcPr>
    </w:tblStylePr>
    <w:tblStylePr w:type="band1Horz">
      <w:tblPr/>
      <w:tcPr>
        <w:shd w:val="clear" w:color="auto" w:fill="D1DCF2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bottom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E822F" w:themeColor="accent2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EE822F" w:themeColor="accent2" w:sz="8" w:space="0"/>
          <w:bottom w:val="single" w:color="EE822F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EE822F" w:themeColor="accent2" w:sz="8" w:space="0"/>
          <w:bottom w:val="single" w:color="EE822F" w:themeColor="accent2" w:sz="8" w:space="0"/>
        </w:tcBorders>
      </w:tcPr>
    </w:tblStylePr>
    <w:tblStylePr w:type="band1Vert">
      <w:tblPr/>
      <w:tcPr>
        <w:shd w:val="clear" w:color="auto" w:fill="FAE0CB" w:themeFill="accent2" w:themeFillTint="3F"/>
      </w:tcPr>
    </w:tblStylePr>
    <w:tblStylePr w:type="band1Horz">
      <w:tblPr/>
      <w:tcPr>
        <w:shd w:val="clear" w:color="auto" w:fill="FAE0CB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bottom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2BA02" w:themeColor="accent3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F2BA02" w:themeColor="accent3" w:sz="8" w:space="0"/>
          <w:bottom w:val="single" w:color="F2BA02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2BA02" w:themeColor="accent3" w:sz="8" w:space="0"/>
          <w:bottom w:val="single" w:color="F2BA02" w:themeColor="accent3" w:sz="8" w:space="0"/>
        </w:tcBorders>
      </w:tcPr>
    </w:tblStylePr>
    <w:tblStylePr w:type="band1Vert">
      <w:tblPr/>
      <w:tcPr>
        <w:shd w:val="clear" w:color="auto" w:fill="FEEFBD" w:themeFill="accent3" w:themeFillTint="3F"/>
      </w:tcPr>
    </w:tblStylePr>
    <w:tblStylePr w:type="band1Horz">
      <w:tblPr/>
      <w:tcPr>
        <w:shd w:val="clear" w:color="auto" w:fill="FEEFBD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bottom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75BD42" w:themeColor="accent4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75BD42" w:themeColor="accent4" w:sz="8" w:space="0"/>
          <w:bottom w:val="single" w:color="75BD4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75BD42" w:themeColor="accent4" w:sz="8" w:space="0"/>
          <w:bottom w:val="single" w:color="75BD42" w:themeColor="accent4" w:sz="8" w:space="0"/>
        </w:tcBorders>
      </w:tcPr>
    </w:tblStylePr>
    <w:tblStylePr w:type="band1Vert">
      <w:tblPr/>
      <w:tcPr>
        <w:shd w:val="clear" w:color="auto" w:fill="DCEED0" w:themeFill="accent4" w:themeFillTint="3F"/>
      </w:tcPr>
    </w:tblStylePr>
    <w:tblStylePr w:type="band1Horz">
      <w:tblPr/>
      <w:tcPr>
        <w:shd w:val="clear" w:color="auto" w:fill="DCEED0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bottom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30C0B4" w:themeColor="accent5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30C0B4" w:themeColor="accent5" w:sz="8" w:space="0"/>
          <w:bottom w:val="single" w:color="30C0B4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30C0B4" w:themeColor="accent5" w:sz="8" w:space="0"/>
          <w:bottom w:val="single" w:color="30C0B4" w:themeColor="accent5" w:sz="8" w:space="0"/>
        </w:tcBorders>
      </w:tcPr>
    </w:tblStylePr>
    <w:tblStylePr w:type="band1Vert">
      <w:tblPr/>
      <w:tcPr>
        <w:shd w:val="clear" w:color="auto" w:fill="C9F1EE" w:themeFill="accent5" w:themeFillTint="3F"/>
      </w:tcPr>
    </w:tblStylePr>
    <w:tblStylePr w:type="band1Horz">
      <w:tblPr/>
      <w:tcPr>
        <w:shd w:val="clear" w:color="auto" w:fill="C9F1EE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bottom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54C5E" w:themeColor="accent6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E54C5E" w:themeColor="accent6" w:sz="8" w:space="0"/>
          <w:bottom w:val="single" w:color="E54C5E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E54C5E" w:themeColor="accent6" w:sz="8" w:space="0"/>
          <w:bottom w:val="single" w:color="E54C5E" w:themeColor="accent6" w:sz="8" w:space="0"/>
        </w:tcBorders>
      </w:tcPr>
    </w:tblStylePr>
    <w:tblStylePr w:type="band1Vert">
      <w:tblPr/>
      <w:tcPr>
        <w:shd w:val="clear" w:color="auto" w:fill="F8D2D7" w:themeFill="accent6" w:themeFillTint="3F"/>
      </w:tcPr>
    </w:tblStylePr>
    <w:tblStylePr w:type="band1Horz">
      <w:tblPr/>
      <w:tcPr>
        <w:shd w:val="clear" w:color="auto" w:fill="F8D2D7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874CB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874CB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874CB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874CB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1DC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EE822F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E822F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E822F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E0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2BA02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2BA02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2BA02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2BA02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EFBD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75BD4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75BD4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75BD4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75BD4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CEED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30C0B4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30C0B4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30C0B4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30C0B4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9F1EE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54C5E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E54C5E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54C5E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54C5E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D2D7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596D8" w:themeColor="accent1" w:themeTint="BF" w:sz="8" w:space="0"/>
        <w:left w:val="single" w:color="7596D8" w:themeColor="accent1" w:themeTint="BF" w:sz="8" w:space="0"/>
        <w:bottom w:val="single" w:color="7596D8" w:themeColor="accent1" w:themeTint="BF" w:sz="8" w:space="0"/>
        <w:right w:val="single" w:color="7596D8" w:themeColor="accent1" w:themeTint="BF" w:sz="8" w:space="0"/>
        <w:insideH w:val="single" w:color="7596D8" w:themeColor="accent1" w:themeTint="BF" w:sz="8" w:space="0"/>
        <w:insideV w:val="single" w:color="7596D8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596D8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shd w:val="clear" w:color="auto" w:fill="A3B9E5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F2A163" w:themeColor="accent2" w:themeTint="BF" w:sz="8" w:space="0"/>
        <w:left w:val="single" w:color="F2A163" w:themeColor="accent2" w:themeTint="BF" w:sz="8" w:space="0"/>
        <w:bottom w:val="single" w:color="F2A163" w:themeColor="accent2" w:themeTint="BF" w:sz="8" w:space="0"/>
        <w:right w:val="single" w:color="F2A163" w:themeColor="accent2" w:themeTint="BF" w:sz="8" w:space="0"/>
        <w:insideH w:val="single" w:color="F2A163" w:themeColor="accent2" w:themeTint="BF" w:sz="8" w:space="0"/>
        <w:insideV w:val="single" w:color="F2A163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2A163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shd w:val="clear" w:color="auto" w:fill="F6C097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FDCF39" w:themeColor="accent3" w:themeTint="BF" w:sz="8" w:space="0"/>
        <w:left w:val="single" w:color="FDCF39" w:themeColor="accent3" w:themeTint="BF" w:sz="8" w:space="0"/>
        <w:bottom w:val="single" w:color="FDCF39" w:themeColor="accent3" w:themeTint="BF" w:sz="8" w:space="0"/>
        <w:right w:val="single" w:color="FDCF39" w:themeColor="accent3" w:themeTint="BF" w:sz="8" w:space="0"/>
        <w:insideH w:val="single" w:color="FDCF39" w:themeColor="accent3" w:themeTint="BF" w:sz="8" w:space="0"/>
        <w:insideV w:val="single" w:color="FDCF39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DCF39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7CD71" w:themeColor="accent4" w:themeTint="BF" w:sz="8" w:space="0"/>
        <w:left w:val="single" w:color="97CD71" w:themeColor="accent4" w:themeTint="BF" w:sz="8" w:space="0"/>
        <w:bottom w:val="single" w:color="97CD71" w:themeColor="accent4" w:themeTint="BF" w:sz="8" w:space="0"/>
        <w:right w:val="single" w:color="97CD71" w:themeColor="accent4" w:themeTint="BF" w:sz="8" w:space="0"/>
        <w:insideH w:val="single" w:color="97CD71" w:themeColor="accent4" w:themeTint="BF" w:sz="8" w:space="0"/>
        <w:insideV w:val="single" w:color="97CD71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7CD71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shd w:val="clear" w:color="auto" w:fill="BADEA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5DD6CC" w:themeColor="accent5" w:themeTint="BF" w:sz="8" w:space="0"/>
        <w:left w:val="single" w:color="5DD6CC" w:themeColor="accent5" w:themeTint="BF" w:sz="8" w:space="0"/>
        <w:bottom w:val="single" w:color="5DD6CC" w:themeColor="accent5" w:themeTint="BF" w:sz="8" w:space="0"/>
        <w:right w:val="single" w:color="5DD6CC" w:themeColor="accent5" w:themeTint="BF" w:sz="8" w:space="0"/>
        <w:insideH w:val="single" w:color="5DD6CC" w:themeColor="accent5" w:themeTint="BF" w:sz="8" w:space="0"/>
        <w:insideV w:val="single" w:color="5DD6CC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5DD6CC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shd w:val="clear" w:color="auto" w:fill="93E4DD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EB7886" w:themeColor="accent6" w:themeTint="BF" w:sz="8" w:space="0"/>
        <w:left w:val="single" w:color="EB7886" w:themeColor="accent6" w:themeTint="BF" w:sz="8" w:space="0"/>
        <w:bottom w:val="single" w:color="EB7886" w:themeColor="accent6" w:themeTint="BF" w:sz="8" w:space="0"/>
        <w:right w:val="single" w:color="EB7886" w:themeColor="accent6" w:themeTint="BF" w:sz="8" w:space="0"/>
        <w:insideH w:val="single" w:color="EB7886" w:themeColor="accent6" w:themeTint="BF" w:sz="8" w:space="0"/>
        <w:insideV w:val="single" w:color="EB7886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EB7886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shd w:val="clear" w:color="auto" w:fill="F2A5AE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  <w:insideH w:val="single" w:color="4874CB" w:themeColor="accent1" w:sz="8" w:space="0"/>
        <w:insideV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1F9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3F4" w:themeFill="accent1" w:themeFillTint="33"/>
      </w:tc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3B9E5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  <w:insideH w:val="single" w:color="EE822F" w:themeColor="accent2" w:sz="8" w:space="0"/>
        <w:insideV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5D5" w:themeFill="accent2" w:themeFillTint="33"/>
      </w:tc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6C097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  <w:insideH w:val="single" w:color="F2BA02" w:themeColor="accent3" w:sz="8" w:space="0"/>
        <w:insideV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8E5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2CA" w:themeFill="accent3" w:themeFillTint="33"/>
      </w:tc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DDF7B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  <w:insideH w:val="single" w:color="75BD42" w:themeColor="accent4" w:sz="8" w:space="0"/>
        <w:insideV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1F8EC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F1D9" w:themeFill="accent4" w:themeFillTint="33"/>
      </w:tc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ADEA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  <w:insideH w:val="single" w:color="30C0B4" w:themeColor="accent5" w:sz="8" w:space="0"/>
        <w:insideV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9F9F8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F4F1" w:themeFill="accent5" w:themeFillTint="33"/>
      </w:tc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93E4DD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  <w:insideH w:val="single" w:color="E54C5E" w:themeColor="accent6" w:sz="8" w:space="0"/>
        <w:insideV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CEDEF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DE" w:themeFill="accent6" w:themeFillTint="33"/>
      </w:tc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2A5A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874CB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874CB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874CB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874CB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3B9E5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3B9E5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E822F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E822F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E822F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E822F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6C097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6C097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2BA02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2BA02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2BA02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2BA02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DDF7B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DDF7B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75BD4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75BD4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75BD4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75BD4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ADEA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ADEA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30C0B4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30C0B4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30C0B4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30C0B4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93E4DD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93E4DD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54C5E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54C5E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54C5E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54C5E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2A5AE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2A5AE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874CB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E376A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D54A0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E822F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833F0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C55E10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BA02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785C00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B58B01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75BD4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A5E2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78D31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30C0B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75F59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38F86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4C5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841320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C71C31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4874CB" w:themeColor="accent1" w:sz="4" w:space="0"/>
        <w:bottom w:val="single" w:color="4874CB" w:themeColor="accent1" w:sz="4" w:space="0"/>
        <w:right w:val="single" w:color="4874CB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44380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44380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44380" w:themeFill="accent1" w:themeFillShade="99"/>
      </w:tcPr>
    </w:tblStylePr>
    <w:tblStylePr w:type="band1Vert">
      <w:tblPr/>
      <w:tcPr>
        <w:shd w:val="clear" w:color="auto" w:fill="B5C7EA" w:themeFill="accent1" w:themeFillTint="66"/>
      </w:tcPr>
    </w:tblStylePr>
    <w:tblStylePr w:type="band1Horz">
      <w:tblPr/>
      <w:tcPr>
        <w:shd w:val="clear" w:color="auto" w:fill="A3B9E5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EE822F" w:themeColor="accent2" w:sz="4" w:space="0"/>
        <w:bottom w:val="single" w:color="EE822F" w:themeColor="accent2" w:sz="4" w:space="0"/>
        <w:right w:val="single" w:color="EE822F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E4B0C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E4B0C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E4B0C" w:themeFill="accent2" w:themeFillShade="99"/>
      </w:tcPr>
    </w:tblStylePr>
    <w:tblStylePr w:type="band1Vert">
      <w:tblPr/>
      <w:tcPr>
        <w:shd w:val="clear" w:color="auto" w:fill="F8CCAB" w:themeFill="accent2" w:themeFillTint="66"/>
      </w:tcPr>
    </w:tblStylePr>
    <w:tblStylePr w:type="band1Horz">
      <w:tblPr/>
      <w:tcPr>
        <w:shd w:val="clear" w:color="auto" w:fill="F6C097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24" w:space="0"/>
        <w:left w:val="single" w:color="F2BA02" w:themeColor="accent3" w:sz="4" w:space="0"/>
        <w:bottom w:val="single" w:color="F2BA02" w:themeColor="accent3" w:sz="4" w:space="0"/>
        <w:right w:val="single" w:color="F2BA02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8E5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75BD4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16F01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16F01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16F01" w:themeFill="accent3" w:themeFillShade="99"/>
      </w:tcPr>
    </w:tblStylePr>
    <w:tblStylePr w:type="band1Vert">
      <w:tblPr/>
      <w:tcPr>
        <w:shd w:val="clear" w:color="auto" w:fill="FEE595" w:themeFill="accent3" w:themeFillTint="66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24" w:space="0"/>
        <w:left w:val="single" w:color="75BD42" w:themeColor="accent4" w:sz="4" w:space="0"/>
        <w:bottom w:val="single" w:color="75BD42" w:themeColor="accent4" w:sz="4" w:space="0"/>
        <w:right w:val="single" w:color="75BD4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1F8EC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2BA02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67127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67127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67127" w:themeFill="accent4" w:themeFillShade="99"/>
      </w:tcPr>
    </w:tblStylePr>
    <w:tblStylePr w:type="band1Vert">
      <w:tblPr/>
      <w:tcPr>
        <w:shd w:val="clear" w:color="auto" w:fill="C7E4B3" w:themeFill="accent4" w:themeFillTint="66"/>
      </w:tcPr>
    </w:tblStylePr>
    <w:tblStylePr w:type="band1Horz">
      <w:tblPr/>
      <w:tcPr>
        <w:shd w:val="clear" w:color="auto" w:fill="BADEA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24" w:space="0"/>
        <w:left w:val="single" w:color="30C0B4" w:themeColor="accent5" w:sz="4" w:space="0"/>
        <w:bottom w:val="single" w:color="30C0B4" w:themeColor="accent5" w:sz="4" w:space="0"/>
        <w:right w:val="single" w:color="30C0B4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9F9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54C5E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1C736B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1C736B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C736B" w:themeFill="accent5" w:themeFillShade="99"/>
      </w:tcPr>
    </w:tblStylePr>
    <w:tblStylePr w:type="band1Vert">
      <w:tblPr/>
      <w:tcPr>
        <w:shd w:val="clear" w:color="auto" w:fill="A8E9E3" w:themeFill="accent5" w:themeFillTint="66"/>
      </w:tcPr>
    </w:tblStylePr>
    <w:tblStylePr w:type="band1Horz">
      <w:tblPr/>
      <w:tcPr>
        <w:shd w:val="clear" w:color="auto" w:fill="93E4DD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24" w:space="0"/>
        <w:left w:val="single" w:color="E54C5E" w:themeColor="accent6" w:sz="4" w:space="0"/>
        <w:bottom w:val="single" w:color="E54C5E" w:themeColor="accent6" w:sz="4" w:space="0"/>
        <w:right w:val="single" w:color="E54C5E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CEDEF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30C0B4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F172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F172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F1727" w:themeFill="accent6" w:themeFillShade="99"/>
      </w:tcPr>
    </w:tblStylePr>
    <w:tblStylePr w:type="band1Vert">
      <w:tblPr/>
      <w:tcPr>
        <w:shd w:val="clear" w:color="auto" w:fill="F4B7BE" w:themeFill="accent6" w:themeFillTint="66"/>
      </w:tcPr>
    </w:tblStylePr>
    <w:tblStylePr w:type="band1Horz">
      <w:tblPr/>
      <w:tcPr>
        <w:shd w:val="clear" w:color="auto" w:fill="F2A5AE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1F9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shd w:val="clear" w:color="auto" w:fill="DAE3F4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shd w:val="clear" w:color="auto" w:fill="FBE5D5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8E5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5D9734" w:themeFill="accent4" w:themeFillShade="CC"/>
      </w:tcPr>
    </w:tblStylePr>
    <w:tblStylePr w:type="lastRow">
      <w:rPr>
        <w:b/>
        <w:bCs/>
        <w:color w:val="5E9735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shd w:val="clear" w:color="auto" w:fill="FEF2CA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1F8EC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C19401" w:themeFill="accent3" w:themeFillShade="CC"/>
      </w:tcPr>
    </w:tblStylePr>
    <w:tblStylePr w:type="lastRow">
      <w:rPr>
        <w:b/>
        <w:bCs/>
        <w:color w:val="C29502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shd w:val="clear" w:color="auto" w:fill="E3F1D9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9F9F8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51E34" w:themeFill="accent6" w:themeFillShade="CC"/>
      </w:tcPr>
    </w:tblStylePr>
    <w:tblStylePr w:type="lastRow">
      <w:rPr>
        <w:b/>
        <w:bCs/>
        <w:color w:val="D51F34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shd w:val="clear" w:color="auto" w:fill="D3F4F1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CEDEF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26998F" w:themeFill="accent5" w:themeFillShade="CC"/>
      </w:tcPr>
    </w:tblStylePr>
    <w:tblStylePr w:type="lastRow">
      <w:rPr>
        <w:b/>
        <w:bCs/>
        <w:color w:val="269A90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shd w:val="clear" w:color="auto" w:fill="F9DBDE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3F4" w:themeFill="accent1" w:themeFillTint="33"/>
    </w:tcPr>
    <w:tblStylePr w:type="firstRow">
      <w:rPr>
        <w:b/>
        <w:bCs/>
      </w:rPr>
      <w:tblPr/>
      <w:tcPr>
        <w:shd w:val="clear" w:color="auto" w:fill="B5C7EA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5C7EA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D54A0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D54A0" w:themeFill="accent1" w:themeFillShade="BF"/>
      </w:tc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shd w:val="clear" w:color="auto" w:fill="A3B9E5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BE5D5" w:themeFill="accent2" w:themeFillTint="33"/>
    </w:tcPr>
    <w:tblStylePr w:type="firstRow">
      <w:rPr>
        <w:b/>
        <w:bCs/>
      </w:rPr>
      <w:tblPr/>
      <w:tcPr>
        <w:shd w:val="clear" w:color="auto" w:fill="F8CCAB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CCAB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55E10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55E10" w:themeFill="accent2" w:themeFillShade="BF"/>
      </w:tc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shd w:val="clear" w:color="auto" w:fill="F6C097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2CA" w:themeFill="accent3" w:themeFillTint="33"/>
    </w:tcPr>
    <w:tblStylePr w:type="firstRow">
      <w:rPr>
        <w:b/>
        <w:bCs/>
      </w:rPr>
      <w:tblPr/>
      <w:tcPr>
        <w:shd w:val="clear" w:color="auto" w:fill="FEE595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E595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B58B01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B58B01" w:themeFill="accent3" w:themeFillShade="BF"/>
      </w:tc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3F1D9" w:themeFill="accent4" w:themeFillTint="33"/>
    </w:tcPr>
    <w:tblStylePr w:type="firstRow">
      <w:rPr>
        <w:b/>
        <w:bCs/>
      </w:rPr>
      <w:tblPr/>
      <w:tcPr>
        <w:shd w:val="clear" w:color="auto" w:fill="C7E4B3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7E4B3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78D31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78D31" w:themeFill="accent4" w:themeFillShade="BF"/>
      </w:tc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shd w:val="clear" w:color="auto" w:fill="BADEA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F4F1" w:themeFill="accent5" w:themeFillTint="33"/>
    </w:tcPr>
    <w:tblStylePr w:type="firstRow">
      <w:rPr>
        <w:b/>
        <w:bCs/>
      </w:rPr>
      <w:tblPr/>
      <w:tcPr>
        <w:shd w:val="clear" w:color="auto" w:fill="A8E9E3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A8E9E3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38F86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38F86" w:themeFill="accent5" w:themeFillShade="BF"/>
      </w:tc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shd w:val="clear" w:color="auto" w:fill="93E4DD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9DBDE" w:themeFill="accent6" w:themeFillTint="33"/>
    </w:tcPr>
    <w:tblStylePr w:type="firstRow">
      <w:rPr>
        <w:b/>
        <w:bCs/>
      </w:rPr>
      <w:tblPr/>
      <w:tcPr>
        <w:shd w:val="clear" w:color="auto" w:fill="F4B7BE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4B7BE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71C31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71C31" w:themeFill="accent6" w:themeFillShade="BF"/>
      </w:tc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shd w:val="clear" w:color="auto" w:fill="F2A5AE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2E54A1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874CB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333F50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874CB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1E386B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1E386B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874CB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874CB" w:themeColor="accent1" w:sz="4" w:space="4"/>
      </w:pBdr>
      <w:spacing w:before="200" w:after="280"/>
      <w:ind w:left="936" w:right="936"/>
    </w:pPr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EE822F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EE822F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附录标题"/>
    <w:next w:val="1"/>
    <w:uiPriority w:val="0"/>
    <w:pPr>
      <w:spacing w:before="240" w:after="120" w:line="240" w:lineRule="auto"/>
      <w:jc w:val="left"/>
      <w:outlineLvl w:val="0"/>
    </w:pPr>
    <w:rPr>
      <w:rFonts w:ascii="Times New Roman" w:hAnsi="Times New Roman" w:eastAsia="宋体" w:cs="Times New Roman"/>
      <w:b/>
      <w:sz w:val="32"/>
      <w:szCs w:val="22"/>
      <w:lang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5108</Words>
  <Characters>6170</Characters>
  <Lines>0</Lines>
  <Paragraphs>0</Paragraphs>
  <TotalTime>0</TotalTime>
  <ScaleCrop>false</ScaleCrop>
  <LinksUpToDate>false</LinksUpToDate>
  <CharactersWithSpaces>6295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任坦坦</cp:lastModifiedBy>
  <dcterms:modified xsi:type="dcterms:W3CDTF">2026-03-10T07:46:42Z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eyJoZGlkIjoiOGNmZTEzMzZiOTZlNTgwZjdhNTUyOTczZTg0ZWQ3ZDAiLCJ1c2VySWQiOiI5NjExNDM1MzcifQ==</vt:lpwstr>
  </property>
  <property fmtid="{D5CDD505-2E9C-101B-9397-08002B2CF9AE}" pid="3" name="KSOProductBuildVer">
    <vt:lpwstr>2052-12.1.0.21171</vt:lpwstr>
  </property>
  <property fmtid="{D5CDD505-2E9C-101B-9397-08002B2CF9AE}" pid="4" name="ICV">
    <vt:lpwstr>982AF4CB2AB84712A1D47AB42E648AD7_12</vt:lpwstr>
  </property>
</Properties>
</file>