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E44ED">
      <w:pPr>
        <w:pStyle w:val="31"/>
        <w:widowControl/>
      </w:pPr>
      <w:r>
        <w:t>TDSC 研究 SOP05：PRO + 生活质量 + 呼吸功能相关量表评估（PRO/HRQoL）</w:t>
      </w:r>
    </w:p>
    <w:p w14:paraId="2430927C">
      <w:pPr>
        <w:pStyle w:val="26"/>
        <w:widowControl/>
      </w:pPr>
      <w:r>
        <w:t>（适用于队列A与队列B；SF-36v2、SGRQ、CAAT 与 PRO-CTCAE® 的实施、数据管理与质控）</w:t>
      </w:r>
    </w:p>
    <w:p w14:paraId="31C77918"/>
    <w:p w14:paraId="4FAB5535">
      <w:pPr>
        <w:pStyle w:val="3"/>
        <w:widowControl/>
      </w:pPr>
      <w:r>
        <w:t>文件控制信息</w:t>
      </w:r>
    </w:p>
    <w:p w14:paraId="2993DAB9">
      <w:r>
        <w:rPr>
          <w:b/>
        </w:rPr>
        <w:t>SOP编号：</w:t>
      </w:r>
      <w:r>
        <w:t>TDSC-SOP05</w:t>
      </w:r>
    </w:p>
    <w:p w14:paraId="16E9EEC8">
      <w:r>
        <w:t>版本：V1.2</w:t>
      </w:r>
    </w:p>
    <w:p w14:paraId="36770C36">
      <w:r>
        <w:t>生效日期：2026-03-04</w:t>
      </w:r>
    </w:p>
    <w:p w14:paraId="35F26E34">
      <w:pPr>
        <w:pStyle w:val="19"/>
        <w:widowControl/>
      </w:pPr>
      <w:r>
        <w:rPr>
          <w:b/>
        </w:rPr>
        <w:t>适用对象：</w:t>
      </w:r>
      <w:r>
        <w:t>研究医生、研究护士、CRC、数据管理员、PMO/质控人员</w:t>
      </w:r>
    </w:p>
    <w:p w14:paraId="479A3683">
      <w:pPr>
        <w:pStyle w:val="19"/>
        <w:widowControl/>
      </w:pPr>
      <w:r>
        <w:t>关联文件：TDSC研究方案V2.0（2026-02-28）；SOP06《DAIDS AE分级表 + PRO-CTCAE® 联合应用（含附录A量表规格书、附录B速查表）》；SOP10《研究药物不良反应处理方法（AE Management Playbook）》；SOP12《随机与分配实施（信息隔离/受控访问）》；（如适用）量表授权文件与评分说明书。</w:t>
      </w:r>
    </w:p>
    <w:p w14:paraId="0B8FE71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目的（Objective）</w:t>
      </w:r>
    </w:p>
    <w:p w14:paraId="0AA02254">
      <w:pPr>
        <w:pStyle w:val="19"/>
        <w:widowControl/>
      </w:pPr>
      <w:r>
        <w:t>规范TDSC研究中患者报告结局（PRO）、健康相关生活质量（HRQoL）及呼吸系统健康状态相关量表的实施流程，确保各分中心在不同队列与不同疗程节点的量表测量具有一致性、可比性与可追溯性，减少实施偏倚与数据缺失，并将PRO信息与安全性记录（AE）形成闭环。</w:t>
      </w:r>
    </w:p>
    <w:p w14:paraId="3D6EA93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适用范围（Scope）</w:t>
      </w:r>
    </w:p>
    <w:p w14:paraId="0DE38A76">
      <w:pPr>
        <w:pStyle w:val="19"/>
        <w:widowControl/>
      </w:pPr>
      <w:r>
        <w:t>适用于TDSC研究所有分中心、所有入组TB-DM受试者（队列A与队列B），覆盖筛选/基线、治疗期与随访期。</w:t>
      </w:r>
    </w:p>
    <w:p w14:paraId="5086E59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评估工具与临床意义（Instruments &amp; Rationale）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AAF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A12A10A">
            <w:pPr>
              <w:spacing w:after="0" w:line="240" w:lineRule="auto"/>
            </w:pPr>
            <w:r>
              <w:t>工具名称</w:t>
            </w:r>
          </w:p>
        </w:tc>
        <w:tc>
          <w:tcPr>
            <w:tcW w:w="1666" w:type="pct"/>
          </w:tcPr>
          <w:p w14:paraId="78AFB143">
            <w:pPr>
              <w:spacing w:after="0" w:line="240" w:lineRule="auto"/>
            </w:pPr>
            <w:r>
              <w:t>评估维度</w:t>
            </w:r>
          </w:p>
        </w:tc>
        <w:tc>
          <w:tcPr>
            <w:tcW w:w="1666" w:type="pct"/>
          </w:tcPr>
          <w:p w14:paraId="58B6B63F">
            <w:pPr>
              <w:spacing w:after="0" w:line="240" w:lineRule="auto"/>
            </w:pPr>
            <w:r>
              <w:t>TDSC研究中的特定意义</w:t>
            </w:r>
          </w:p>
        </w:tc>
      </w:tr>
      <w:tr w14:paraId="3270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CF30C64">
            <w:pPr>
              <w:spacing w:after="0" w:line="240" w:lineRule="auto"/>
            </w:pPr>
            <w:r>
              <w:t>SF-36v2</w:t>
            </w:r>
          </w:p>
        </w:tc>
        <w:tc>
          <w:tcPr>
            <w:tcW w:w="1666" w:type="pct"/>
          </w:tcPr>
          <w:p w14:paraId="025039F1">
            <w:pPr>
              <w:spacing w:after="0" w:line="240" w:lineRule="auto"/>
            </w:pPr>
            <w:r>
              <w:t>整体身心健康</w:t>
            </w:r>
          </w:p>
        </w:tc>
        <w:tc>
          <w:tcPr>
            <w:tcW w:w="1666" w:type="pct"/>
          </w:tcPr>
          <w:p w14:paraId="6AD271F1">
            <w:pPr>
              <w:spacing w:after="0" w:line="240" w:lineRule="auto"/>
            </w:pPr>
            <w:r>
              <w:t>评估TB合并DM双重疾病负担下的整体生活质量，比较不同疗程对体能恢复和精神健康的影响。</w:t>
            </w:r>
          </w:p>
        </w:tc>
      </w:tr>
      <w:tr w14:paraId="5FE5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959AC7E">
            <w:pPr>
              <w:spacing w:after="0" w:line="240" w:lineRule="auto"/>
            </w:pPr>
            <w:r>
              <w:t>SGRQ</w:t>
            </w:r>
          </w:p>
        </w:tc>
        <w:tc>
          <w:tcPr>
            <w:tcW w:w="1666" w:type="pct"/>
          </w:tcPr>
          <w:p w14:paraId="0C486AFD">
            <w:pPr>
              <w:spacing w:after="0" w:line="240" w:lineRule="auto"/>
            </w:pPr>
            <w:r>
              <w:t>呼吸系统特异性生活质量</w:t>
            </w:r>
          </w:p>
        </w:tc>
        <w:tc>
          <w:tcPr>
            <w:tcW w:w="1666" w:type="pct"/>
          </w:tcPr>
          <w:p w14:paraId="4F3AF8A6">
            <w:pPr>
              <w:spacing w:after="0" w:line="240" w:lineRule="auto"/>
            </w:pPr>
            <w:r>
              <w:t>评估肺部病灶对日常活动与社会功能的影响；分量表（症状/活动/影响）用于领域分析。</w:t>
            </w:r>
          </w:p>
        </w:tc>
      </w:tr>
      <w:tr w14:paraId="2E69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EB52A14">
            <w:pPr>
              <w:spacing w:after="0" w:line="240" w:lineRule="auto"/>
            </w:pPr>
            <w:r>
              <w:t>CAAT</w:t>
            </w:r>
          </w:p>
        </w:tc>
        <w:tc>
          <w:tcPr>
            <w:tcW w:w="1666" w:type="pct"/>
          </w:tcPr>
          <w:p w14:paraId="09B9E135">
            <w:pPr>
              <w:spacing w:after="0" w:line="240" w:lineRule="auto"/>
            </w:pPr>
            <w:r>
              <w:t>气道症状负担（当前状态）</w:t>
            </w:r>
          </w:p>
        </w:tc>
        <w:tc>
          <w:tcPr>
            <w:tcW w:w="1666" w:type="pct"/>
          </w:tcPr>
          <w:p w14:paraId="33FA43C9">
            <w:pPr>
              <w:spacing w:after="0" w:line="240" w:lineRule="auto"/>
            </w:pPr>
            <w:r>
              <w:t>快速评估工具，捕捉治疗期间呼吸道症状波动与功能受限。</w:t>
            </w:r>
          </w:p>
        </w:tc>
      </w:tr>
      <w:tr w14:paraId="6A5E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10E08D5">
            <w:pPr>
              <w:spacing w:after="0" w:line="240" w:lineRule="auto"/>
            </w:pPr>
            <w:r>
              <w:t>PRO-CTCAE®（TDSC定制）</w:t>
            </w:r>
          </w:p>
        </w:tc>
        <w:tc>
          <w:tcPr>
            <w:tcW w:w="1666" w:type="pct"/>
          </w:tcPr>
          <w:p w14:paraId="1EA89155">
            <w:pPr>
              <w:spacing w:after="0" w:line="240" w:lineRule="auto"/>
            </w:pPr>
            <w:r>
              <w:t>患者报告的不良事件</w:t>
            </w:r>
          </w:p>
        </w:tc>
        <w:tc>
          <w:tcPr>
            <w:tcW w:w="1666" w:type="pct"/>
          </w:tcPr>
          <w:p w14:paraId="68130246">
            <w:pPr>
              <w:spacing w:after="0" w:line="240" w:lineRule="auto"/>
            </w:pPr>
            <w:r>
              <w:t>用于早期识别不良反应信号（如胃肠道反应、神经系统症状等），并与DAIDS分级/AE上报流程对账。</w:t>
            </w:r>
          </w:p>
        </w:tc>
      </w:tr>
    </w:tbl>
    <w:p w14:paraId="4F02ADBC">
      <w:pPr>
        <w:pStyle w:val="4"/>
        <w:widowControl/>
      </w:pPr>
      <w:r>
        <w:t>3.1 版权与正式版本要求（Copyright &amp; Authorized Versions）</w:t>
      </w:r>
    </w:p>
    <w:p w14:paraId="22B01101">
      <w:pPr>
        <w:pStyle w:val="19"/>
        <w:widowControl/>
      </w:pPr>
      <w:r>
        <w:t>SF-36v2、SGRQ 与 PRO-CTCAE® 为受版权保护量表。试验正式启动前必须完成授权获取，并使用版权方/官方渠道提供的经验证中文版本及评分体系。EDC仅可实现授权版本的条目呈现与评分逻辑，不得擅自改写条目或答项。</w:t>
      </w:r>
    </w:p>
    <w:p w14:paraId="41EC660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评估时间表（Assessment Schedule）</w:t>
      </w:r>
    </w:p>
    <w:p w14:paraId="4C4A83AE">
      <w:pPr>
        <w:pStyle w:val="19"/>
        <w:widowControl/>
      </w:pPr>
      <w:r>
        <w:t>在统一随访框架下，所有受试者在以下节点完成“全套评估（4项工具）”：</w:t>
      </w:r>
    </w:p>
    <w:p w14:paraId="365C3D9D">
      <w:pPr>
        <w:pStyle w:val="16"/>
        <w:bidi w:val="0"/>
        <w:ind w:left="360" w:leftChars="0" w:hanging="360" w:firstLineChars="0"/>
      </w:pPr>
      <w:r>
        <w:t>基线期（Baseline/Randomize）：随机分组前。</w:t>
      </w:r>
    </w:p>
    <w:p w14:paraId="1D8AF830">
      <w:pPr>
        <w:pStyle w:val="16"/>
        <w:bidi w:val="0"/>
        <w:ind w:left="360" w:leftChars="0" w:hanging="360" w:firstLineChars="0"/>
      </w:pPr>
      <w:r>
        <w:t>治疗期：W2、W8（强化期评估点）、W16（EOT-4m；仅4个月疗程者）、M6/W24（队列A对照EOT；队列B微生物学Hard Gate评估/随机点；队列B停药组EOT）、M9/W36（队列B延长治疗组EOT）。</w:t>
      </w:r>
    </w:p>
    <w:p w14:paraId="2A06BCC3">
      <w:pPr>
        <w:pStyle w:val="16"/>
        <w:bidi w:val="0"/>
        <w:ind w:left="360" w:leftChars="0" w:hanging="360" w:firstLineChars="0"/>
      </w:pPr>
      <w:r>
        <w:t>随访期：PT-M12 与 PT-M24（所有受试者在各自治疗结束后随访至停药后12/24个月；与主终点随访框架一致）。</w:t>
      </w:r>
    </w:p>
    <w:p w14:paraId="54A990C7">
      <w:pPr>
        <w:pStyle w:val="4"/>
        <w:widowControl/>
      </w:pPr>
      <w:r>
        <w:t>4.1 频次调整建议（用于安全信号捕捉）</w:t>
      </w:r>
    </w:p>
    <w:p w14:paraId="6461648D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PRO-CTCAE®：重点关注过去7天的症状；条目范围、字段编码与实现规范见SOP06附录A；红旗触发、复评与AE对账/上报流程见SOP06正文与SOP10。</w:t>
      </w:r>
    </w:p>
    <w:p w14:paraId="6458D97D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CAAT：建议与PRO-CTCAE®同步在每次计划访视实施，因其简便且对症状波动敏感。</w:t>
      </w:r>
    </w:p>
    <w:p w14:paraId="04AD01FF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SF-36v2 / SGRQ：建议在Baseline、各自EOT（W16/W24/W36）以及PT-M12、PT-M24实施；为减轻负担，W2可不实施长量表。</w:t>
      </w:r>
    </w:p>
    <w:p w14:paraId="42F02CF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责任分工（Roles &amp; Responsibilities）</w:t>
      </w:r>
    </w:p>
    <w:p w14:paraId="2A83C01D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研究护士/CRC：组织量表实施；确保在临床问诊/告知检查结果之前完成；回收当场核查完整性；将警示信息升级给研究医生/PI。</w:t>
      </w:r>
    </w:p>
    <w:p w14:paraId="5E55F75C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研究医生：对PRO提示的症状进行临床复核与鉴别诊断；决定是否记录AE/是否需医疗干预；必要时触发SOP06/10流程。</w:t>
      </w:r>
    </w:p>
    <w:p w14:paraId="75824D6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数据管理员：维护EDC量表模块；确保自动评分与字段映射正确；完成定期数据一致性核查与查询。</w:t>
      </w:r>
    </w:p>
    <w:p w14:paraId="44632339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PMO/质控：组织培训、中心一致性核查与再培训；管理量表版本与授权文件归档（见SOP00）。</w:t>
      </w:r>
    </w:p>
    <w:p w14:paraId="1EFD6DD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操作流程（Procedures）</w:t>
      </w:r>
    </w:p>
    <w:p w14:paraId="5323E1CE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准备工作（在每次评估前）</w:t>
      </w:r>
    </w:p>
    <w:p w14:paraId="5CA6B5FC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评估应在临床问诊、体格检查与告知实验室/影像结果之前进行，以降低信息偏倚。</w:t>
      </w:r>
    </w:p>
    <w:p w14:paraId="68F00BDE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确认受试者所属队列（A/B）及当前阶段；核对本次是否为“核心评估点”。</w:t>
      </w:r>
    </w:p>
    <w:p w14:paraId="1BD2315D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确认量表实施方式（纸质或EDC电子版）；确保安静、私密环境，避免家属/医护引导。</w:t>
      </w:r>
    </w:p>
    <w:p w14:paraId="75081A42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准备必要辅具：阅读镜/大字版（如有）、平板/二维码入口（如中心已部署）。</w:t>
      </w:r>
    </w:p>
    <w:p w14:paraId="4847A03A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实施方式（Administration）</w:t>
      </w:r>
    </w:p>
    <w:p w14:paraId="1A70AA64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患者自填优先：原则上由受试者独立完成。</w:t>
      </w:r>
    </w:p>
    <w:p w14:paraId="6607F04B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协助填写规范：对视力障碍（如糖尿病视网膜病变）或文化程度较低者，研究人员可中立地逐字朗读问题。</w:t>
      </w:r>
    </w:p>
    <w:p w14:paraId="503D4BA0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禁止解释问题含义或诱导答案；若受试者不理解，仅可重复原题。</w:t>
      </w:r>
    </w:p>
    <w:p w14:paraId="544BEE12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推荐顺序（减少负担并降低交叉影响）：CAAT → PRO-CTCAE® →（如为核心评估点）SF-36v2 → SGRQ。</w:t>
      </w:r>
    </w:p>
    <w:p w14:paraId="4DFC74A1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工具特定要求（Recall Period &amp; Key Notes）</w:t>
      </w:r>
    </w:p>
    <w:p w14:paraId="1B10FFBA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SF-36v2：回顾过去4周的情况。</w:t>
      </w:r>
    </w:p>
    <w:p w14:paraId="45AFAD4E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SGRQ：回顾过去3个月的情况；在W8（强化期结束）评估时，需提醒受试者尽量聚焦“治疗以来”的变化。</w:t>
      </w:r>
    </w:p>
    <w:p w14:paraId="421ADF0D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CAAT：在0–5分之间选择，代表“当前症状”严重程度；总分/40分，分数越高影响越大。</w:t>
      </w:r>
    </w:p>
    <w:p w14:paraId="62F07253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PRO-CTCAE®：重点关注过去7天的症状；条目范围、字段编码与实现规范见SOP06附录A；红旗触发、复评与AE对账/上报流程见SOP06正文与SOP10。</w:t>
      </w:r>
    </w:p>
    <w:p w14:paraId="5E46E32D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现场核查与警示值处理（On-site Review &amp; Alerts）</w:t>
      </w:r>
    </w:p>
    <w:p w14:paraId="2F0915B5">
      <w:pPr>
        <w:pStyle w:val="19"/>
        <w:widowControl/>
      </w:pPr>
      <w:r>
        <w:t>研究护士/CRC回收问卷时应立即检查：</w:t>
      </w:r>
    </w:p>
    <w:p w14:paraId="5E65840D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是否有漏填项。</w:t>
      </w:r>
    </w:p>
    <w:p w14:paraId="54D97AE4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是否存在明显逻辑矛盾（如PRO-CTCAE报告“无恶心”，但CAAT/SGRQ提示因恶心严重影响饮食与活动）。</w:t>
      </w:r>
    </w:p>
    <w:p w14:paraId="36A856C9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警示值处理：如PRO-CTCAE®出现“红旗/严重干扰”等安全信号，或长量表出现极端异常（由EDC预置规则触发），应立即通知研究医生进行临床复评；红旗阈值、复评与AE对账/上报按SOP06（正文及附录）与SOP10执行。本SOP仅负责量表实施与数据质量控制。</w:t>
      </w:r>
    </w:p>
    <w:p w14:paraId="24D8C227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针对TB-DM人群的特殊注意事项（TB-DM Specific Considerations）</w:t>
      </w:r>
    </w:p>
    <w:p w14:paraId="78DED6EC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神经症状鉴别：在PRO-CTCAE®出现“麻木/刺痛”等条目时，研究医生需结合病史与体格检查判断是糖尿病周围神经病变（DPN）还是药物相关神经毒性（如异烟肼相关周围神经症状），并据此决定AE记录与处理。</w:t>
      </w:r>
    </w:p>
    <w:p w14:paraId="248EB9A2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血糖影响：在SF-36v2“精力/疲劳”等维度极低时，需结合当日血糖记录或近期HbA1c信息，排除低/高血糖事件对主观评分的影响。</w:t>
      </w:r>
    </w:p>
    <w:p w14:paraId="26EFF4A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数据管理与质量控制（Data Management &amp; QC）</w:t>
      </w:r>
    </w:p>
    <w:p w14:paraId="39833BEE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/>
          <w:bdr w:val="none" w:sz="0" w:space="0"/>
        </w:rPr>
      </w:pPr>
      <w:r>
        <w:t>评分计算与录入</w:t>
      </w:r>
    </w:p>
    <w:p w14:paraId="04C0EE3C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所有量表分值计算应由EDC自动完成，避免人工计算错误。</w:t>
      </w:r>
    </w:p>
    <w:p w14:paraId="2F03C7F9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SGRQ的三个分量表（症状、活动、影响）分值需单独保留，以便领域分析。</w:t>
      </w:r>
    </w:p>
    <w:p w14:paraId="1E8793C7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/>
          <w:bdr w:val="none" w:sz="0" w:space="0"/>
        </w:rPr>
      </w:pPr>
      <w:r>
        <w:t>缺失与不一致处理</w:t>
      </w:r>
    </w:p>
    <w:p w14:paraId="04750F56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缺失项：现场优先补填；若受试者拒绝或无法完成，记录原因（拒绝/时间不足/身体不适/技术故障等）。</w:t>
      </w:r>
    </w:p>
    <w:p w14:paraId="15FBA027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不一致：由CRC发起数据查询（Query），由研究医生在不引导受试者的前提下进行临床核实并在EDC中闭环。</w:t>
      </w:r>
    </w:p>
    <w:p w14:paraId="2DDFDF4D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/>
          <w:bdr w:val="none" w:sz="0" w:space="0"/>
        </w:rPr>
      </w:pPr>
      <w:r>
        <w:t>中心一致性与再培训触发</w:t>
      </w:r>
    </w:p>
    <w:p w14:paraId="265E0C29">
      <w:pPr>
        <w:pStyle w:val="19"/>
        <w:widowControl/>
        <w:numPr>
          <w:ilvl w:val="0"/>
          <w:numId w:val="19"/>
        </w:numPr>
      </w:pPr>
      <w:r>
        <w:t>PMO/数据管理按月/按季度输出中心间完成率、缺失率与警示触发率；异常中心需开展再培训并记录。</w:t>
      </w:r>
    </w:p>
    <w:p w14:paraId="19BDAA8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与安全性报告的关联（Linkage to Safety Reporting）</w:t>
      </w:r>
    </w:p>
    <w:p w14:paraId="0132A6A4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PRO-CTCAE®红旗/重要症状信号的临床复评、AE对账与上报流程：按SOP06（正文/附录）与SOP10执行；本SOP不重复规定。</w:t>
      </w:r>
    </w:p>
    <w:p w14:paraId="5CC1CB60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信息隔离：如在W24等关键节点采集TB22等候选生物标志物或获取影像AI/CT量化输出，其结果在研究期间不向治疗团队披露（按SOP12受控访问口径）。PRO采集必须独立于上述探索性结果，并在临床问诊/告知检查结果前完成，以避免信息偏倚。</w:t>
      </w:r>
    </w:p>
    <w:p w14:paraId="3BA43EC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附录（Templates）</w:t>
      </w:r>
      <w:bookmarkStart w:id="0" w:name="_GoBack"/>
      <w:bookmarkEnd w:id="0"/>
    </w:p>
    <w:p w14:paraId="57AD0185">
      <w:pPr>
        <w:pStyle w:val="164"/>
        <w:widowControl/>
      </w:pPr>
      <w:r>
        <w:t>附录A：核心评估点速查表</w:t>
      </w:r>
    </w:p>
    <w:tbl>
      <w:tblPr>
        <w:tblStyle w:val="3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75F6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6B419BAD">
            <w:pPr>
              <w:spacing w:after="0" w:line="240" w:lineRule="auto"/>
            </w:pPr>
            <w:r>
              <w:t>时间点</w:t>
            </w:r>
          </w:p>
        </w:tc>
        <w:tc>
          <w:tcPr>
            <w:tcW w:w="1000" w:type="pct"/>
          </w:tcPr>
          <w:p w14:paraId="6A4697B3">
            <w:pPr>
              <w:spacing w:after="0" w:line="240" w:lineRule="auto"/>
            </w:pPr>
            <w:r>
              <w:t>全套评估（4项）</w:t>
            </w:r>
          </w:p>
        </w:tc>
        <w:tc>
          <w:tcPr>
            <w:tcW w:w="1000" w:type="pct"/>
          </w:tcPr>
          <w:p w14:paraId="1B06B2F2">
            <w:pPr>
              <w:spacing w:after="0" w:line="240" w:lineRule="auto"/>
            </w:pPr>
            <w:r>
              <w:t>PRO-CTCAE</w:t>
            </w:r>
          </w:p>
        </w:tc>
        <w:tc>
          <w:tcPr>
            <w:tcW w:w="1000" w:type="pct"/>
          </w:tcPr>
          <w:p w14:paraId="3A56AEB5">
            <w:pPr>
              <w:spacing w:after="0" w:line="240" w:lineRule="auto"/>
            </w:pPr>
            <w:r>
              <w:t>CAAT</w:t>
            </w:r>
          </w:p>
        </w:tc>
        <w:tc>
          <w:tcPr>
            <w:tcW w:w="1000" w:type="pct"/>
          </w:tcPr>
          <w:p w14:paraId="74D9C95F">
            <w:pPr>
              <w:spacing w:after="0" w:line="240" w:lineRule="auto"/>
            </w:pPr>
            <w:r>
              <w:t>备注</w:t>
            </w:r>
          </w:p>
        </w:tc>
      </w:tr>
      <w:tr w14:paraId="5F037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6EA873FF">
            <w:pPr>
              <w:spacing w:after="0" w:line="240" w:lineRule="auto"/>
            </w:pPr>
            <w:r>
              <w:t>Baseline</w:t>
            </w:r>
          </w:p>
        </w:tc>
        <w:tc>
          <w:tcPr>
            <w:tcW w:w="1000" w:type="pct"/>
          </w:tcPr>
          <w:p w14:paraId="251EFB01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258496A4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13E31FFB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17F95128">
            <w:pPr>
              <w:spacing w:after="0" w:line="240" w:lineRule="auto"/>
            </w:pPr>
            <w:r>
              <w:t>随机前完成</w:t>
            </w:r>
          </w:p>
        </w:tc>
      </w:tr>
      <w:tr w14:paraId="121E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2EC4335E">
            <w:pPr>
              <w:spacing w:after="0" w:line="240" w:lineRule="auto"/>
            </w:pPr>
            <w:r>
              <w:t>月2末</w:t>
            </w:r>
          </w:p>
        </w:tc>
        <w:tc>
          <w:tcPr>
            <w:tcW w:w="1000" w:type="pct"/>
          </w:tcPr>
          <w:p w14:paraId="36FE7815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154C0962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7A811C75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3DA71A3A">
            <w:pPr>
              <w:spacing w:after="0" w:line="240" w:lineRule="auto"/>
            </w:pPr>
            <w:r>
              <w:t>强化期结束</w:t>
            </w:r>
          </w:p>
        </w:tc>
      </w:tr>
      <w:tr w14:paraId="6642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2DD9D2C7">
            <w:pPr>
              <w:spacing w:after="0" w:line="240" w:lineRule="auto"/>
            </w:pPr>
            <w:r>
              <w:t>月4末</w:t>
            </w:r>
          </w:p>
        </w:tc>
        <w:tc>
          <w:tcPr>
            <w:tcW w:w="1000" w:type="pct"/>
          </w:tcPr>
          <w:p w14:paraId="1260EF07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6EB143D2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4E770136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216CD8FF">
            <w:pPr>
              <w:spacing w:after="0" w:line="240" w:lineRule="auto"/>
            </w:pPr>
            <w:r>
              <w:t>队列A干预组EOT</w:t>
            </w:r>
          </w:p>
        </w:tc>
      </w:tr>
      <w:tr w14:paraId="0D6DB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314AE5B2">
            <w:pPr>
              <w:spacing w:after="0" w:line="240" w:lineRule="auto"/>
            </w:pPr>
            <w:r>
              <w:t>月6末</w:t>
            </w:r>
          </w:p>
        </w:tc>
        <w:tc>
          <w:tcPr>
            <w:tcW w:w="1000" w:type="pct"/>
          </w:tcPr>
          <w:p w14:paraId="62204654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541B9B45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660E6D1A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6B47CC15">
            <w:pPr>
              <w:spacing w:after="0" w:line="240" w:lineRule="auto"/>
            </w:pPr>
            <w:r>
              <w:t>队列A对照组EOT；队列B关键评估/随机点</w:t>
            </w:r>
          </w:p>
        </w:tc>
      </w:tr>
      <w:tr w14:paraId="18D8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42AA4E03">
            <w:pPr>
              <w:spacing w:after="0" w:line="240" w:lineRule="auto"/>
            </w:pPr>
            <w:r>
              <w:t>月9末</w:t>
            </w:r>
          </w:p>
        </w:tc>
        <w:tc>
          <w:tcPr>
            <w:tcW w:w="1000" w:type="pct"/>
          </w:tcPr>
          <w:p w14:paraId="7A29C9A8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50463ED2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0AB15872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4E87EA2C">
            <w:pPr>
              <w:spacing w:after="0" w:line="240" w:lineRule="auto"/>
            </w:pPr>
            <w:r>
              <w:t>队列B延长治疗组EOT</w:t>
            </w:r>
          </w:p>
        </w:tc>
      </w:tr>
      <w:tr w14:paraId="4CF1A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04C9A014">
            <w:pPr>
              <w:spacing w:after="0" w:line="240" w:lineRule="auto"/>
            </w:pPr>
            <w:r>
              <w:t>EOT后6月</w:t>
            </w:r>
          </w:p>
        </w:tc>
        <w:tc>
          <w:tcPr>
            <w:tcW w:w="1000" w:type="pct"/>
          </w:tcPr>
          <w:p w14:paraId="2F39F673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7A4BFB35">
            <w:pPr>
              <w:spacing w:after="0" w:line="240" w:lineRule="auto"/>
            </w:pPr>
            <w:r>
              <w:t>是（建议）</w:t>
            </w:r>
          </w:p>
        </w:tc>
        <w:tc>
          <w:tcPr>
            <w:tcW w:w="1000" w:type="pct"/>
          </w:tcPr>
          <w:p w14:paraId="3B12F3BB">
            <w:pPr>
              <w:spacing w:after="0" w:line="240" w:lineRule="auto"/>
            </w:pPr>
            <w:r>
              <w:t>是（建议）</w:t>
            </w:r>
          </w:p>
        </w:tc>
        <w:tc>
          <w:tcPr>
            <w:tcW w:w="1000" w:type="pct"/>
          </w:tcPr>
          <w:p w14:paraId="2BB22B7A">
            <w:pPr>
              <w:spacing w:after="0" w:line="240" w:lineRule="auto"/>
            </w:pPr>
            <w:r>
              <w:t>长期状态评估</w:t>
            </w:r>
          </w:p>
        </w:tc>
      </w:tr>
      <w:tr w14:paraId="35223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1F9DD4EE">
            <w:pPr>
              <w:spacing w:after="0" w:line="240" w:lineRule="auto"/>
            </w:pPr>
            <w:r>
              <w:t>EOT后12月</w:t>
            </w:r>
          </w:p>
        </w:tc>
        <w:tc>
          <w:tcPr>
            <w:tcW w:w="1000" w:type="pct"/>
          </w:tcPr>
          <w:p w14:paraId="5B5C7C88">
            <w:pPr>
              <w:spacing w:after="0" w:line="240" w:lineRule="auto"/>
            </w:pPr>
            <w:r>
              <w:t>是</w:t>
            </w:r>
          </w:p>
        </w:tc>
        <w:tc>
          <w:tcPr>
            <w:tcW w:w="1000" w:type="pct"/>
          </w:tcPr>
          <w:p w14:paraId="433AA0DC">
            <w:pPr>
              <w:spacing w:after="0" w:line="240" w:lineRule="auto"/>
            </w:pPr>
            <w:r>
              <w:t>是（建议）</w:t>
            </w:r>
          </w:p>
        </w:tc>
        <w:tc>
          <w:tcPr>
            <w:tcW w:w="1000" w:type="pct"/>
          </w:tcPr>
          <w:p w14:paraId="6BF453E9">
            <w:pPr>
              <w:spacing w:after="0" w:line="240" w:lineRule="auto"/>
            </w:pPr>
            <w:r>
              <w:t>是（建议）</w:t>
            </w:r>
          </w:p>
        </w:tc>
        <w:tc>
          <w:tcPr>
            <w:tcW w:w="1000" w:type="pct"/>
          </w:tcPr>
          <w:p w14:paraId="28C55984">
            <w:pPr>
              <w:spacing w:after="0" w:line="240" w:lineRule="auto"/>
            </w:pPr>
            <w:r>
              <w:t>长期状态评估</w:t>
            </w:r>
          </w:p>
        </w:tc>
      </w:tr>
    </w:tbl>
    <w:p w14:paraId="4369BA82">
      <w:pPr>
        <w:pStyle w:val="164"/>
        <w:widowControl/>
      </w:pPr>
      <w:r>
        <w:t>附录B：量表实施检查清单（每次访视）</w:t>
      </w:r>
    </w:p>
    <w:p w14:paraId="17C43E8B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在告知检查结果前完成量表</w:t>
      </w:r>
    </w:p>
    <w:p w14:paraId="4A60E37A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自填优先，协助仅逐字朗读不解释</w:t>
      </w:r>
    </w:p>
    <w:p w14:paraId="1ACAD95A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核对漏填与逻辑矛盾</w:t>
      </w:r>
    </w:p>
    <w:p w14:paraId="2E3F935D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警示值升级按SOP06执行（必要时启动SOP10）。</w:t>
      </w:r>
    </w:p>
    <w:p w14:paraId="7B024ACD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EDC评分成功生成（或记录技术故障原因）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BA431"/>
    <w:multiLevelType w:val="singleLevel"/>
    <w:tmpl w:val="8C8BA43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96378F35"/>
    <w:multiLevelType w:val="singleLevel"/>
    <w:tmpl w:val="96378F3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9D764F94"/>
    <w:multiLevelType w:val="singleLevel"/>
    <w:tmpl w:val="9D764F9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B5CB91B5"/>
    <w:multiLevelType w:val="singleLevel"/>
    <w:tmpl w:val="B5CB91B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BAFA907A"/>
    <w:multiLevelType w:val="singleLevel"/>
    <w:tmpl w:val="BAFA907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C2AD4544"/>
    <w:multiLevelType w:val="singleLevel"/>
    <w:tmpl w:val="C2AD454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D13FCC68"/>
    <w:multiLevelType w:val="singleLevel"/>
    <w:tmpl w:val="D13FCC68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7">
    <w:nsid w:val="DDA88FC4"/>
    <w:multiLevelType w:val="singleLevel"/>
    <w:tmpl w:val="DDA88FC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4">
    <w:nsid w:val="01E5267D"/>
    <w:multiLevelType w:val="singleLevel"/>
    <w:tmpl w:val="01E5267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075CB812"/>
    <w:multiLevelType w:val="singleLevel"/>
    <w:tmpl w:val="075CB81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13A47373"/>
    <w:multiLevelType w:val="singleLevel"/>
    <w:tmpl w:val="13A47373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7">
    <w:nsid w:val="60F209E5"/>
    <w:multiLevelType w:val="singleLevel"/>
    <w:tmpl w:val="60F209E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64409588"/>
    <w:multiLevelType w:val="singleLevel"/>
    <w:tmpl w:val="6440958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7BFB4F26"/>
    <w:multiLevelType w:val="singleLevel"/>
    <w:tmpl w:val="7BFB4F2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7F1B9E9F"/>
    <w:multiLevelType w:val="singleLevel"/>
    <w:tmpl w:val="7F1B9E9F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12"/>
  </w:num>
  <w:num w:numId="3">
    <w:abstractNumId w:val="20"/>
  </w:num>
  <w:num w:numId="4">
    <w:abstractNumId w:val="10"/>
  </w:num>
  <w:num w:numId="5">
    <w:abstractNumId w:val="8"/>
  </w:num>
  <w:num w:numId="6">
    <w:abstractNumId w:val="11"/>
  </w:num>
  <w:num w:numId="7">
    <w:abstractNumId w:val="3"/>
  </w:num>
  <w:num w:numId="8">
    <w:abstractNumId w:val="2"/>
  </w:num>
  <w:num w:numId="9">
    <w:abstractNumId w:val="0"/>
  </w:num>
  <w:num w:numId="10">
    <w:abstractNumId w:val="16"/>
  </w:num>
  <w:num w:numId="11">
    <w:abstractNumId w:val="17"/>
  </w:num>
  <w:num w:numId="12">
    <w:abstractNumId w:val="14"/>
  </w:num>
  <w:num w:numId="13">
    <w:abstractNumId w:val="19"/>
  </w:num>
  <w:num w:numId="14">
    <w:abstractNumId w:val="7"/>
  </w:num>
  <w:num w:numId="15">
    <w:abstractNumId w:val="5"/>
  </w:num>
  <w:num w:numId="16">
    <w:abstractNumId w:val="6"/>
  </w:num>
  <w:num w:numId="17">
    <w:abstractNumId w:val="4"/>
  </w:num>
  <w:num w:numId="18">
    <w:abstractNumId w:val="1"/>
  </w:num>
  <w:num w:numId="19">
    <w:abstractNumId w:val="13"/>
  </w:num>
  <w:num w:numId="20">
    <w:abstractNumId w:val="1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8F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2696</Words>
  <Characters>3513</Characters>
  <Lines>0</Lines>
  <Paragraphs>0</Paragraphs>
  <TotalTime>1</TotalTime>
  <ScaleCrop>false</ScaleCrop>
  <LinksUpToDate>false</LinksUpToDate>
  <CharactersWithSpaces>3583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2026-03-10T07:48:53Z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eyJoZGlkIjoiOGNmZTEzMzZiOTZlNTgwZjdhNTUyOTczZTg0ZWQ3ZDAiLCJ1c2VySWQiOiI5NjExNDM1MzcifQ==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51CCA9D4E9C8437CAEDAD372EC76378B_12</vt:lpwstr>
  </property>
</Properties>
</file>