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DA6DD">
      <w:pPr>
        <w:pStyle w:val="31"/>
        <w:widowControl/>
        <w:ind w:left="1914" w:leftChars="870" w:firstLine="0" w:firstLineChars="0"/>
      </w:pPr>
      <w:r>
        <w:t>TDSC 研究标准操作规程（SOP）</w:t>
      </w:r>
      <w:r>
        <w:br w:type="textWrapping"/>
      </w:r>
      <w:r>
        <w:t>SOP1</w:t>
      </w:r>
      <w:r>
        <w:t>5</w:t>
      </w:r>
      <w:r>
        <w:t>：随访与失访管理</w:t>
      </w:r>
    </w:p>
    <w:p w14:paraId="46549D44">
      <w:pPr>
        <w:pStyle w:val="26"/>
        <w:widowControl/>
      </w:pPr>
      <w:r>
        <w:t>（窗口、追访策略、缺失数据处理与留痕）</w:t>
      </w:r>
    </w:p>
    <w:p w14:paraId="5F1493D4"/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0AAA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AC985B1">
            <w:r>
              <w:t>受控文件编号</w:t>
            </w:r>
          </w:p>
        </w:tc>
        <w:tc>
          <w:tcPr>
            <w:tcW w:w="2500" w:type="pct"/>
          </w:tcPr>
          <w:p w14:paraId="521A62AC">
            <w:pPr>
              <w:rPr>
                <w:rFonts w:hint="eastAsia" w:eastAsia="宋体"/>
                <w:lang w:eastAsia="zh-CN"/>
              </w:rPr>
            </w:pPr>
            <w:r>
              <w:t>TDSC-SOP-1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1B1E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407E525">
            <w:r>
              <w:t>版本</w:t>
            </w:r>
          </w:p>
        </w:tc>
        <w:tc>
          <w:tcPr>
            <w:tcW w:w="2500" w:type="pct"/>
          </w:tcPr>
          <w:p w14:paraId="714BEB71">
            <w:r>
              <w:t>V1.0</w:t>
            </w:r>
          </w:p>
        </w:tc>
      </w:tr>
      <w:tr w14:paraId="5C5A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BAFABC2">
            <w:r>
              <w:t>生效日期</w:t>
            </w:r>
          </w:p>
        </w:tc>
        <w:tc>
          <w:tcPr>
            <w:tcW w:w="2500" w:type="pct"/>
          </w:tcPr>
          <w:p w14:paraId="422A5195">
            <w:r>
              <w:t>2026-03-04</w:t>
            </w:r>
          </w:p>
        </w:tc>
      </w:tr>
      <w:tr w14:paraId="31E1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7A8CDF2">
            <w:r>
              <w:t>适用研究</w:t>
            </w:r>
          </w:p>
        </w:tc>
        <w:tc>
          <w:tcPr>
            <w:tcW w:w="2500" w:type="pct"/>
          </w:tcPr>
          <w:p w14:paraId="26E08E08">
            <w:r>
              <w:t>TDSC（TB-DM Short Course）研究</w:t>
            </w:r>
          </w:p>
        </w:tc>
      </w:tr>
      <w:tr w14:paraId="56FB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7851DDD">
            <w:r>
              <w:t>对应研究方案</w:t>
            </w:r>
          </w:p>
        </w:tc>
        <w:tc>
          <w:tcPr>
            <w:tcW w:w="2500" w:type="pct"/>
          </w:tcPr>
          <w:p w14:paraId="753120C3">
            <w:r>
              <w:t>TDSC 研究方案 V2.0（2026-02-28）</w:t>
            </w:r>
          </w:p>
        </w:tc>
      </w:tr>
      <w:tr w14:paraId="6606F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B3CAE18">
            <w:r>
              <w:t>起草</w:t>
            </w:r>
          </w:p>
        </w:tc>
        <w:tc>
          <w:tcPr>
            <w:tcW w:w="2500" w:type="pct"/>
          </w:tcPr>
          <w:p w14:paraId="4995E1A8">
            <w:r>
              <w:t>____________</w:t>
            </w:r>
          </w:p>
        </w:tc>
      </w:tr>
      <w:tr w14:paraId="6CFD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0A91F4F">
            <w:r>
              <w:t>审核</w:t>
            </w:r>
          </w:p>
        </w:tc>
        <w:tc>
          <w:tcPr>
            <w:tcW w:w="2500" w:type="pct"/>
          </w:tcPr>
          <w:p w14:paraId="54D4DBC4">
            <w:r>
              <w:t>____________</w:t>
            </w:r>
          </w:p>
        </w:tc>
      </w:tr>
      <w:tr w14:paraId="1E81B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968BC22">
            <w:r>
              <w:t>批准</w:t>
            </w:r>
          </w:p>
        </w:tc>
        <w:tc>
          <w:tcPr>
            <w:tcW w:w="2500" w:type="pct"/>
          </w:tcPr>
          <w:p w14:paraId="469809D4">
            <w:r>
              <w:t>____________</w:t>
            </w:r>
          </w:p>
        </w:tc>
      </w:tr>
    </w:tbl>
    <w:p w14:paraId="52C0E36B"/>
    <w:p w14:paraId="41C6AF6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1FE9347F">
      <w:pPr>
        <w:pStyle w:val="19"/>
        <w:widowControl/>
      </w:pPr>
      <w:r>
        <w:t>规范TDSC研究的随访排程、访视窗口管理、追访（留存）策略、失访（LTFU）处理以及缺失数据的记录与留痕要求，确保：（1）随访执行与研究方案一致；（2）关键终点与安全性数据尽可能完整；（3）缺失/超窗事件可追溯、可审计，并可与统计分析（SAP）一致衔接。</w:t>
      </w:r>
    </w:p>
    <w:p w14:paraId="26AE40E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0F511E5C">
      <w:pPr>
        <w:pStyle w:val="16"/>
        <w:bidi w:val="0"/>
        <w:ind w:left="360" w:leftChars="0" w:hanging="360" w:firstLineChars="0"/>
      </w:pPr>
      <w:r>
        <w:rPr>
          <w:rFonts w:ascii="Times New Roman" w:hAnsi="Calibri" w:eastAsia="宋体" w:cs="Times New Roman"/>
          <w:sz w:val="24"/>
        </w:rPr>
        <w:t>适用于TDSC所有队列与所有受试者（含提前终止ET与停药后随访期）</w:t>
      </w:r>
      <w:r>
        <w:t>。</w:t>
      </w:r>
    </w:p>
    <w:p w14:paraId="35D14E93">
      <w:pPr>
        <w:pStyle w:val="16"/>
        <w:bidi w:val="0"/>
        <w:ind w:left="360" w:leftChars="0" w:hanging="360" w:firstLineChars="0"/>
      </w:pPr>
      <w:r>
        <w:rPr>
          <w:rFonts w:ascii="Times New Roman" w:hAnsi="Calibri" w:eastAsia="宋体" w:cs="Times New Roman"/>
          <w:sz w:val="24"/>
        </w:rPr>
        <w:t>适用于所有计划访视、非计划访视（unscheduled visits）、远程随访与被动结局追溯（如伦理/ICF允许）</w:t>
      </w:r>
      <w:r>
        <w:t>。</w:t>
      </w:r>
    </w:p>
    <w:p w14:paraId="7DF6C505">
      <w:pPr>
        <w:pStyle w:val="16"/>
        <w:bidi w:val="0"/>
        <w:ind w:left="360" w:leftChars="0" w:hanging="360" w:firstLineChars="0"/>
      </w:pPr>
      <w:r>
        <w:rPr>
          <w:rFonts w:ascii="Times New Roman" w:hAnsi="Calibri" w:eastAsia="宋体" w:cs="Times New Roman"/>
          <w:sz w:val="24"/>
        </w:rPr>
        <w:t>与退出研究/撤回同意的处理需同步遵循；与方案偏差/CAPA闭环遵循；与数据核查/Query闭环遵循</w:t>
      </w:r>
      <w:r>
        <w:t>。</w:t>
      </w:r>
    </w:p>
    <w:p w14:paraId="4BE8FA2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参考文件（对接/交叉引用）</w:t>
      </w:r>
    </w:p>
    <w:p w14:paraId="011478B6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TDSC 研究方案 V2.0（2026-02-28）：随访计划、主要/次要终点与随访终点定义。</w:t>
      </w:r>
    </w:p>
    <w:p w14:paraId="64E7082E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《TDSC 随访计划主表（EDC-ready）V2.2》与《随访卡（4m/6m/9m）V1.0》：访视节点与窗口定义（本SOP以其为单一事实来源）。</w:t>
      </w:r>
    </w:p>
    <w:p w14:paraId="452A1736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SOP11：筛选与知情同意（含撤回同意、失访与被动追溯边界）。</w:t>
      </w:r>
    </w:p>
    <w:p w14:paraId="51A15D82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SOP15：疗效/结局评估与CEC裁决材料包（培养、复发、再感染证据链）。</w:t>
      </w:r>
    </w:p>
    <w:p w14:paraId="13FC95F6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SOP16：微生物学流程（培养判定、污染/NTM、晚到结果处理）。</w:t>
      </w:r>
    </w:p>
    <w:p w14:paraId="7B53C5E0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SOP19：数据管理与质量控制（EDC、核查规则、Query、冻结/锁库）。</w:t>
      </w:r>
    </w:p>
    <w:p w14:paraId="4093B1DD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SOP20：方案偏差违背与CAPA（超窗、缺失、失访趋势管理）。</w:t>
      </w:r>
    </w:p>
    <w:p w14:paraId="1C2597CA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SOP06（含附录A/B）+ SOP10：AE捕获、DAIDS分级与处置/上报时限。</w:t>
      </w:r>
    </w:p>
    <w:p w14:paraId="0D65C56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术语与定义</w:t>
      </w:r>
    </w:p>
    <w:p w14:paraId="3D56B8D6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目标访视日期（Target date）：按研究方案/随访表定义的目标日期（例如W24=Day168）。</w:t>
      </w:r>
    </w:p>
    <w:p w14:paraId="6680DB87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访视窗口（Window）：允许完成该访视的时间范围（例如W24=Day168±7）。</w:t>
      </w:r>
    </w:p>
    <w:p w14:paraId="15130E4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超窗（Out-of-window）：访视发生在窗口之外；数据仍可采集但必须记录偏差并评估影响。</w:t>
      </w:r>
    </w:p>
    <w:p w14:paraId="639F3B4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EOT：治疗结束时间点；停药后随访（FV）以EOT为锚点计算（不跨组“齐平”）。</w:t>
      </w:r>
    </w:p>
    <w:p w14:paraId="2B75455C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潜在失访（Potential LTFU）：在窗口期内未完成访视且多次联系失败，需要启动升级追访。</w:t>
      </w:r>
    </w:p>
    <w:p w14:paraId="66CD7012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失访（LTFU）：在完成规定追访动作后仍无法获得最小随访数据集（或无法确认结局状态）。</w:t>
      </w:r>
    </w:p>
    <w:p w14:paraId="297DDD2D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缺失原因代码：用于EDC留痕的标准化原因（见附录C）。</w:t>
      </w:r>
    </w:p>
    <w:p w14:paraId="66FFECC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角色与职责（摘要）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4D7C3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7B47176">
            <w:r>
              <w:t>角色</w:t>
            </w:r>
          </w:p>
        </w:tc>
        <w:tc>
          <w:tcPr>
            <w:tcW w:w="2500" w:type="pct"/>
          </w:tcPr>
          <w:p w14:paraId="65429A47">
            <w:r>
              <w:t>主要职责（摘要）</w:t>
            </w:r>
          </w:p>
        </w:tc>
      </w:tr>
      <w:tr w14:paraId="1E99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031D829">
            <w:r>
              <w:t>分中心PI/研究医生</w:t>
            </w:r>
          </w:p>
        </w:tc>
        <w:tc>
          <w:tcPr>
            <w:tcW w:w="2500" w:type="pct"/>
          </w:tcPr>
          <w:p w14:paraId="2507F61F">
            <w:r>
              <w:t>批准随访调整；对失访升级与被动追溯合规性负责；签字确认关键偏差/影响评估。</w:t>
            </w:r>
          </w:p>
        </w:tc>
      </w:tr>
      <w:tr w14:paraId="225B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79A4103">
            <w:r>
              <w:t>CRC/研究护士</w:t>
            </w:r>
          </w:p>
        </w:tc>
        <w:tc>
          <w:tcPr>
            <w:tcW w:w="2500" w:type="pct"/>
          </w:tcPr>
          <w:p w14:paraId="373CFF0D">
            <w:r>
              <w:t>排程与提醒；执行追访；记录联系尝试与结果；按要求录入EDC并闭环Query。</w:t>
            </w:r>
          </w:p>
        </w:tc>
      </w:tr>
      <w:tr w14:paraId="59B0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9FE1338">
            <w:r>
              <w:t>医学监查/安全团队（如有）</w:t>
            </w:r>
          </w:p>
        </w:tc>
        <w:tc>
          <w:tcPr>
            <w:tcW w:w="2500" w:type="pct"/>
          </w:tcPr>
          <w:p w14:paraId="31AC793B">
            <w:r>
              <w:t>对安全相关随访缺失优先处理；必要时触发非计划安全访视。</w:t>
            </w:r>
          </w:p>
        </w:tc>
      </w:tr>
      <w:tr w14:paraId="3245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97CB090">
            <w:r>
              <w:t>数据管理（DM）</w:t>
            </w:r>
          </w:p>
        </w:tc>
        <w:tc>
          <w:tcPr>
            <w:tcW w:w="2500" w:type="pct"/>
          </w:tcPr>
          <w:p w14:paraId="4CBD4D27">
            <w:r>
              <w:t>监测缺失/超窗/失访指标；生成质量报告与清单；推动Query与CAPA闭环。</w:t>
            </w:r>
          </w:p>
        </w:tc>
      </w:tr>
      <w:tr w14:paraId="55ED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9000F07">
            <w:r>
              <w:t>CRA/质量与稽查</w:t>
            </w:r>
          </w:p>
        </w:tc>
        <w:tc>
          <w:tcPr>
            <w:tcW w:w="2500" w:type="pct"/>
          </w:tcPr>
          <w:p w14:paraId="21A9ACEE">
            <w:r>
              <w:t>核查随访执行、源文件与EDC一致性；提出问题并验证整改。</w:t>
            </w:r>
          </w:p>
        </w:tc>
      </w:tr>
      <w:tr w14:paraId="28F48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4CC5B51">
            <w:r>
              <w:t>PMO</w:t>
            </w:r>
          </w:p>
        </w:tc>
        <w:tc>
          <w:tcPr>
            <w:tcW w:w="2500" w:type="pct"/>
          </w:tcPr>
          <w:p w14:paraId="0CE0CDA8">
            <w:r>
              <w:t>组织跨中心沟通与培训；对系统性失访/超窗趋势推动项目级CAPA。</w:t>
            </w:r>
          </w:p>
        </w:tc>
      </w:tr>
    </w:tbl>
    <w:p w14:paraId="6DB0514A"/>
    <w:p w14:paraId="3B5ADE3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访视窗口与排程规则</w:t>
      </w:r>
    </w:p>
    <w:p w14:paraId="796E4C4E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访视节点与窗口（单一事实来源）</w:t>
      </w:r>
    </w:p>
    <w:p w14:paraId="6A3139CE">
      <w:pPr>
        <w:pStyle w:val="19"/>
        <w:widowControl/>
      </w:pPr>
      <w:r>
        <w:t>各访视节点与窗口以《随访计划主表（EDC-ready）》为准。本SOP提供最小化窗口速查（附录A），用于现场排程与稽查核对。</w:t>
      </w:r>
    </w:p>
    <w:p w14:paraId="292A55D5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锚点日期与EOT规则</w:t>
      </w:r>
    </w:p>
    <w:p w14:paraId="0A62C9CD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治疗期访视以基线D0为锚点；停药后随访（FV）以受试者实际EOT日期为锚点计算（±14天窗口）。</w:t>
      </w:r>
    </w:p>
    <w:p w14:paraId="7ACA822E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队列A：EOT可为W16（4m）或W24（6m）；队列B：EOT可为W24（6m）或W36（9m）。</w:t>
      </w:r>
    </w:p>
    <w:p w14:paraId="2BBD67BC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如提前终止（ET）：尽可能完成ET访视与关键终点/安全性最小数据集，并将后续随访锚点改为ET/EOT实际日期（按随访表规则）。</w:t>
      </w:r>
    </w:p>
    <w:p w14:paraId="7389F336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访视未能按窗完成的处理原则</w:t>
      </w:r>
    </w:p>
    <w:p w14:paraId="19F8B846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优先在窗口内完成：如受试者无法到院，可评估是否允许远程完成部分项目（例如PRO、事件询问），并在窗口内补齐关键检查。</w:t>
      </w:r>
    </w:p>
    <w:p w14:paraId="7183FF07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窗口外完成：仍应尽快完成关键终点与安全性评估，但必须记录为方案偏差（SOP20），并在EDC中使用标准化缺失/超窗留痕。</w:t>
      </w:r>
    </w:p>
    <w:p w14:paraId="2A82AB1C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不得以“补做访视”改变后续访视的目标日期（除非研究方案/随访主表明确允许）；停药后随访仍以EOT实际日期为锚点。</w:t>
      </w:r>
    </w:p>
    <w:p w14:paraId="7B3C1130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非计划访视（Unscheduled visits）</w:t>
      </w:r>
    </w:p>
    <w:p w14:paraId="1D78D35F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触发：安全红旗、疑似终点事件、关键化验/心电异常或受试者主诉显著恶化。</w:t>
      </w:r>
    </w:p>
    <w:p w14:paraId="6BCFB21D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记录：应在EDC登记非计划访视类型、触发原因、完成项目与结论；与计划访视的缺失/超窗需同步留痕。</w:t>
      </w:r>
    </w:p>
    <w:p w14:paraId="7E4AB846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远程随访（如适用）</w:t>
      </w:r>
    </w:p>
    <w:p w14:paraId="13AC9CAE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允许形式：电话/视频随访、短信/微信、电子PRO等；仅用于不需要现场检查的项目或作为“先行信息采集”。</w:t>
      </w:r>
    </w:p>
    <w:p w14:paraId="026E3D77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合规：必须符合伦理批准与ICF授权范围；不得收集超授权信息；记录随访方式、时间、参与人员与关键结论。</w:t>
      </w:r>
    </w:p>
    <w:p w14:paraId="7F794A9E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远程随访不能替代研究方案要求的关键实验室/影像/微生物学采样；需尽快安排到院补齐。</w:t>
      </w:r>
    </w:p>
    <w:p w14:paraId="70A192D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追访（留存）策略与失访管理</w:t>
      </w:r>
    </w:p>
    <w:p w14:paraId="30DDF3E3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  <w:bdr w:val="none" w:sz="0" w:space="0"/>
        </w:rPr>
      </w:pPr>
      <w:r>
        <w:t>基线与每次访视的留存动作（必做）</w:t>
      </w:r>
    </w:p>
    <w:p w14:paraId="3CA98241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核对并更新联系方式：本人电话/地址 + 至少2名备用联系人；确认偏好联系方式与可联络时段。</w:t>
      </w:r>
    </w:p>
    <w:p w14:paraId="589B047A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发放随访卡/日程提醒；说明关键访视（W8、EOT、PT-M12/PT-M24）重要性。</w:t>
      </w:r>
    </w:p>
    <w:p w14:paraId="51529967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对高风险人群（既往依从性差、居住流动性高）建立重点名单，提前排程与提醒。</w:t>
      </w:r>
    </w:p>
    <w:p w14:paraId="30596BB3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  <w:bdr w:val="none" w:sz="0" w:space="0"/>
        </w:rPr>
      </w:pPr>
      <w:r>
        <w:t>标准化追访步骤（最小化要求）</w:t>
      </w:r>
    </w:p>
    <w:p w14:paraId="7E391276">
      <w:pPr>
        <w:pStyle w:val="19"/>
        <w:widowControl/>
      </w:pPr>
      <w:r>
        <w:t>当受试者在窗口内未到访或未完成关键项目时，按以下步骤追访并留痕（附录B模板）：</w:t>
      </w:r>
    </w:p>
    <w:p w14:paraId="2AF85001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第1步：窗口内提醒——至少2次电话/短信（建议T-7与T-2），确认预约与交通安排。</w:t>
      </w:r>
    </w:p>
    <w:p w14:paraId="38D2351E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第2步：窗口期内未到访——至少3次电话联系（不同日期/时段），并至少1次书面/电子方式（短信/微信/邮件/信函）。</w:t>
      </w:r>
    </w:p>
    <w:p w14:paraId="26A5EF7D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第3步：窗口结束后14天内仍无反馈——标记为“潜在失访”，升级至中心PI；评估是否可启动被动追溯（需伦理/ICF允许）。</w:t>
      </w:r>
    </w:p>
    <w:p w14:paraId="7B5260A7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第4步：完成规定追访后仍无法获得最小随访数据集——判定为失访（LTFU），填写失访原因与采取的追访措施，进入偏差与趋势监测。</w:t>
      </w:r>
    </w:p>
    <w:p w14:paraId="51FD82D9">
      <w:pPr>
        <w:pStyle w:val="4"/>
        <w:widowControl/>
        <w:numPr>
          <w:ilvl w:val="0"/>
          <w:numId w:val="18"/>
        </w:numPr>
        <w:ind w:left="0" w:leftChars="0" w:firstLine="0" w:firstLineChars="0"/>
        <w:rPr>
          <w:b/>
          <w:bdr w:val="none" w:sz="0" w:space="0"/>
        </w:rPr>
      </w:pPr>
      <w:r>
        <w:t>被动结局追溯（仅在授权范围内）</w:t>
      </w:r>
    </w:p>
    <w:p w14:paraId="229F59D4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前提：受试者未明确撤回同意，且伦理批准与ICF允许被动追溯。</w:t>
      </w:r>
    </w:p>
    <w:p w14:paraId="3D4BDD67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来源：院内病案系统/检验系统、结核登记系统或其他合法来源（按机构政策）。</w:t>
      </w:r>
    </w:p>
    <w:p w14:paraId="6A94D1EF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最小数据集：生存状态、再入院/再治疗信息、关键终点事件线索（如复发/再感染需进一步证据链，见SOP15）。</w:t>
      </w:r>
    </w:p>
    <w:p w14:paraId="2DFAA8D7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留痕：记录追溯日期、来源、获得信息类型与结论；不得记录超范围隐私信息。</w:t>
      </w:r>
    </w:p>
    <w:p w14:paraId="4163FFF0">
      <w:pPr>
        <w:pStyle w:val="4"/>
        <w:widowControl/>
        <w:numPr>
          <w:ilvl w:val="0"/>
          <w:numId w:val="18"/>
        </w:numPr>
        <w:ind w:left="0" w:leftChars="0" w:firstLine="0" w:firstLineChars="0"/>
        <w:rPr>
          <w:b/>
          <w:bdr w:val="none" w:sz="0" w:space="0"/>
        </w:rPr>
      </w:pPr>
      <w:r>
        <w:t>退出研究/撤回同意与失访的区分</w:t>
      </w:r>
    </w:p>
    <w:p w14:paraId="41F0C1B3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撤回同意：受试者明确拒绝进一步数据收集或随访——按相应SOP</w:t>
      </w:r>
      <w:r>
        <w:t>记录范围（治疗/随访/样本/数据）。</w:t>
      </w:r>
    </w:p>
    <w:p w14:paraId="7EFB238F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停止研究治疗但同意随访：应尽最大努力继续收集结局与安全性最小数据集。</w:t>
      </w:r>
    </w:p>
    <w:p w14:paraId="6A784F6A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失访：无法联系或无法获得最小数据集——记录追访过程与证据，纳入相应SOP</w:t>
      </w:r>
      <w:r>
        <w:t>趋势监测与CAPA。</w:t>
      </w:r>
    </w:p>
    <w:p w14:paraId="691F5CF1">
      <w:pPr>
        <w:pStyle w:val="3"/>
        <w:widowControl/>
        <w:numPr>
          <w:numId w:val="0"/>
        </w:numPr>
        <w:ind w:leftChars="0"/>
        <w:rPr>
          <w:b/>
          <w:bdr w:val="none" w:sz="0" w:space="0"/>
        </w:rPr>
      </w:pPr>
      <w:r>
        <w:rPr>
          <w:rFonts w:hint="eastAsia"/>
          <w:lang w:val="en-US" w:eastAsia="zh-CN"/>
        </w:rPr>
        <w:t>8.</w:t>
      </w:r>
      <w:r>
        <w:t>缺失数据处理与留痕（执行口径）</w:t>
      </w:r>
    </w:p>
    <w:p w14:paraId="2EF2FC47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/>
          <w:bdr w:val="none" w:sz="0" w:space="0"/>
        </w:rPr>
      </w:pPr>
      <w:r>
        <w:t>一般原则</w:t>
      </w:r>
    </w:p>
    <w:p w14:paraId="0D191F4A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“不留空”：任何未完成项目必须填写缺失原因代码（附录C）并尽量补充说明。</w:t>
      </w:r>
    </w:p>
    <w:p w14:paraId="55EB73D6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关键终点与安全性数据优先补齐：微生物学结果按SOP16处理；疑似终点事件按SOP15补齐证据链；AE/SAE按SOP10时限上报。</w:t>
      </w:r>
    </w:p>
    <w:p w14:paraId="42A42B90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SAP对缺失数据的统计处理（如非劣效、复合不良结局、复发/再感染）以SAP为准；本SOP仅规范现场记录与留痕。</w:t>
      </w:r>
    </w:p>
    <w:p w14:paraId="1E7206C5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/>
          <w:bdr w:val="none" w:sz="0" w:space="0"/>
        </w:rPr>
      </w:pPr>
      <w:r>
        <w:t>晚到结果/污染/不可评价的处理</w:t>
      </w:r>
    </w:p>
    <w:p w14:paraId="7615E049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培养污染/不可评价：按SOP16尽快补采；若超窗仍不可评价，记录为偏差并按SAP处理。</w:t>
      </w:r>
    </w:p>
    <w:p w14:paraId="08A015A2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晚到结果：以标本采集日期为时间锚；若晚到阳性提示随机化前阳性等情形，按SOP15与SOP20升级处理。</w:t>
      </w:r>
    </w:p>
    <w:p w14:paraId="12B97F37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/>
          <w:bdr w:val="none" w:sz="0" w:space="0"/>
        </w:rPr>
      </w:pPr>
      <w:r>
        <w:t>关键状态字段（建议EDC必填）</w:t>
      </w:r>
    </w:p>
    <w:p w14:paraId="1F30EF4F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访视完成状态：按窗完成/窗外完成/未完成；原因代码；是否触发偏差。</w:t>
      </w:r>
    </w:p>
    <w:p w14:paraId="40BDDEB8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结局状态：存活/死亡/未知；是否发生疑似终点事件；是否已提交CEC。</w:t>
      </w:r>
    </w:p>
    <w:p w14:paraId="2B608F81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联系与追访：联系次数、方式、最后一次成功联系日期、被动追溯是否执行。</w:t>
      </w:r>
    </w:p>
    <w:p w14:paraId="2326FC0A">
      <w:pPr>
        <w:pStyle w:val="3"/>
        <w:widowControl/>
        <w:numPr>
          <w:numId w:val="0"/>
        </w:numPr>
        <w:ind w:leftChars="0"/>
        <w:rPr>
          <w:b/>
          <w:bdr w:val="none" w:sz="0" w:space="0"/>
        </w:rPr>
      </w:pPr>
      <w:r>
        <w:rPr>
          <w:rFonts w:hint="eastAsia"/>
          <w:lang w:val="en-US" w:eastAsia="zh-CN"/>
        </w:rPr>
        <w:t>9.</w:t>
      </w:r>
      <w:r>
        <w:t>数据录入、核查与趋势监测</w:t>
      </w:r>
    </w:p>
    <w:p w14:paraId="2DC88B45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录入时限：计划访视数据建议72小时内录入；涉及SAE/关键安全信号的最小信息应24小时内录入并上报（SOP10）。</w:t>
      </w:r>
    </w:p>
    <w:p w14:paraId="5B49FED1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数据核查：缺失/超窗/失访清单由DM定期输出并推动Query闭环（SOP19）。</w:t>
      </w:r>
    </w:p>
    <w:p w14:paraId="1D9D205F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趋势监测：中心级失访率、超窗率、关键终点缺失率为核心质量指标；达到预设阈值应启动CAPA（SOP20）。</w:t>
      </w:r>
    </w:p>
    <w:p w14:paraId="56C1F793">
      <w:pPr>
        <w:pStyle w:val="3"/>
        <w:widowControl/>
        <w:numPr>
          <w:numId w:val="0"/>
        </w:numPr>
        <w:ind w:leftChars="0"/>
        <w:rPr>
          <w:b/>
          <w:bdr w:val="none" w:sz="0" w:space="0"/>
        </w:rPr>
      </w:pPr>
      <w:r>
        <w:rPr>
          <w:rFonts w:hint="eastAsia"/>
          <w:lang w:val="en-US" w:eastAsia="zh-CN"/>
        </w:rPr>
        <w:t>10.</w:t>
      </w:r>
      <w:bookmarkStart w:id="0" w:name="_GoBack"/>
      <w:bookmarkEnd w:id="0"/>
      <w:r>
        <w:t>方案偏差与CAPA触发（示例）</w:t>
      </w:r>
    </w:p>
    <w:p w14:paraId="75F90B50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关键访视（W8、EOT、PT-M12/PT-M24）未按窗完成且无法补救；</w:t>
      </w:r>
    </w:p>
    <w:p w14:paraId="724D6AF2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队列B M6 Hard Gate所需培养结果缺失/不可评价导致无法判定；</w:t>
      </w:r>
    </w:p>
    <w:p w14:paraId="17046021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重复性超窗或同类缺失在同一中心集中出现；</w:t>
      </w:r>
    </w:p>
    <w:p w14:paraId="6E22ECAA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追访动作未按本SOP执行导致失访。</w:t>
      </w:r>
    </w:p>
    <w:p w14:paraId="7F18EE9B">
      <w:pPr>
        <w:pStyle w:val="164"/>
        <w:widowControl/>
      </w:pPr>
      <w:r>
        <w:t>附录A：访视窗口速查表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C3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4F8C4D5">
            <w:r>
              <w:t>访视节点</w:t>
            </w:r>
          </w:p>
        </w:tc>
        <w:tc>
          <w:tcPr>
            <w:tcW w:w="4320" w:type="dxa"/>
            <w:vAlign w:val="top"/>
          </w:tcPr>
          <w:p w14:paraId="2A4D1856">
            <w:r>
              <w:t>窗口</w:t>
            </w:r>
          </w:p>
        </w:tc>
      </w:tr>
      <w:tr w14:paraId="5B67B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645A68A7">
            <w:r>
              <w:t>V0 筛选</w:t>
            </w:r>
          </w:p>
        </w:tc>
        <w:tc>
          <w:tcPr>
            <w:tcW w:w="4320" w:type="dxa"/>
            <w:vAlign w:val="top"/>
          </w:tcPr>
          <w:p w14:paraId="7E30C952">
            <w:r>
              <w:t>D-7 ~ -1</w:t>
            </w:r>
          </w:p>
        </w:tc>
      </w:tr>
      <w:tr w14:paraId="0426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69F9B74">
            <w:r>
              <w:t>V1 基线</w:t>
            </w:r>
          </w:p>
        </w:tc>
        <w:tc>
          <w:tcPr>
            <w:tcW w:w="4320" w:type="dxa"/>
            <w:vAlign w:val="top"/>
          </w:tcPr>
          <w:p w14:paraId="086EE70C">
            <w:r>
              <w:t>D0</w:t>
            </w:r>
          </w:p>
        </w:tc>
      </w:tr>
      <w:tr w14:paraId="410A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04CD5836">
            <w:r>
              <w:t>W2</w:t>
            </w:r>
          </w:p>
        </w:tc>
        <w:tc>
          <w:tcPr>
            <w:tcW w:w="4320" w:type="dxa"/>
            <w:vAlign w:val="top"/>
          </w:tcPr>
          <w:p w14:paraId="4C185974">
            <w:r>
              <w:t>D14 ±3</w:t>
            </w:r>
          </w:p>
        </w:tc>
      </w:tr>
      <w:tr w14:paraId="73EAC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24CE2135">
            <w:r>
              <w:t>W4</w:t>
            </w:r>
          </w:p>
        </w:tc>
        <w:tc>
          <w:tcPr>
            <w:tcW w:w="4320" w:type="dxa"/>
            <w:vAlign w:val="top"/>
          </w:tcPr>
          <w:p w14:paraId="63E5C758">
            <w:r>
              <w:t>D28 ±3</w:t>
            </w:r>
          </w:p>
        </w:tc>
      </w:tr>
      <w:tr w14:paraId="1CA1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3B1EB7AA">
            <w:r>
              <w:t>W8</w:t>
            </w:r>
          </w:p>
        </w:tc>
        <w:tc>
          <w:tcPr>
            <w:tcW w:w="4320" w:type="dxa"/>
            <w:vAlign w:val="top"/>
          </w:tcPr>
          <w:p w14:paraId="10BF6BC9">
            <w:r>
              <w:t>D56 ±3</w:t>
            </w:r>
          </w:p>
        </w:tc>
      </w:tr>
      <w:tr w14:paraId="42C62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71043F2">
            <w:r>
              <w:t>W12</w:t>
            </w:r>
          </w:p>
        </w:tc>
        <w:tc>
          <w:tcPr>
            <w:tcW w:w="4320" w:type="dxa"/>
            <w:vAlign w:val="top"/>
          </w:tcPr>
          <w:p w14:paraId="6B33515B">
            <w:r>
              <w:t>D84 ±7</w:t>
            </w:r>
          </w:p>
        </w:tc>
      </w:tr>
      <w:tr w14:paraId="786E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00BDE7F9">
            <w:r>
              <w:t>W16（EOT-4m）</w:t>
            </w:r>
          </w:p>
        </w:tc>
        <w:tc>
          <w:tcPr>
            <w:tcW w:w="4320" w:type="dxa"/>
            <w:vAlign w:val="top"/>
          </w:tcPr>
          <w:p w14:paraId="4DE25F59">
            <w:r>
              <w:t>D112 ±7</w:t>
            </w:r>
          </w:p>
        </w:tc>
      </w:tr>
      <w:tr w14:paraId="0B8F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074A47B9">
            <w:r>
              <w:t>W20</w:t>
            </w:r>
          </w:p>
        </w:tc>
        <w:tc>
          <w:tcPr>
            <w:tcW w:w="4320" w:type="dxa"/>
            <w:vAlign w:val="top"/>
          </w:tcPr>
          <w:p w14:paraId="3CEB4AF2">
            <w:r>
              <w:t>D140 ±7</w:t>
            </w:r>
          </w:p>
        </w:tc>
      </w:tr>
      <w:tr w14:paraId="7764C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74353B6E">
            <w:r>
              <w:t>W24（EOT-6m；队列B M6）</w:t>
            </w:r>
          </w:p>
        </w:tc>
        <w:tc>
          <w:tcPr>
            <w:tcW w:w="4320" w:type="dxa"/>
            <w:vAlign w:val="top"/>
          </w:tcPr>
          <w:p w14:paraId="033F550C">
            <w:r>
              <w:t>D168 ±7</w:t>
            </w:r>
          </w:p>
        </w:tc>
      </w:tr>
      <w:tr w14:paraId="2AD1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71C52E8">
            <w:r>
              <w:t>W28</w:t>
            </w:r>
          </w:p>
        </w:tc>
        <w:tc>
          <w:tcPr>
            <w:tcW w:w="4320" w:type="dxa"/>
            <w:vAlign w:val="top"/>
          </w:tcPr>
          <w:p w14:paraId="4E8AA16C">
            <w:r>
              <w:t>D196 ±7</w:t>
            </w:r>
          </w:p>
        </w:tc>
      </w:tr>
    </w:tbl>
    <w:p w14:paraId="06EDCA98">
      <w:r>
        <w:br w:type="page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48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D610099">
            <w:r>
              <w:t>W32</w:t>
            </w:r>
          </w:p>
        </w:tc>
        <w:tc>
          <w:tcPr>
            <w:tcW w:w="4320" w:type="dxa"/>
            <w:vAlign w:val="top"/>
          </w:tcPr>
          <w:p w14:paraId="2503113B">
            <w:r>
              <w:t>D224 ±7</w:t>
            </w:r>
          </w:p>
        </w:tc>
      </w:tr>
      <w:tr w14:paraId="42C8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F922C1E">
            <w:r>
              <w:t>W36（EOT-9m）</w:t>
            </w:r>
          </w:p>
        </w:tc>
        <w:tc>
          <w:tcPr>
            <w:tcW w:w="4320" w:type="dxa"/>
            <w:vAlign w:val="top"/>
          </w:tcPr>
          <w:p w14:paraId="168DC117">
            <w:r>
              <w:t>D252 ±7</w:t>
            </w:r>
          </w:p>
        </w:tc>
      </w:tr>
      <w:tr w14:paraId="1CF87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FE38815">
            <w:r>
              <w:t>ET 提前终止</w:t>
            </w:r>
          </w:p>
        </w:tc>
        <w:tc>
          <w:tcPr>
            <w:tcW w:w="4320" w:type="dxa"/>
            <w:vAlign w:val="top"/>
          </w:tcPr>
          <w:p w14:paraId="260EF249">
            <w:r>
              <w:t>任意时间</w:t>
            </w:r>
          </w:p>
        </w:tc>
      </w:tr>
      <w:tr w14:paraId="7BE5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72B30F60">
            <w:r>
              <w:t>FV1 停药后+1月</w:t>
            </w:r>
          </w:p>
        </w:tc>
        <w:tc>
          <w:tcPr>
            <w:tcW w:w="4320" w:type="dxa"/>
            <w:vAlign w:val="top"/>
          </w:tcPr>
          <w:p w14:paraId="04898FC3">
            <w:r>
              <w:t>±14天</w:t>
            </w:r>
          </w:p>
        </w:tc>
      </w:tr>
      <w:tr w14:paraId="3EA6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20ABEE90">
            <w:r>
              <w:t>FV2 停药后+3月</w:t>
            </w:r>
          </w:p>
        </w:tc>
        <w:tc>
          <w:tcPr>
            <w:tcW w:w="4320" w:type="dxa"/>
            <w:vAlign w:val="top"/>
          </w:tcPr>
          <w:p w14:paraId="70439A42">
            <w:r>
              <w:t>±14天</w:t>
            </w:r>
          </w:p>
        </w:tc>
      </w:tr>
      <w:tr w14:paraId="5618F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690BA798">
            <w:r>
              <w:t>FV3 停药后+6月</w:t>
            </w:r>
          </w:p>
        </w:tc>
        <w:tc>
          <w:tcPr>
            <w:tcW w:w="4320" w:type="dxa"/>
            <w:vAlign w:val="top"/>
          </w:tcPr>
          <w:p w14:paraId="68E2B39A">
            <w:r>
              <w:t>±14天</w:t>
            </w:r>
          </w:p>
        </w:tc>
      </w:tr>
      <w:tr w14:paraId="1045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9FCD316">
            <w:r>
              <w:t>FV4 停药后+9月</w:t>
            </w:r>
          </w:p>
        </w:tc>
        <w:tc>
          <w:tcPr>
            <w:tcW w:w="4320" w:type="dxa"/>
            <w:vAlign w:val="top"/>
          </w:tcPr>
          <w:p w14:paraId="1CD7E3EC">
            <w:r>
              <w:t>±14天</w:t>
            </w:r>
          </w:p>
        </w:tc>
      </w:tr>
      <w:tr w14:paraId="0F9E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472FBA56">
            <w:r>
              <w:t>FV5 停药后+12月</w:t>
            </w:r>
          </w:p>
        </w:tc>
        <w:tc>
          <w:tcPr>
            <w:tcW w:w="4320" w:type="dxa"/>
            <w:vAlign w:val="top"/>
          </w:tcPr>
          <w:p w14:paraId="48548163">
            <w:r>
              <w:t>±14天</w:t>
            </w:r>
          </w:p>
        </w:tc>
      </w:tr>
      <w:tr w14:paraId="7A0E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B31F856">
            <w:r>
              <w:t>FV6 停药后+18月</w:t>
            </w:r>
          </w:p>
        </w:tc>
        <w:tc>
          <w:tcPr>
            <w:tcW w:w="4320" w:type="dxa"/>
            <w:vAlign w:val="top"/>
          </w:tcPr>
          <w:p w14:paraId="13DEF9E3">
            <w:r>
              <w:t>±14天</w:t>
            </w:r>
          </w:p>
        </w:tc>
      </w:tr>
      <w:tr w14:paraId="250B4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0F85E377">
            <w:r>
              <w:t>FV7 停药后+24月</w:t>
            </w:r>
          </w:p>
        </w:tc>
        <w:tc>
          <w:tcPr>
            <w:tcW w:w="4320" w:type="dxa"/>
            <w:vAlign w:val="top"/>
          </w:tcPr>
          <w:p w14:paraId="587B2935">
            <w:r>
              <w:t>±14天</w:t>
            </w:r>
          </w:p>
        </w:tc>
      </w:tr>
    </w:tbl>
    <w:p w14:paraId="335FC7E0"/>
    <w:p w14:paraId="34A6F5BF">
      <w:pPr>
        <w:pStyle w:val="3"/>
      </w:pPr>
      <w:r>
        <w:t>附录B：追访/联系尝试记录表（模板最小字段）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5472"/>
      </w:tblGrid>
      <w:tr w14:paraId="0DE96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C0E6A40">
            <w:r>
              <w:t>字段</w:t>
            </w:r>
          </w:p>
        </w:tc>
        <w:tc>
          <w:tcPr>
            <w:tcW w:w="5472" w:type="dxa"/>
            <w:vAlign w:val="top"/>
          </w:tcPr>
          <w:p w14:paraId="5D07805E">
            <w:r>
              <w:t>说明</w:t>
            </w:r>
          </w:p>
        </w:tc>
      </w:tr>
      <w:tr w14:paraId="1A40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24C960A">
            <w:r>
              <w:t>受试者编号/中心</w:t>
            </w:r>
          </w:p>
        </w:tc>
        <w:tc>
          <w:tcPr>
            <w:tcW w:w="5472" w:type="dxa"/>
            <w:vAlign w:val="top"/>
          </w:tcPr>
          <w:p w14:paraId="1662B6C2">
            <w:r>
              <w:t>脱敏编号；中心代码</w:t>
            </w:r>
          </w:p>
        </w:tc>
      </w:tr>
      <w:tr w14:paraId="09341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62FD6AB0">
            <w:r>
              <w:t>目标访视/目标日期/窗口</w:t>
            </w:r>
          </w:p>
        </w:tc>
        <w:tc>
          <w:tcPr>
            <w:tcW w:w="5472" w:type="dxa"/>
            <w:vAlign w:val="top"/>
          </w:tcPr>
          <w:p w14:paraId="513A51A3">
            <w:r>
              <w:t>例如W24；Day168±7</w:t>
            </w:r>
          </w:p>
        </w:tc>
      </w:tr>
      <w:tr w14:paraId="09A0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07C8165">
            <w:r>
              <w:t>联系尝试记录</w:t>
            </w:r>
          </w:p>
        </w:tc>
        <w:tc>
          <w:tcPr>
            <w:tcW w:w="5472" w:type="dxa"/>
            <w:vAlign w:val="top"/>
          </w:tcPr>
          <w:p w14:paraId="74EEDEB0">
            <w:r>
              <w:t>日期/时间；方式（电话/短信/微信/家访/邮件）；结果（成功/未接/拒绝等）；备注</w:t>
            </w:r>
          </w:p>
        </w:tc>
      </w:tr>
      <w:tr w14:paraId="5F7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4723B116">
            <w:r>
              <w:t>升级记录</w:t>
            </w:r>
          </w:p>
        </w:tc>
        <w:tc>
          <w:tcPr>
            <w:tcW w:w="5472" w:type="dxa"/>
            <w:vAlign w:val="top"/>
          </w:tcPr>
          <w:p w14:paraId="2138F770">
            <w:r>
              <w:t>升级至PI/PMO日期；采取措施</w:t>
            </w:r>
          </w:p>
        </w:tc>
      </w:tr>
      <w:tr w14:paraId="1A76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4652BA25">
            <w:r>
              <w:t>被动追溯（如适用）</w:t>
            </w:r>
          </w:p>
        </w:tc>
        <w:tc>
          <w:tcPr>
            <w:tcW w:w="5472" w:type="dxa"/>
            <w:vAlign w:val="top"/>
          </w:tcPr>
          <w:p w14:paraId="62B5FC33">
            <w:r>
              <w:t>来源；日期；获得信息类型；结论</w:t>
            </w:r>
          </w:p>
        </w:tc>
      </w:tr>
      <w:tr w14:paraId="0038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089A2D3E">
            <w:r>
              <w:t>最终状态</w:t>
            </w:r>
          </w:p>
        </w:tc>
        <w:tc>
          <w:tcPr>
            <w:tcW w:w="5472" w:type="dxa"/>
            <w:vAlign w:val="top"/>
          </w:tcPr>
          <w:p w14:paraId="58D6B3A6">
            <w:r>
              <w:t>完成/窗外完成/潜在失访/失访/撤回同意/死亡</w:t>
            </w:r>
          </w:p>
        </w:tc>
      </w:tr>
      <w:tr w14:paraId="0F72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EAEB9E9">
            <w:r>
              <w:t>记录人/日期</w:t>
            </w:r>
          </w:p>
        </w:tc>
        <w:tc>
          <w:tcPr>
            <w:tcW w:w="5472" w:type="dxa"/>
            <w:vAlign w:val="top"/>
          </w:tcPr>
          <w:p w14:paraId="4B985138">
            <w:r>
              <w:t>CRC/研究者签名日期</w:t>
            </w:r>
          </w:p>
        </w:tc>
      </w:tr>
    </w:tbl>
    <w:p w14:paraId="1DFAAE1D"/>
    <w:p w14:paraId="27E9953F">
      <w:pPr>
        <w:pStyle w:val="3"/>
      </w:pPr>
      <w:r>
        <w:t>附录C：缺失原因代码建议（可用于EDC下拉）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6912"/>
      </w:tblGrid>
      <w:tr w14:paraId="5D28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46860AFA">
            <w:r>
              <w:t>代码</w:t>
            </w:r>
          </w:p>
        </w:tc>
        <w:tc>
          <w:tcPr>
            <w:tcW w:w="6912" w:type="dxa"/>
            <w:vAlign w:val="top"/>
          </w:tcPr>
          <w:p w14:paraId="38586AE7">
            <w:r>
              <w:t>含义（示例）</w:t>
            </w:r>
          </w:p>
        </w:tc>
      </w:tr>
      <w:tr w14:paraId="7B61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66786819">
            <w:r>
              <w:t>ND-PT</w:t>
            </w:r>
          </w:p>
        </w:tc>
        <w:tc>
          <w:tcPr>
            <w:tcW w:w="6912" w:type="dxa"/>
            <w:vAlign w:val="top"/>
          </w:tcPr>
          <w:p w14:paraId="324C604C">
            <w:r>
              <w:t>受试者未到访/未响应（未完成追访动作）</w:t>
            </w:r>
          </w:p>
        </w:tc>
      </w:tr>
      <w:tr w14:paraId="5AFD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452BB425">
            <w:r>
              <w:t>ND-LTFU</w:t>
            </w:r>
          </w:p>
        </w:tc>
        <w:tc>
          <w:tcPr>
            <w:tcW w:w="6912" w:type="dxa"/>
            <w:vAlign w:val="top"/>
          </w:tcPr>
          <w:p w14:paraId="61E5C2B5">
            <w:r>
              <w:t>完成追访动作后仍无法联系（失访）</w:t>
            </w:r>
          </w:p>
        </w:tc>
      </w:tr>
      <w:tr w14:paraId="2763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2FA88A5B">
            <w:r>
              <w:t>REF</w:t>
            </w:r>
          </w:p>
        </w:tc>
        <w:tc>
          <w:tcPr>
            <w:tcW w:w="6912" w:type="dxa"/>
            <w:vAlign w:val="top"/>
          </w:tcPr>
          <w:p w14:paraId="659CEE73">
            <w:r>
              <w:t>受试者拒绝该项检查/问卷</w:t>
            </w:r>
          </w:p>
        </w:tc>
      </w:tr>
      <w:tr w14:paraId="18F5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7AA70E9D">
            <w:r>
              <w:t>MED</w:t>
            </w:r>
          </w:p>
        </w:tc>
        <w:tc>
          <w:tcPr>
            <w:tcW w:w="6912" w:type="dxa"/>
            <w:vAlign w:val="top"/>
          </w:tcPr>
          <w:p w14:paraId="77110DE7">
            <w:r>
              <w:t>因医学原因无法完成（需说明）</w:t>
            </w:r>
          </w:p>
        </w:tc>
      </w:tr>
      <w:tr w14:paraId="4076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06DF3BE9">
            <w:r>
              <w:t>TECH</w:t>
            </w:r>
          </w:p>
        </w:tc>
        <w:tc>
          <w:tcPr>
            <w:tcW w:w="6912" w:type="dxa"/>
            <w:vAlign w:val="top"/>
          </w:tcPr>
          <w:p w14:paraId="5D2F286E">
            <w:r>
              <w:t>技术/设备故障</w:t>
            </w:r>
          </w:p>
        </w:tc>
      </w:tr>
      <w:tr w14:paraId="6B8A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153873E9">
            <w:r>
              <w:t>LAB</w:t>
            </w:r>
          </w:p>
        </w:tc>
        <w:tc>
          <w:tcPr>
            <w:tcW w:w="6912" w:type="dxa"/>
            <w:vAlign w:val="top"/>
          </w:tcPr>
          <w:p w14:paraId="1916044C">
            <w:r>
              <w:t>标本问题/污染/不可评价（见SOP16）</w:t>
            </w:r>
          </w:p>
        </w:tc>
      </w:tr>
      <w:tr w14:paraId="2AB28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40898E24">
            <w:r>
              <w:t>PEND</w:t>
            </w:r>
          </w:p>
        </w:tc>
        <w:tc>
          <w:tcPr>
            <w:tcW w:w="6912" w:type="dxa"/>
            <w:vAlign w:val="top"/>
          </w:tcPr>
          <w:p w14:paraId="35EAD59F">
            <w:r>
              <w:t>结果待回报（晚到结果）</w:t>
            </w:r>
          </w:p>
        </w:tc>
      </w:tr>
      <w:tr w14:paraId="2B35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793DF180">
            <w:r>
              <w:t>NA</w:t>
            </w:r>
          </w:p>
        </w:tc>
        <w:tc>
          <w:tcPr>
            <w:tcW w:w="6912" w:type="dxa"/>
            <w:vAlign w:val="top"/>
          </w:tcPr>
          <w:p w14:paraId="3FC571B7">
            <w:r>
              <w:t>不适用（按方案不需做）</w:t>
            </w:r>
          </w:p>
        </w:tc>
      </w:tr>
      <w:tr w14:paraId="126CD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2C9E940F">
            <w:r>
              <w:t>OTH</w:t>
            </w:r>
          </w:p>
        </w:tc>
        <w:tc>
          <w:tcPr>
            <w:tcW w:w="6912" w:type="dxa"/>
            <w:vAlign w:val="top"/>
          </w:tcPr>
          <w:p w14:paraId="4FD0D169">
            <w:r>
              <w:t>其他（需文本说明）</w:t>
            </w:r>
          </w:p>
        </w:tc>
      </w:tr>
    </w:tbl>
    <w:p w14:paraId="2ED53809"/>
    <w:p w14:paraId="51C6ADAD">
      <w:pPr>
        <w:pStyle w:val="164"/>
        <w:widowControl/>
      </w:pPr>
      <w:r>
        <w:t>附录D：失访升级决策树（简版）</w:t>
      </w:r>
    </w:p>
    <w:p w14:paraId="6345FB4F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窗口内未到访 → 启动提醒（T-7/T-2） → 窗口内仍未完成 → 3次电话+1次书面/电子方式 →</w:t>
      </w:r>
    </w:p>
    <w:p w14:paraId="36A1CFF6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窗口结束后≤14天仍无反馈 → 标记潜在失访并升级PI → 评估被动追溯（若允许） →</w:t>
      </w:r>
    </w:p>
    <w:p w14:paraId="4349E3C8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仍无法获得最小数据集 → 判定失访（LTFU）并进入偏差/CAPA趋势监测。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A9DB"/>
    <w:multiLevelType w:val="singleLevel"/>
    <w:tmpl w:val="8B6FA9D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8CBECCD7"/>
    <w:multiLevelType w:val="singleLevel"/>
    <w:tmpl w:val="8CBECCD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9461A5FC"/>
    <w:multiLevelType w:val="singleLevel"/>
    <w:tmpl w:val="9461A5FC"/>
    <w:lvl w:ilvl="0" w:tentative="0">
      <w:start w:val="3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3">
    <w:nsid w:val="A00380A6"/>
    <w:multiLevelType w:val="singleLevel"/>
    <w:tmpl w:val="A00380A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AF9B7AEF"/>
    <w:multiLevelType w:val="singleLevel"/>
    <w:tmpl w:val="AF9B7AE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B98484E5"/>
    <w:multiLevelType w:val="singleLevel"/>
    <w:tmpl w:val="B98484E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BA73B9EA"/>
    <w:multiLevelType w:val="singleLevel"/>
    <w:tmpl w:val="BA73B9E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BED3CDD6"/>
    <w:multiLevelType w:val="singleLevel"/>
    <w:tmpl w:val="BED3CDD6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C03F2ED9"/>
    <w:multiLevelType w:val="singleLevel"/>
    <w:tmpl w:val="C03F2ED9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9">
    <w:nsid w:val="C8FB6F56"/>
    <w:multiLevelType w:val="singleLevel"/>
    <w:tmpl w:val="C8FB6F5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0">
    <w:nsid w:val="CBA52965"/>
    <w:multiLevelType w:val="singleLevel"/>
    <w:tmpl w:val="CBA5296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D24601AA"/>
    <w:multiLevelType w:val="singleLevel"/>
    <w:tmpl w:val="D24601A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E12D845C"/>
    <w:multiLevelType w:val="singleLevel"/>
    <w:tmpl w:val="E12D845C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13">
    <w:nsid w:val="F624ADB1"/>
    <w:multiLevelType w:val="singleLevel"/>
    <w:tmpl w:val="F624ADB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9">
    <w:nsid w:val="067EEE38"/>
    <w:multiLevelType w:val="singleLevel"/>
    <w:tmpl w:val="067EEE3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214A7216"/>
    <w:multiLevelType w:val="singleLevel"/>
    <w:tmpl w:val="214A721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1">
    <w:nsid w:val="3AFFDB40"/>
    <w:multiLevelType w:val="singleLevel"/>
    <w:tmpl w:val="3AFFDB4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2">
    <w:nsid w:val="3CBA7D06"/>
    <w:multiLevelType w:val="singleLevel"/>
    <w:tmpl w:val="3CBA7D0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3">
    <w:nsid w:val="3D551017"/>
    <w:multiLevelType w:val="singleLevel"/>
    <w:tmpl w:val="3D55101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4">
    <w:nsid w:val="3F79F54D"/>
    <w:multiLevelType w:val="singleLevel"/>
    <w:tmpl w:val="3F79F54D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5">
    <w:nsid w:val="75347B1A"/>
    <w:multiLevelType w:val="singleLevel"/>
    <w:tmpl w:val="75347B1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5"/>
  </w:num>
  <w:num w:numId="2">
    <w:abstractNumId w:val="18"/>
  </w:num>
  <w:num w:numId="3">
    <w:abstractNumId w:val="7"/>
  </w:num>
  <w:num w:numId="4">
    <w:abstractNumId w:val="16"/>
  </w:num>
  <w:num w:numId="5">
    <w:abstractNumId w:val="14"/>
  </w:num>
  <w:num w:numId="6">
    <w:abstractNumId w:val="17"/>
  </w:num>
  <w:num w:numId="7">
    <w:abstractNumId w:val="20"/>
  </w:num>
  <w:num w:numId="8">
    <w:abstractNumId w:val="25"/>
  </w:num>
  <w:num w:numId="9">
    <w:abstractNumId w:val="23"/>
  </w:num>
  <w:num w:numId="10">
    <w:abstractNumId w:val="24"/>
  </w:num>
  <w:num w:numId="11">
    <w:abstractNumId w:val="4"/>
  </w:num>
  <w:num w:numId="12">
    <w:abstractNumId w:val="9"/>
  </w:num>
  <w:num w:numId="13">
    <w:abstractNumId w:val="6"/>
  </w:num>
  <w:num w:numId="14">
    <w:abstractNumId w:val="3"/>
  </w:num>
  <w:num w:numId="15">
    <w:abstractNumId w:val="8"/>
  </w:num>
  <w:num w:numId="16">
    <w:abstractNumId w:val="22"/>
  </w:num>
  <w:num w:numId="17">
    <w:abstractNumId w:val="21"/>
  </w:num>
  <w:num w:numId="18">
    <w:abstractNumId w:val="2"/>
  </w:num>
  <w:num w:numId="19">
    <w:abstractNumId w:val="10"/>
  </w:num>
  <w:num w:numId="20">
    <w:abstractNumId w:val="1"/>
  </w:num>
  <w:num w:numId="21">
    <w:abstractNumId w:val="12"/>
  </w:num>
  <w:num w:numId="22">
    <w:abstractNumId w:val="13"/>
  </w:num>
  <w:num w:numId="23">
    <w:abstractNumId w:val="0"/>
  </w:num>
  <w:num w:numId="24">
    <w:abstractNumId w:val="11"/>
  </w:num>
  <w:num w:numId="25">
    <w:abstractNumId w:val="5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A913D0"/>
    <w:rsid w:val="1FFC578E"/>
    <w:rsid w:val="51D0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3580</Words>
  <Characters>4324</Characters>
  <Lines>0</Lines>
  <Paragraphs>0</Paragraphs>
  <TotalTime>5</TotalTime>
  <ScaleCrop>false</ScaleCrop>
  <LinksUpToDate>false</LinksUpToDate>
  <CharactersWithSpaces>4401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2026-03-10T07:58:01Z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eyJoZGlkIjoiOGNmZTEzMzZiOTZlNTgwZjdhNTUyOTczZTg0ZWQ3ZDAiLCJ1c2VySWQiOiI5NjExNDM1MzcifQ==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177028F9ABAF49FA9A777966B0FB89BC_12</vt:lpwstr>
  </property>
</Properties>
</file>