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F956A">
      <w:pPr>
        <w:pStyle w:val="31"/>
        <w:widowControl/>
        <w:ind w:firstLine="1928" w:firstLineChars="600"/>
      </w:pPr>
      <w:r>
        <w:t>TDSC 研究标准操作规程（SOP）</w:t>
      </w:r>
    </w:p>
    <w:p w14:paraId="0C034C2A">
      <w:pPr>
        <w:pStyle w:val="31"/>
        <w:widowControl/>
        <w:ind w:firstLine="1928" w:firstLineChars="600"/>
      </w:pPr>
      <w:r>
        <w:t>SOP1</w:t>
      </w:r>
      <w:r>
        <w:rPr>
          <w:rFonts w:hint="eastAsia"/>
          <w:lang w:val="en-US" w:eastAsia="zh-CN"/>
        </w:rPr>
        <w:t>6</w:t>
      </w:r>
      <w:r>
        <w:t>：影像采集与集中判读/质控</w:t>
      </w:r>
    </w:p>
    <w:p w14:paraId="5A84ACD7">
      <w:pPr>
        <w:pStyle w:val="31"/>
        <w:widowControl/>
      </w:pPr>
      <w:r>
        <w:t>Imaging Acquisition, Central Reading and Quality Control (CXR/CT)</w:t>
      </w:r>
    </w:p>
    <w:p w14:paraId="45D1D63C">
      <w:r>
        <w:t>版本：v1.1    日期：2026-03-04    适用：TDSC 全体受试者（CXR/CT 采集、去标识、上传、集中判读与质控）</w:t>
      </w:r>
    </w:p>
    <w:p w14:paraId="6798B28F">
      <w:r>
        <w:t>依据/关联：TDSC Study Protocol V2.0（2026-02-28）；SOP02（队列B微生物学Hard Gate）；SOP15（结局评估与CEC裁决材料包）；SOP12（信息隔离与受控访问要素）。</w:t>
      </w:r>
    </w:p>
    <w:p w14:paraId="2BFA233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47CEF2D1">
      <w:pPr>
        <w:pStyle w:val="19"/>
        <w:widowControl/>
      </w:pPr>
      <w:r>
        <w:t>本SOP用于规范TDSC研究中胸部影像（CXR/CT）的采集、去标识、文件准备与上传、集中判读流程以及质量控制（QC），确保各中心影像数据可比、可追溯、可用于预设分析。</w:t>
      </w:r>
    </w:p>
    <w:p w14:paraId="385D0FED">
      <w:pPr>
        <w:pStyle w:val="19"/>
        <w:widowControl/>
      </w:pPr>
      <w:r>
        <w:t>本SOP同时规定CXR与CT一致性评估（cross-modality consistency）所需的最小数据元素、判读表字段与一致性抽检机制。</w:t>
      </w:r>
    </w:p>
    <w:p w14:paraId="4B99478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3DCD8D87">
      <w:pPr>
        <w:pStyle w:val="16"/>
        <w:bidi w:val="0"/>
        <w:ind w:left="360" w:leftChars="0" w:hanging="360" w:firstLineChars="0"/>
      </w:pPr>
      <w:r>
        <w:t>影像类型：胸部X线（CXR）与胸部CT（CT）。</w:t>
      </w:r>
    </w:p>
    <w:p w14:paraId="0232940A">
      <w:pPr>
        <w:pStyle w:val="16"/>
        <w:bidi w:val="0"/>
        <w:spacing w:after="0" w:line="240" w:lineRule="auto"/>
        <w:ind w:left="0" w:leftChars="0" w:firstLine="0" w:firstLineChars="0"/>
      </w:pPr>
      <w:r>
        <w:t>用途边界：影像学用于疗效评估与研究分析。按照研究方案，CXR为预设影像学评估与关键算法的主导依据；CT作为补充影像用于安全管理与探索性分析。队列B M6随机资格判定仅依据微生物学Hard Gate（见SOP02），影像不作为资格标准。CT量化指标、集中判读结论及影像AI/数字工具输出在研究期间不用于队列分配、随机化或停药/继续治疗决策，按项目治理要求延迟披露/受控访问；任何涉及受试者安全的重大发现不得盲化，需按第8节规定及时回报并留痕。</w:t>
      </w:r>
    </w:p>
    <w:p w14:paraId="2A18D29D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术语与缩略语</w:t>
      </w:r>
    </w:p>
    <w:p w14:paraId="496CA81B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CXR：Chest X-ray，胸部X线（推荐PA位）。</w:t>
      </w:r>
    </w:p>
    <w:p w14:paraId="046AC1AE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CT：Chest CT，胸部CT。</w:t>
      </w:r>
      <w:bookmarkStart w:id="0" w:name="_GoBack"/>
      <w:bookmarkEnd w:id="0"/>
    </w:p>
    <w:p w14:paraId="6FD20401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DICOM：医学影像与通信标准格式。</w:t>
      </w:r>
    </w:p>
    <w:p w14:paraId="43CCBB67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去标识（De-identification）：移除DICOM标签及像素中可能包含的直接身份信息（如姓名、证件号、住院号等）。</w:t>
      </w:r>
    </w:p>
    <w:p w14:paraId="19EAEB6E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集中判读（Central reading）：由中心化阅片团队按统一判读表进行独立判读、一致性评估与仲裁。</w:t>
      </w:r>
    </w:p>
    <w:p w14:paraId="41716148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技术QC（Technical QC）：对影像文件完整性、清晰度、标注/去标识、参数记录、上传一致性等进行核查。</w:t>
      </w:r>
    </w:p>
    <w:p w14:paraId="309DBB7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职责分工</w:t>
      </w:r>
    </w:p>
    <w:p w14:paraId="4E8FA9FE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分中心影像负责人/研究医生：确保按随访表与方案完成影像采集；对临床急需处置的影像发现负责临床管理。</w:t>
      </w:r>
    </w:p>
    <w:p w14:paraId="4A3B4ED0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分中心放射技师/影像科：执行采集、导出DICOM、初步质量检查、配合去标识与上传。</w:t>
      </w:r>
    </w:p>
    <w:p w14:paraId="419AE40D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CRC/数据管理员：核对影像与访视对应关系、命名规则、上传时限、影像接收回执；维护上传日志。</w:t>
      </w:r>
    </w:p>
    <w:p w14:paraId="10A50513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中心影像QC团队：执行二次技术QC、退回/补传、问题闭环；维护QC日志。</w:t>
      </w:r>
    </w:p>
    <w:p w14:paraId="41A37F8B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中心阅片员（Reader 1/2）与仲裁阅片员（Adjudicator）：按判读表独立判读、产生结构化输出并处理分歧。</w:t>
      </w:r>
    </w:p>
    <w:p w14:paraId="11EB9E10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数据管理团队：将判读结果对接EDC/eCRF字段，完成逻辑核查与锁定。</w:t>
      </w:r>
    </w:p>
    <w:p w14:paraId="2E546BD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影像采集要求</w:t>
      </w:r>
    </w:p>
    <w:p w14:paraId="795358C8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采集时点（对接随访表/方案）</w:t>
      </w:r>
    </w:p>
    <w:p w14:paraId="569A3921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基本原则：按TDSC随访表规定的访视时点采集CXR与CT；必要时可因复阳/复发/临床恶化增加采集并记录触发原因。</w:t>
      </w:r>
    </w:p>
    <w:p w14:paraId="743CC39A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最低要求（至少）：基线（筛选/入组）、治疗第8周（约M2）、疗程结束（EOT）、停药后6个月（PT-M6）、停药后12个月（PT-M12）与停药后24个月（PT-M24）。队列B在M6决策点（治疗满6个月）需按方案完成用于“临床与影像学安全底线”的关键CXR评估（不用于Hard Gate资格）。</w:t>
      </w:r>
    </w:p>
    <w:p w14:paraId="2D026E2D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CT采集频率：按随访表/访视窗口与各中心已验证CT协议执行，原则上治疗期每2–3个月一次、停药后每3–6个月一次；实际采集日期、窗口偏差与原因需记录于上传日志并在EDC留痕。</w:t>
      </w:r>
    </w:p>
    <w:p w14:paraId="52D78420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CXR采集最小要求</w:t>
      </w:r>
    </w:p>
    <w:p w14:paraId="5E3E67FD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推荐体位：PA位（后前位）；如中心常规为AP位需记录体位并保持受试者随访尽量一致。</w:t>
      </w:r>
    </w:p>
    <w:p w14:paraId="6B8DDB34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尽量全吸气屏气；避免旋转；确保双肺全野入片。</w:t>
      </w:r>
    </w:p>
    <w:p w14:paraId="2CAC5425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避免在影像上“烧录（burn-in）”姓名/住院号等身份信息；如设备不可避免烧录，必须在去标识阶段完成像素遮挡并留痕。</w:t>
      </w:r>
    </w:p>
    <w:p w14:paraId="7715EAE1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导出格式：优先DICOM；如仅能导出图像文件（JPEG/PNG），需同时提供关键元数据记录（采集日期、体位、设备型号等），并在上传日志中标注。</w:t>
      </w:r>
    </w:p>
    <w:p w14:paraId="42C31DDE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CT采集最小要求</w:t>
      </w:r>
    </w:p>
    <w:p w14:paraId="11817D25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建议非增强胸部CT；按各中心标准胸部CT协议执行并保证纵向随访尽量一致。</w:t>
      </w:r>
    </w:p>
    <w:p w14:paraId="74A218C4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要求全肺覆盖、全吸气屏气；建议保存薄层原始数据（如中心常规可用），并记录关键参数（层厚/重建核/是否低剂量等）。</w:t>
      </w:r>
    </w:p>
    <w:p w14:paraId="1EF78BBC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导出格式：必须为DICOM（优先包含原始序列与重建序列）；如有定位像/Scout/Topogram亦建议一并保留用于探索性一致性分析。</w:t>
      </w:r>
    </w:p>
    <w:p w14:paraId="7D3200D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去标识与文件准备</w:t>
      </w:r>
    </w:p>
    <w:p w14:paraId="704D8B94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b/>
          <w:bdr w:val="none" w:sz="0" w:space="0"/>
        </w:rPr>
      </w:pPr>
      <w:r>
        <w:t>去标识原则</w:t>
      </w:r>
    </w:p>
    <w:p w14:paraId="300A474D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去标识应同时覆盖：①DICOM标签（header）；②像素中可能存在的烧录信息（burn-in）；③文件名/压缩包名。</w:t>
      </w:r>
    </w:p>
    <w:p w14:paraId="1306CB2F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去标识后仍需保留：研究编号（Subject ID）、中心编号（Site ID）、访视代码（Visit Code）、检查日期（仅保留年月日）、模态（CXR/CT）等研究所需最小信息。</w:t>
      </w:r>
    </w:p>
    <w:p w14:paraId="268B7BC9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各中心需维护“影像身份映射表”（Subject ID ↔ 医院信息），单独保存且不随影像上传。</w:t>
      </w:r>
    </w:p>
    <w:p w14:paraId="0ABAFE3D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b/>
          <w:bdr w:val="none" w:sz="0" w:space="0"/>
        </w:rPr>
      </w:pPr>
      <w:r>
        <w:t>去标识操作流程（最小步骤）</w:t>
      </w:r>
    </w:p>
    <w:p w14:paraId="1F42CEB4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步骤1：从PACS/工作站导出原始DICOM至受控工作目录（仅授权人员可访问）。</w:t>
      </w:r>
    </w:p>
    <w:p w14:paraId="18F5DB75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步骤2：使用合规工具进行DICOM去标识（删除/替换患者姓名、ID、出生日期、医院号、检查号等直接识别字段）；保留研究所需字段。</w:t>
      </w:r>
    </w:p>
    <w:p w14:paraId="7B9620F0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步骤3：检查是否存在burn-in信息；如存在，进行像素遮挡/裁切并记录处理方式。</w:t>
      </w:r>
    </w:p>
    <w:p w14:paraId="0CB4DB20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步骤4：生成去标识后文件清单（序列数、切片数、文件大小）并完成本地复核签字（见附录A）。</w:t>
      </w:r>
    </w:p>
    <w:p w14:paraId="1C4EFF34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步骤5：按命名规则打包（ZIP），准备上传。</w:t>
      </w:r>
    </w:p>
    <w:p w14:paraId="19FDC67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上传格式、命名规则与接收确认</w:t>
      </w:r>
    </w:p>
    <w:p w14:paraId="55F39010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  <w:bdr w:val="none" w:sz="0" w:space="0"/>
        </w:rPr>
      </w:pPr>
      <w:r>
        <w:t>推荐上传格式</w:t>
      </w:r>
    </w:p>
    <w:p w14:paraId="403AFA49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首选：DICOM（压缩包ZIP），保留目录结构；每次检查一个压缩包。</w:t>
      </w:r>
    </w:p>
    <w:p w14:paraId="3FF5EC9F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不推荐：仅上传截图或报告PDF替代影像；如确有客观限制，须经中心影像QC团队书面批准并记录偏差。</w:t>
      </w:r>
    </w:p>
    <w:p w14:paraId="74019126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上传通道：使用研究指定的安全平台（EDC影像模块/独立影像平台/加密SFTP等）；禁止通过个人社交软件或非加密邮箱传输。</w:t>
      </w:r>
    </w:p>
    <w:p w14:paraId="660BF0C1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  <w:bdr w:val="none" w:sz="0" w:space="0"/>
        </w:rPr>
      </w:pPr>
      <w:r>
        <w:t>文件命名规则（示例）</w:t>
      </w:r>
    </w:p>
    <w:p w14:paraId="54ED8B61">
      <w:pPr>
        <w:pStyle w:val="19"/>
        <w:widowControl/>
      </w:pPr>
      <w:r>
        <w:t>统一命名模板（建议）：TDSC_&lt;SiteID&gt;_&lt;SubjectID&gt;_&lt;VisitCode&gt;_&lt;Modality&gt;_&lt;YYYYMMDD&gt;.zip</w:t>
      </w:r>
    </w:p>
    <w:p w14:paraId="1FBF46B8">
      <w:pPr>
        <w:pStyle w:val="19"/>
        <w:widowControl/>
      </w:pPr>
      <w:r>
        <w:t>示例：TDSC_SZ03_000123_V8_CXR_20260207.zip</w:t>
      </w:r>
    </w:p>
    <w:p w14:paraId="6F85AFB4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  <w:bdr w:val="none" w:sz="0" w:space="0"/>
        </w:rPr>
      </w:pPr>
      <w:r>
        <w:t>上传时限与回执</w:t>
      </w:r>
    </w:p>
    <w:p w14:paraId="41789EA7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建议时限：影像采集后72小时内完成去标识与上传；如超过，需记录原因并在上传日志中标注。</w:t>
      </w:r>
    </w:p>
    <w:p w14:paraId="5D2AC106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接收确认：平台上传成功后应保存回执截图/系统记录；中心影像QC团队在5个工作日内反馈“接收通过/需补传/需重做”。</w:t>
      </w:r>
    </w:p>
    <w:p w14:paraId="08D7035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集中判读流程与判读表</w:t>
      </w:r>
    </w:p>
    <w:p w14:paraId="72314CAE">
      <w:pPr>
        <w:pStyle w:val="4"/>
        <w:widowControl/>
        <w:numPr>
          <w:ilvl w:val="0"/>
          <w:numId w:val="20"/>
        </w:numPr>
        <w:ind w:left="0" w:leftChars="0" w:firstLine="0" w:firstLineChars="0"/>
        <w:rPr>
          <w:b/>
          <w:bdr w:val="none" w:sz="0" w:space="0"/>
        </w:rPr>
      </w:pPr>
      <w:r>
        <w:t>判读组织形式</w:t>
      </w:r>
    </w:p>
    <w:p w14:paraId="77DCF92B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双阅片：两名阅片员对同一影像独立判读并填写结构化判读表（不共享彼此结果）。</w:t>
      </w:r>
    </w:p>
    <w:p w14:paraId="6090604E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仲裁：如关键字段出现预设分歧（见9.3），由仲裁阅片员进行最终裁定并形成仲裁记录。</w:t>
      </w:r>
    </w:p>
    <w:p w14:paraId="2E63BAB3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盲法：阅片可对治疗分组、中心、临床信息进行盲化（以方案/CEC章程的规定为准）；但不应盲化影响安全处置的重大影像发现。</w:t>
      </w:r>
    </w:p>
    <w:p w14:paraId="53CB1CF9">
      <w:pPr>
        <w:pStyle w:val="4"/>
        <w:widowControl/>
        <w:numPr>
          <w:ilvl w:val="0"/>
          <w:numId w:val="20"/>
        </w:numPr>
        <w:ind w:left="0" w:leftChars="0" w:firstLine="0" w:firstLineChars="0"/>
        <w:rPr>
          <w:b/>
          <w:bdr w:val="none" w:sz="0" w:space="0"/>
        </w:rPr>
      </w:pPr>
      <w:r>
        <w:t>CXR判读表（核心字段）</w:t>
      </w:r>
    </w:p>
    <w:p w14:paraId="22251BDF">
      <w:pPr>
        <w:pStyle w:val="19"/>
        <w:widowControl/>
      </w:pPr>
      <w:r>
        <w:t>CXR判读表应至少包含（见附录D模板）：</w:t>
      </w:r>
    </w:p>
    <w:p w14:paraId="39D75489">
      <w:pPr>
        <w:pStyle w:val="19"/>
        <w:widowControl/>
        <w:numPr>
          <w:ilvl w:val="0"/>
          <w:numId w:val="22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检查信息：Subject ID、Site ID、Visit Code、检查日期、体位（PA/AP）、图像质量评分；</w:t>
      </w:r>
    </w:p>
    <w:p w14:paraId="3B3F2AFE">
      <w:pPr>
        <w:pStyle w:val="19"/>
        <w:widowControl/>
        <w:numPr>
          <w:ilvl w:val="0"/>
          <w:numId w:val="22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病灶负荷：受累肺百分比（ALP）、累及分区/肺叶、浸润/实变/结节/纤维化等；</w:t>
      </w:r>
    </w:p>
    <w:p w14:paraId="30ACAEAC">
      <w:pPr>
        <w:pStyle w:val="19"/>
        <w:widowControl/>
        <w:numPr>
          <w:ilvl w:val="0"/>
          <w:numId w:val="22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空洞：有/无、部位、最大径（mm）、与基线比较（缩小/闭合/增大/新发）；</w:t>
      </w:r>
    </w:p>
    <w:p w14:paraId="72DA7A6F">
      <w:pPr>
        <w:pStyle w:val="19"/>
        <w:widowControl/>
        <w:numPr>
          <w:ilvl w:val="0"/>
          <w:numId w:val="22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新发/进展：是否有新发病灶、是否进展、是否出现并发症征象；</w:t>
      </w:r>
    </w:p>
    <w:p w14:paraId="795DAF24">
      <w:pPr>
        <w:pStyle w:val="19"/>
        <w:widowControl/>
        <w:numPr>
          <w:ilvl w:val="0"/>
          <w:numId w:val="22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量化评分：CXR-Timika类评分（ALP + 40如有空洞），以及与基线的变化百分比；</w:t>
      </w:r>
    </w:p>
    <w:p w14:paraId="31B1C80C">
      <w:pPr>
        <w:pStyle w:val="19"/>
        <w:widowControl/>
        <w:numPr>
          <w:ilvl w:val="0"/>
          <w:numId w:val="22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用于方案判定的结构化结论：无新活动/改善或稳定/不达标（不直接给出治疗建议）。</w:t>
      </w:r>
    </w:p>
    <w:p w14:paraId="75673AD9">
      <w:pPr>
        <w:pStyle w:val="4"/>
        <w:widowControl/>
        <w:numPr>
          <w:ilvl w:val="0"/>
          <w:numId w:val="20"/>
        </w:numPr>
        <w:ind w:left="0" w:leftChars="0" w:firstLine="0" w:firstLineChars="0"/>
        <w:rPr>
          <w:b/>
          <w:bdr w:val="none" w:sz="0" w:space="0"/>
        </w:rPr>
      </w:pPr>
      <w:r>
        <w:t>CT判读表（核心字段，含一致性评估）</w:t>
      </w:r>
    </w:p>
    <w:p w14:paraId="3C832E67">
      <w:pPr>
        <w:pStyle w:val="19"/>
        <w:widowControl/>
      </w:pPr>
      <w:r>
        <w:t>CT判读表至少包含（见附录E模板）：</w:t>
      </w:r>
    </w:p>
    <w:p w14:paraId="65881A0D">
      <w:pPr>
        <w:pStyle w:val="19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检查信息：Subject ID、Visit Code、是否低剂量/层厚/序列信息（按可得元数据记录）；</w:t>
      </w:r>
    </w:p>
    <w:p w14:paraId="0993A760">
      <w:pPr>
        <w:pStyle w:val="19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病灶类型与范围：浸润、实变、结节/树芽征、纤维化/支扩、胸腔积液等；</w:t>
      </w:r>
    </w:p>
    <w:p w14:paraId="7202403E">
      <w:pPr>
        <w:pStyle w:val="19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空洞：数量、部位、最大径、壁厚变化；</w:t>
      </w:r>
    </w:p>
    <w:p w14:paraId="38529472">
      <w:pPr>
        <w:pStyle w:val="19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探索性量化：可记录CT-Timika类评分或中心预设量化指标（如有）；</w:t>
      </w:r>
    </w:p>
    <w:p w14:paraId="6A49D2D6">
      <w:pPr>
        <w:pStyle w:val="19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与CXR一致性字段：空洞有无、侧别、最大径分层、病灶范围分层等（见附录F）。</w:t>
      </w:r>
    </w:p>
    <w:p w14:paraId="152DEA35">
      <w:pPr>
        <w:pStyle w:val="19"/>
        <w:widowControl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重大影像发现安全回报字段：是否存在需临床处置的发现、回报时间、接收人。</w:t>
      </w:r>
    </w:p>
    <w:p w14:paraId="5667652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质量控制（QC）与一致性评估</w:t>
      </w:r>
    </w:p>
    <w:p w14:paraId="464D70DE">
      <w:pPr>
        <w:pStyle w:val="4"/>
        <w:widowControl/>
        <w:numPr>
          <w:ilvl w:val="0"/>
          <w:numId w:val="24"/>
        </w:numPr>
        <w:ind w:left="0" w:leftChars="0" w:firstLine="0" w:firstLineChars="0"/>
        <w:rPr>
          <w:b/>
          <w:bdr w:val="none" w:sz="0" w:space="0"/>
        </w:rPr>
      </w:pPr>
      <w:r>
        <w:t>技术QC（上传前/上传后）</w:t>
      </w:r>
    </w:p>
    <w:p w14:paraId="0D208729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上传前（分中心）：核对访视代码、模态、日期；图像清晰度；去标识完成；文件完整（CT切片数/序列数）；命名符合规则（附录A）。</w:t>
      </w:r>
    </w:p>
    <w:p w14:paraId="45F0CD34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上传后（中心QC）：再次核查去标识（含burn-in）、DICOM完整性、是否误传/漏传、元数据可读性；对问题件发起退回与补传闭环。</w:t>
      </w:r>
    </w:p>
    <w:p w14:paraId="296961C6">
      <w:pPr>
        <w:pStyle w:val="4"/>
        <w:widowControl/>
        <w:numPr>
          <w:ilvl w:val="0"/>
          <w:numId w:val="24"/>
        </w:numPr>
        <w:ind w:left="0" w:leftChars="0" w:firstLine="0" w:firstLineChars="0"/>
        <w:rPr>
          <w:b/>
          <w:bdr w:val="none" w:sz="0" w:space="0"/>
        </w:rPr>
      </w:pPr>
      <w:r>
        <w:t>阅片一致性与再培训</w:t>
      </w:r>
    </w:p>
    <w:p w14:paraId="43281501">
      <w:pPr>
        <w:pStyle w:val="19"/>
        <w:widowControl/>
        <w:numPr>
          <w:ilvl w:val="0"/>
          <w:numId w:val="26"/>
        </w:numPr>
        <w:ind w:left="360" w:leftChars="0" w:hanging="360" w:firstLineChars="0"/>
      </w:pPr>
      <w:r>
        <w:t>一致性抽检：定期抽取样本评估阅片一致性（如空洞有无、ALP分层、进展判定等）。</w:t>
      </w:r>
    </w:p>
    <w:p w14:paraId="32ED3CAE">
      <w:pPr>
        <w:pStyle w:val="19"/>
        <w:widowControl/>
        <w:numPr>
          <w:ilvl w:val="0"/>
          <w:numId w:val="26"/>
        </w:numPr>
        <w:ind w:left="360" w:leftChars="0" w:hanging="360" w:firstLineChars="0"/>
      </w:pPr>
      <w:r>
        <w:t>再培训触发：当一致性低于中心预设阈值或出现系统性偏差时，启动再培训与再标定（记录培训日期与参与者）。</w:t>
      </w:r>
    </w:p>
    <w:p w14:paraId="5A7E3625">
      <w:pPr>
        <w:pStyle w:val="19"/>
        <w:widowControl/>
        <w:numPr>
          <w:ilvl w:val="0"/>
          <w:numId w:val="26"/>
        </w:numPr>
        <w:ind w:left="360" w:leftChars="0" w:hanging="360" w:firstLineChars="0"/>
      </w:pPr>
      <w:r>
        <w:t>版本控制：判读表、评分规则、仲裁规则如更新，需按SOP00的版本管理流程发布并追踪生效日期。</w:t>
      </w:r>
    </w:p>
    <w:p w14:paraId="0502B230">
      <w:pPr>
        <w:pStyle w:val="4"/>
        <w:widowControl/>
        <w:numPr>
          <w:ilvl w:val="0"/>
          <w:numId w:val="24"/>
        </w:numPr>
        <w:ind w:left="0" w:leftChars="0" w:firstLine="0" w:firstLineChars="0"/>
        <w:rPr>
          <w:b/>
          <w:bdr w:val="none" w:sz="0" w:space="0"/>
        </w:rPr>
      </w:pPr>
      <w:r>
        <w:t>分歧与仲裁规则（建议）</w:t>
      </w:r>
    </w:p>
    <w:p w14:paraId="3189A961">
      <w:pPr>
        <w:pStyle w:val="19"/>
        <w:widowControl/>
        <w:numPr>
          <w:ilvl w:val="0"/>
          <w:numId w:val="27"/>
        </w:numPr>
        <w:ind w:left="360" w:leftChars="0" w:hanging="360" w:firstLineChars="0"/>
      </w:pPr>
      <w:r>
        <w:t>关键分歧定义（触发仲裁）：例如空洞有无不一致；最大径差异超过预设阈值；新发病灶/进展判定不一致；CXR质量判定为“不可用”。</w:t>
      </w:r>
    </w:p>
    <w:p w14:paraId="3B4247A1">
      <w:pPr>
        <w:pStyle w:val="19"/>
        <w:widowControl/>
        <w:numPr>
          <w:ilvl w:val="0"/>
          <w:numId w:val="27"/>
        </w:numPr>
        <w:ind w:left="360" w:leftChars="0" w:hanging="360" w:firstLineChars="0"/>
      </w:pPr>
      <w:r>
        <w:t>仲裁输出为最终结论，保留原始双阅片记录与仲裁理由。</w:t>
      </w:r>
    </w:p>
    <w:p w14:paraId="4266CCAC">
      <w:pPr>
        <w:pStyle w:val="4"/>
        <w:widowControl/>
        <w:numPr>
          <w:ilvl w:val="0"/>
          <w:numId w:val="24"/>
        </w:numPr>
        <w:ind w:left="0" w:leftChars="0" w:firstLine="0" w:firstLineChars="0"/>
        <w:rPr>
          <w:b/>
          <w:bdr w:val="none" w:sz="0" w:space="0"/>
        </w:rPr>
      </w:pPr>
      <w:r>
        <w:t>CXR–CT一致性分析最小数据元素</w:t>
      </w:r>
    </w:p>
    <w:p w14:paraId="5E3F8E2C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一致性变量（最小集合）：空洞有无、空洞侧别/部位、最大径分层、病灶范围分层（ALP或分区累及）、是否新发/进展。</w:t>
      </w:r>
    </w:p>
    <w:p w14:paraId="6D48F804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一致性分析由统计分析计划（SAP）规定；本SOP仅保证数据元素可获得与可追溯。</w:t>
      </w:r>
    </w:p>
    <w:p w14:paraId="41D867F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数据对接EDC与逻辑核查（摘要）</w:t>
      </w:r>
    </w:p>
    <w:p w14:paraId="4C6C7F2B">
      <w:pPr>
        <w:pStyle w:val="19"/>
        <w:widowControl/>
        <w:numPr>
          <w:ilvl w:val="0"/>
          <w:numId w:val="29"/>
        </w:numPr>
        <w:ind w:left="360" w:leftChars="0" w:hanging="360" w:firstLineChars="0"/>
      </w:pPr>
      <w:r>
        <w:t>影像在EDC中至少记录：检查日期、模态、是否完成、文件接收状态、中心判读关键字段（空洞/ALP/Timika类评分/进展）、最终判读日期与判读者。</w:t>
      </w:r>
    </w:p>
    <w:p w14:paraId="0D093E25">
      <w:pPr>
        <w:pStyle w:val="19"/>
        <w:widowControl/>
        <w:numPr>
          <w:ilvl w:val="0"/>
          <w:numId w:val="29"/>
        </w:numPr>
        <w:ind w:left="360" w:leftChars="0" w:hanging="360" w:firstLineChars="0"/>
      </w:pPr>
      <w:r>
        <w:t>逻辑核查示例：影像完成=是但无文件；访视代码不匹配；EOT后日期早于基线；去标识失败；同一访视重复上传等。</w:t>
      </w:r>
    </w:p>
    <w:p w14:paraId="7F8C9AAB">
      <w:pPr>
        <w:pStyle w:val="19"/>
        <w:widowControl/>
        <w:numPr>
          <w:ilvl w:val="0"/>
          <w:numId w:val="29"/>
        </w:numPr>
        <w:ind w:left="360" w:leftChars="0" w:hanging="360" w:firstLineChars="0"/>
      </w:pPr>
      <w:r>
        <w:t>查询闭环：影像QC或阅片发现问题时，按SOP16发起查询、补传、关闭并留痕。</w:t>
      </w:r>
    </w:p>
    <w:p w14:paraId="6FE51E3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偏差处理</w:t>
      </w:r>
    </w:p>
    <w:p w14:paraId="44267626">
      <w:pPr>
        <w:pStyle w:val="19"/>
        <w:widowControl/>
        <w:numPr>
          <w:ilvl w:val="0"/>
          <w:numId w:val="30"/>
        </w:numPr>
        <w:ind w:left="360" w:leftChars="0" w:hanging="360" w:firstLineChars="0"/>
      </w:pPr>
      <w:r>
        <w:t>任何偏离本SOP的情况（如窗口期外采集、非DICOM格式、去标识失败后补救、替代影像策略）应记录为方案偏差/程序偏差，并按SOP17执行CAPA。</w:t>
      </w:r>
    </w:p>
    <w:p w14:paraId="60AC7431">
      <w:pPr>
        <w:pStyle w:val="19"/>
        <w:widowControl/>
        <w:numPr>
          <w:ilvl w:val="0"/>
          <w:numId w:val="30"/>
        </w:numPr>
        <w:ind w:left="360" w:leftChars="0" w:hanging="360" w:firstLineChars="0"/>
      </w:pPr>
      <w:r>
        <w:t>对受试者安全有潜在影响的偏差应立即上报PI并评估是否触发安全事件流程。</w:t>
      </w:r>
    </w:p>
    <w:p w14:paraId="57AF2104">
      <w:pPr>
        <w:pStyle w:val="164"/>
        <w:widowControl/>
      </w:pPr>
      <w:r>
        <w:t>附录A：去标识与上传前自检清单（示例）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1"/>
        <w:gridCol w:w="1318"/>
        <w:gridCol w:w="3597"/>
      </w:tblGrid>
      <w:tr w14:paraId="6472B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pct"/>
            <w:vAlign w:val="top"/>
          </w:tcPr>
          <w:p w14:paraId="3C5B7423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检查项</w:t>
            </w:r>
          </w:p>
        </w:tc>
        <w:tc>
          <w:tcPr>
            <w:tcW w:w="688" w:type="pct"/>
            <w:vAlign w:val="top"/>
          </w:tcPr>
          <w:p w14:paraId="1C0B0A01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是/否</w:t>
            </w:r>
          </w:p>
        </w:tc>
        <w:tc>
          <w:tcPr>
            <w:tcW w:w="1878" w:type="pct"/>
            <w:vAlign w:val="top"/>
          </w:tcPr>
          <w:p w14:paraId="4E5FCB5A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备注</w:t>
            </w:r>
          </w:p>
        </w:tc>
      </w:tr>
      <w:tr w14:paraId="35058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pct"/>
            <w:vAlign w:val="top"/>
          </w:tcPr>
          <w:p w14:paraId="729DD0BE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已核对Subject ID/Site ID/Visit Code/日期与源文件一致</w:t>
            </w:r>
          </w:p>
        </w:tc>
        <w:tc>
          <w:tcPr>
            <w:tcW w:w="688" w:type="pct"/>
            <w:vAlign w:val="top"/>
          </w:tcPr>
          <w:p w14:paraId="06FC605E">
            <w:pPr>
              <w:spacing w:after="0" w:line="240" w:lineRule="auto"/>
            </w:pPr>
          </w:p>
        </w:tc>
        <w:tc>
          <w:tcPr>
            <w:tcW w:w="1878" w:type="pct"/>
            <w:vAlign w:val="top"/>
          </w:tcPr>
          <w:p w14:paraId="6C458650">
            <w:pPr>
              <w:spacing w:after="0" w:line="240" w:lineRule="auto"/>
            </w:pPr>
          </w:p>
        </w:tc>
      </w:tr>
      <w:tr w14:paraId="00E17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pct"/>
            <w:vAlign w:val="top"/>
          </w:tcPr>
          <w:p w14:paraId="2B7CF46E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DICOM标签已去标识（姓名、住院号、检查号等）</w:t>
            </w:r>
          </w:p>
        </w:tc>
        <w:tc>
          <w:tcPr>
            <w:tcW w:w="688" w:type="pct"/>
            <w:vAlign w:val="top"/>
          </w:tcPr>
          <w:p w14:paraId="1674CBF0">
            <w:pPr>
              <w:spacing w:after="0" w:line="240" w:lineRule="auto"/>
            </w:pPr>
          </w:p>
        </w:tc>
        <w:tc>
          <w:tcPr>
            <w:tcW w:w="1878" w:type="pct"/>
            <w:vAlign w:val="top"/>
          </w:tcPr>
          <w:p w14:paraId="67503CB3">
            <w:pPr>
              <w:spacing w:after="0" w:line="240" w:lineRule="auto"/>
            </w:pPr>
          </w:p>
        </w:tc>
      </w:tr>
      <w:tr w14:paraId="4B4B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pct"/>
            <w:vAlign w:val="top"/>
          </w:tcPr>
          <w:p w14:paraId="71013D81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图像像素无burn-in身份信息；如有已遮挡并记录</w:t>
            </w:r>
          </w:p>
        </w:tc>
        <w:tc>
          <w:tcPr>
            <w:tcW w:w="688" w:type="pct"/>
            <w:vAlign w:val="top"/>
          </w:tcPr>
          <w:p w14:paraId="4336F9D7">
            <w:pPr>
              <w:spacing w:after="0" w:line="240" w:lineRule="auto"/>
            </w:pPr>
          </w:p>
        </w:tc>
        <w:tc>
          <w:tcPr>
            <w:tcW w:w="1878" w:type="pct"/>
            <w:vAlign w:val="top"/>
          </w:tcPr>
          <w:p w14:paraId="15947135">
            <w:pPr>
              <w:spacing w:after="0" w:line="240" w:lineRule="auto"/>
            </w:pPr>
          </w:p>
        </w:tc>
      </w:tr>
      <w:tr w14:paraId="034AE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pct"/>
            <w:vAlign w:val="top"/>
          </w:tcPr>
          <w:p w14:paraId="7C7B1324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CXR体位/质量可用（可判读）</w:t>
            </w:r>
          </w:p>
        </w:tc>
        <w:tc>
          <w:tcPr>
            <w:tcW w:w="688" w:type="pct"/>
            <w:vAlign w:val="top"/>
          </w:tcPr>
          <w:p w14:paraId="29734D68">
            <w:pPr>
              <w:spacing w:after="0" w:line="240" w:lineRule="auto"/>
            </w:pPr>
          </w:p>
        </w:tc>
        <w:tc>
          <w:tcPr>
            <w:tcW w:w="1878" w:type="pct"/>
            <w:vAlign w:val="top"/>
          </w:tcPr>
          <w:p w14:paraId="62219E57">
            <w:pPr>
              <w:spacing w:after="0" w:line="240" w:lineRule="auto"/>
            </w:pPr>
          </w:p>
        </w:tc>
      </w:tr>
      <w:tr w14:paraId="25E4C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pct"/>
            <w:vAlign w:val="top"/>
          </w:tcPr>
          <w:p w14:paraId="40F14814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CT序列/切片完整（按中心常规）</w:t>
            </w:r>
          </w:p>
        </w:tc>
        <w:tc>
          <w:tcPr>
            <w:tcW w:w="688" w:type="pct"/>
            <w:vAlign w:val="top"/>
          </w:tcPr>
          <w:p w14:paraId="7BDFCEA5">
            <w:pPr>
              <w:spacing w:after="0" w:line="240" w:lineRule="auto"/>
            </w:pPr>
          </w:p>
        </w:tc>
        <w:tc>
          <w:tcPr>
            <w:tcW w:w="1878" w:type="pct"/>
            <w:vAlign w:val="top"/>
          </w:tcPr>
          <w:p w14:paraId="7D822CCA">
            <w:pPr>
              <w:spacing w:after="0" w:line="240" w:lineRule="auto"/>
            </w:pPr>
          </w:p>
        </w:tc>
      </w:tr>
      <w:tr w14:paraId="47D64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pct"/>
            <w:vAlign w:val="top"/>
          </w:tcPr>
          <w:p w14:paraId="47AE1188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命名符合统一模板</w:t>
            </w:r>
          </w:p>
        </w:tc>
        <w:tc>
          <w:tcPr>
            <w:tcW w:w="688" w:type="pct"/>
            <w:vAlign w:val="top"/>
          </w:tcPr>
          <w:p w14:paraId="1B638F6E">
            <w:pPr>
              <w:spacing w:after="0" w:line="240" w:lineRule="auto"/>
            </w:pPr>
          </w:p>
        </w:tc>
        <w:tc>
          <w:tcPr>
            <w:tcW w:w="1878" w:type="pct"/>
            <w:vAlign w:val="top"/>
          </w:tcPr>
          <w:p w14:paraId="0B68A472">
            <w:pPr>
              <w:spacing w:after="0" w:line="240" w:lineRule="auto"/>
            </w:pPr>
          </w:p>
        </w:tc>
      </w:tr>
      <w:tr w14:paraId="5A36D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pct"/>
            <w:vAlign w:val="top"/>
          </w:tcPr>
          <w:p w14:paraId="0AD473BB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已生成本地导出清单并签字</w:t>
            </w:r>
          </w:p>
        </w:tc>
        <w:tc>
          <w:tcPr>
            <w:tcW w:w="688" w:type="pct"/>
            <w:vAlign w:val="top"/>
          </w:tcPr>
          <w:p w14:paraId="7AC41137">
            <w:pPr>
              <w:spacing w:after="0" w:line="240" w:lineRule="auto"/>
            </w:pPr>
          </w:p>
        </w:tc>
        <w:tc>
          <w:tcPr>
            <w:tcW w:w="1878" w:type="pct"/>
            <w:vAlign w:val="top"/>
          </w:tcPr>
          <w:p w14:paraId="1C2A02CD">
            <w:pPr>
              <w:spacing w:after="0" w:line="240" w:lineRule="auto"/>
            </w:pPr>
          </w:p>
        </w:tc>
      </w:tr>
    </w:tbl>
    <w:p w14:paraId="743900AD">
      <w:pPr>
        <w:pStyle w:val="164"/>
        <w:widowControl/>
      </w:pPr>
      <w:r>
        <w:t>附录B：文件命名与目录结构示例</w:t>
      </w:r>
    </w:p>
    <w:p w14:paraId="5A46926E">
      <w:pPr>
        <w:pStyle w:val="19"/>
        <w:widowControl/>
        <w:numPr>
          <w:ilvl w:val="0"/>
          <w:numId w:val="30"/>
        </w:numPr>
        <w:ind w:left="360" w:leftChars="0" w:hanging="360" w:firstLineChars="0"/>
      </w:pPr>
      <w:r>
        <w:t>压缩包名：TDSC_&lt;SiteID&gt;_&lt;SubjectID&gt;_&lt;VisitCode&gt;_&lt;Modality&gt;_&lt;YYYYMMDD&gt;.zip</w:t>
      </w:r>
    </w:p>
    <w:p w14:paraId="17D77902">
      <w:pPr>
        <w:pStyle w:val="19"/>
        <w:widowControl/>
        <w:numPr>
          <w:ilvl w:val="0"/>
          <w:numId w:val="30"/>
        </w:numPr>
        <w:ind w:left="360" w:leftChars="0" w:hanging="360" w:firstLineChars="0"/>
      </w:pPr>
      <w:r>
        <w:t>压缩包内建议保持原DICOM目录结构；如有多序列CT，按序列文件夹分层。</w:t>
      </w:r>
    </w:p>
    <w:p w14:paraId="01492762">
      <w:pPr>
        <w:pStyle w:val="19"/>
        <w:widowControl/>
        <w:numPr>
          <w:ilvl w:val="0"/>
          <w:numId w:val="30"/>
        </w:numPr>
        <w:ind w:left="360" w:leftChars="0" w:hanging="360" w:firstLineChars="0"/>
      </w:pPr>
      <w:r>
        <w:t>禁止出现：姓名、身份证号、住院号等任何直接识别信息。</w:t>
      </w:r>
    </w:p>
    <w:p w14:paraId="0AD86DFE">
      <w:pPr>
        <w:pStyle w:val="164"/>
        <w:widowControl/>
      </w:pPr>
      <w:r>
        <w:t>附录C：上传日志（字段建议）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336"/>
      </w:tblGrid>
      <w:tr w14:paraId="604AA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3C2724AC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字段</w:t>
            </w:r>
          </w:p>
        </w:tc>
        <w:tc>
          <w:tcPr>
            <w:tcW w:w="6336" w:type="dxa"/>
            <w:vAlign w:val="top"/>
          </w:tcPr>
          <w:p w14:paraId="5EE80C6D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说明</w:t>
            </w:r>
          </w:p>
        </w:tc>
      </w:tr>
      <w:tr w14:paraId="423AE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76CD803D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Site ID</w:t>
            </w:r>
          </w:p>
        </w:tc>
        <w:tc>
          <w:tcPr>
            <w:tcW w:w="6336" w:type="dxa"/>
            <w:vAlign w:val="top"/>
          </w:tcPr>
          <w:p w14:paraId="26CF04ED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分中心编号</w:t>
            </w:r>
          </w:p>
        </w:tc>
      </w:tr>
      <w:tr w14:paraId="7F6A5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6936D7B8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Subject ID</w:t>
            </w:r>
          </w:p>
        </w:tc>
        <w:tc>
          <w:tcPr>
            <w:tcW w:w="6336" w:type="dxa"/>
            <w:vAlign w:val="top"/>
          </w:tcPr>
          <w:p w14:paraId="1C94A4B2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受试者研究编号</w:t>
            </w:r>
          </w:p>
        </w:tc>
      </w:tr>
      <w:tr w14:paraId="0E741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2372FA75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Visit Code</w:t>
            </w:r>
          </w:p>
        </w:tc>
        <w:tc>
          <w:tcPr>
            <w:tcW w:w="6336" w:type="dxa"/>
            <w:vAlign w:val="top"/>
          </w:tcPr>
          <w:p w14:paraId="29F25485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访视代码（V0/V8/FV3等）</w:t>
            </w:r>
          </w:p>
        </w:tc>
      </w:tr>
      <w:tr w14:paraId="74AB6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297BB3DC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Modality</w:t>
            </w:r>
          </w:p>
        </w:tc>
        <w:tc>
          <w:tcPr>
            <w:tcW w:w="6336" w:type="dxa"/>
            <w:vAlign w:val="top"/>
          </w:tcPr>
          <w:p w14:paraId="67BEDFFE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CXR/CT</w:t>
            </w:r>
          </w:p>
        </w:tc>
      </w:tr>
      <w:tr w14:paraId="1D049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4193D871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Exam date</w:t>
            </w:r>
          </w:p>
        </w:tc>
        <w:tc>
          <w:tcPr>
            <w:tcW w:w="6336" w:type="dxa"/>
            <w:vAlign w:val="top"/>
          </w:tcPr>
          <w:p w14:paraId="355C0BCB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检查日期（YYYY-MM-DD）</w:t>
            </w:r>
          </w:p>
        </w:tc>
      </w:tr>
      <w:tr w14:paraId="4D3B3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69B1A360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Upload date/time</w:t>
            </w:r>
          </w:p>
        </w:tc>
        <w:tc>
          <w:tcPr>
            <w:tcW w:w="6336" w:type="dxa"/>
            <w:vAlign w:val="top"/>
          </w:tcPr>
          <w:p w14:paraId="65E3FEF1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上传日期时间</w:t>
            </w:r>
          </w:p>
        </w:tc>
      </w:tr>
      <w:tr w14:paraId="5F81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40F96B25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File name</w:t>
            </w:r>
          </w:p>
        </w:tc>
        <w:tc>
          <w:tcPr>
            <w:tcW w:w="6336" w:type="dxa"/>
            <w:vAlign w:val="top"/>
          </w:tcPr>
          <w:p w14:paraId="1A2B8030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压缩包文件名</w:t>
            </w:r>
          </w:p>
        </w:tc>
      </w:tr>
      <w:tr w14:paraId="778A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361F8E63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Received status</w:t>
            </w:r>
          </w:p>
        </w:tc>
        <w:tc>
          <w:tcPr>
            <w:tcW w:w="6336" w:type="dxa"/>
            <w:vAlign w:val="top"/>
          </w:tcPr>
          <w:p w14:paraId="70E287C9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接收通过/退回/补传中</w:t>
            </w:r>
          </w:p>
        </w:tc>
      </w:tr>
      <w:tr w14:paraId="6F768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78BC3868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QC comments</w:t>
            </w:r>
          </w:p>
        </w:tc>
        <w:tc>
          <w:tcPr>
            <w:tcW w:w="6336" w:type="dxa"/>
            <w:vAlign w:val="top"/>
          </w:tcPr>
          <w:p w14:paraId="187999E2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问题描述与处理意见</w:t>
            </w:r>
          </w:p>
        </w:tc>
      </w:tr>
      <w:tr w14:paraId="54CE0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Align w:val="top"/>
          </w:tcPr>
          <w:p w14:paraId="54B6CED4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Closed date</w:t>
            </w:r>
          </w:p>
        </w:tc>
        <w:tc>
          <w:tcPr>
            <w:tcW w:w="6336" w:type="dxa"/>
            <w:vAlign w:val="top"/>
          </w:tcPr>
          <w:p w14:paraId="00D206FB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问题关闭日期</w:t>
            </w:r>
          </w:p>
        </w:tc>
      </w:tr>
    </w:tbl>
    <w:p w14:paraId="11F6922F">
      <w:pPr>
        <w:pStyle w:val="164"/>
        <w:widowControl/>
      </w:pPr>
      <w:r>
        <w:t>附录D：CXR判读表（模板）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4389"/>
        <w:gridCol w:w="3293"/>
      </w:tblGrid>
      <w:tr w14:paraId="0CF75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vAlign w:val="top"/>
          </w:tcPr>
          <w:p w14:paraId="1B6A11BC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模块</w:t>
            </w:r>
          </w:p>
        </w:tc>
        <w:tc>
          <w:tcPr>
            <w:tcW w:w="2291" w:type="pct"/>
            <w:vAlign w:val="top"/>
          </w:tcPr>
          <w:p w14:paraId="48383712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字段（示例）</w:t>
            </w:r>
          </w:p>
        </w:tc>
        <w:tc>
          <w:tcPr>
            <w:tcW w:w="1719" w:type="pct"/>
            <w:vAlign w:val="top"/>
          </w:tcPr>
          <w:p w14:paraId="7E8F78C3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取值/说明</w:t>
            </w:r>
          </w:p>
        </w:tc>
      </w:tr>
      <w:tr w14:paraId="2D307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vAlign w:val="top"/>
          </w:tcPr>
          <w:p w14:paraId="5D550FDE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基本信息</w:t>
            </w:r>
          </w:p>
        </w:tc>
        <w:tc>
          <w:tcPr>
            <w:tcW w:w="2291" w:type="pct"/>
            <w:vAlign w:val="top"/>
          </w:tcPr>
          <w:p w14:paraId="3C2F8B16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Subject ID / Visit Code / 日期 / 体位</w:t>
            </w:r>
          </w:p>
        </w:tc>
        <w:tc>
          <w:tcPr>
            <w:tcW w:w="1719" w:type="pct"/>
            <w:vAlign w:val="top"/>
          </w:tcPr>
          <w:p w14:paraId="1FA45F29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由系统带入或阅片员填写</w:t>
            </w:r>
          </w:p>
        </w:tc>
      </w:tr>
      <w:tr w14:paraId="430A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vAlign w:val="top"/>
          </w:tcPr>
          <w:p w14:paraId="2E116F30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图像质量</w:t>
            </w:r>
          </w:p>
        </w:tc>
        <w:tc>
          <w:tcPr>
            <w:tcW w:w="2291" w:type="pct"/>
            <w:vAlign w:val="top"/>
          </w:tcPr>
          <w:p w14:paraId="67E66395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可判读/一般/差</w:t>
            </w:r>
          </w:p>
        </w:tc>
        <w:tc>
          <w:tcPr>
            <w:tcW w:w="1719" w:type="pct"/>
            <w:vAlign w:val="top"/>
          </w:tcPr>
          <w:p w14:paraId="6B2FC1E8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差=需重拍或仲裁判定不可用</w:t>
            </w:r>
          </w:p>
        </w:tc>
      </w:tr>
      <w:tr w14:paraId="17F02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vAlign w:val="top"/>
          </w:tcPr>
          <w:p w14:paraId="5F9F3927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空洞</w:t>
            </w:r>
          </w:p>
        </w:tc>
        <w:tc>
          <w:tcPr>
            <w:tcW w:w="2291" w:type="pct"/>
            <w:vAlign w:val="top"/>
          </w:tcPr>
          <w:p w14:paraId="094A75B4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有/无；部位；最大径（mm）</w:t>
            </w:r>
          </w:p>
        </w:tc>
        <w:tc>
          <w:tcPr>
            <w:tcW w:w="1719" w:type="pct"/>
            <w:vAlign w:val="top"/>
          </w:tcPr>
          <w:p w14:paraId="177A250D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与基线比较：新发/缩小/闭合/增大</w:t>
            </w:r>
          </w:p>
        </w:tc>
      </w:tr>
      <w:tr w14:paraId="2C660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vAlign w:val="top"/>
          </w:tcPr>
          <w:p w14:paraId="3756E27F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病灶范围</w:t>
            </w:r>
          </w:p>
        </w:tc>
        <w:tc>
          <w:tcPr>
            <w:tcW w:w="2291" w:type="pct"/>
            <w:vAlign w:val="top"/>
          </w:tcPr>
          <w:p w14:paraId="3D134563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ALP（0–100%）；分区累及</w:t>
            </w:r>
          </w:p>
        </w:tc>
        <w:tc>
          <w:tcPr>
            <w:tcW w:w="1719" w:type="pct"/>
            <w:vAlign w:val="top"/>
          </w:tcPr>
          <w:p w14:paraId="0274ABB2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可选：右上/右中/右下/左上/左下</w:t>
            </w:r>
          </w:p>
        </w:tc>
      </w:tr>
      <w:tr w14:paraId="09F6E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vAlign w:val="top"/>
          </w:tcPr>
          <w:p w14:paraId="05A61513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量化评分</w:t>
            </w:r>
          </w:p>
        </w:tc>
        <w:tc>
          <w:tcPr>
            <w:tcW w:w="2291" w:type="pct"/>
            <w:vAlign w:val="top"/>
          </w:tcPr>
          <w:p w14:paraId="4E232B8E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Timika类评分</w:t>
            </w:r>
          </w:p>
        </w:tc>
        <w:tc>
          <w:tcPr>
            <w:tcW w:w="1719" w:type="pct"/>
            <w:vAlign w:val="top"/>
          </w:tcPr>
          <w:p w14:paraId="255DBA26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ALP + 40（如有空洞）</w:t>
            </w:r>
          </w:p>
        </w:tc>
      </w:tr>
      <w:tr w14:paraId="2E7EF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vAlign w:val="top"/>
          </w:tcPr>
          <w:p w14:paraId="3084D218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进展与新发</w:t>
            </w:r>
          </w:p>
        </w:tc>
        <w:tc>
          <w:tcPr>
            <w:tcW w:w="2291" w:type="pct"/>
            <w:vAlign w:val="top"/>
          </w:tcPr>
          <w:p w14:paraId="11F22120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新发病灶/进展：是/否</w:t>
            </w:r>
          </w:p>
        </w:tc>
        <w:tc>
          <w:tcPr>
            <w:tcW w:w="1719" w:type="pct"/>
            <w:vAlign w:val="top"/>
          </w:tcPr>
          <w:p w14:paraId="4A2B98B7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并发症提示：气胸/积液等（是/否）</w:t>
            </w:r>
          </w:p>
        </w:tc>
      </w:tr>
      <w:tr w14:paraId="03B9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vAlign w:val="top"/>
          </w:tcPr>
          <w:p w14:paraId="2879F069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结构化结论</w:t>
            </w:r>
          </w:p>
        </w:tc>
        <w:tc>
          <w:tcPr>
            <w:tcW w:w="2291" w:type="pct"/>
            <w:vAlign w:val="top"/>
          </w:tcPr>
          <w:p w14:paraId="15CA37A9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无新活动 + 改善/稳定 / 不达标</w:t>
            </w:r>
          </w:p>
        </w:tc>
        <w:tc>
          <w:tcPr>
            <w:tcW w:w="1719" w:type="pct"/>
            <w:vAlign w:val="top"/>
          </w:tcPr>
          <w:p w14:paraId="22556574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不直接给治疗建议</w:t>
            </w:r>
          </w:p>
        </w:tc>
      </w:tr>
    </w:tbl>
    <w:p w14:paraId="1E9BDB17">
      <w:pPr>
        <w:pStyle w:val="164"/>
        <w:widowControl/>
      </w:pPr>
      <w:r>
        <w:t>附录E：CT判读表（模板）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4286"/>
        <w:gridCol w:w="3376"/>
      </w:tblGrid>
      <w:tr w14:paraId="35762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vAlign w:val="top"/>
          </w:tcPr>
          <w:p w14:paraId="011640F6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模块</w:t>
            </w:r>
          </w:p>
        </w:tc>
        <w:tc>
          <w:tcPr>
            <w:tcW w:w="2237" w:type="pct"/>
            <w:vAlign w:val="top"/>
          </w:tcPr>
          <w:p w14:paraId="767503D3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字段（示例）</w:t>
            </w:r>
          </w:p>
        </w:tc>
        <w:tc>
          <w:tcPr>
            <w:tcW w:w="1762" w:type="pct"/>
            <w:vAlign w:val="top"/>
          </w:tcPr>
          <w:p w14:paraId="611566BA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取值/说明</w:t>
            </w:r>
          </w:p>
        </w:tc>
      </w:tr>
      <w:tr w14:paraId="502DA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vAlign w:val="top"/>
          </w:tcPr>
          <w:p w14:paraId="0107EB6E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基本信息</w:t>
            </w:r>
          </w:p>
        </w:tc>
        <w:tc>
          <w:tcPr>
            <w:tcW w:w="2237" w:type="pct"/>
            <w:vAlign w:val="top"/>
          </w:tcPr>
          <w:p w14:paraId="5FFF6CFF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Subject ID / Visit Code / 日期</w:t>
            </w:r>
          </w:p>
        </w:tc>
        <w:tc>
          <w:tcPr>
            <w:tcW w:w="1762" w:type="pct"/>
            <w:vAlign w:val="top"/>
          </w:tcPr>
          <w:p w14:paraId="419B3920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由系统带入或阅片员填写</w:t>
            </w:r>
          </w:p>
        </w:tc>
      </w:tr>
      <w:tr w14:paraId="3B233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vAlign w:val="top"/>
          </w:tcPr>
          <w:p w14:paraId="5128AB75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参数记录</w:t>
            </w:r>
          </w:p>
        </w:tc>
        <w:tc>
          <w:tcPr>
            <w:tcW w:w="2237" w:type="pct"/>
            <w:vAlign w:val="top"/>
          </w:tcPr>
          <w:p w14:paraId="53169583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层厚/是否低剂量/序列信息</w:t>
            </w:r>
          </w:p>
        </w:tc>
        <w:tc>
          <w:tcPr>
            <w:tcW w:w="1762" w:type="pct"/>
            <w:vAlign w:val="top"/>
          </w:tcPr>
          <w:p w14:paraId="5C9A116E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按可得元数据记录</w:t>
            </w:r>
          </w:p>
        </w:tc>
      </w:tr>
      <w:tr w14:paraId="02F16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vAlign w:val="top"/>
          </w:tcPr>
          <w:p w14:paraId="7DE6A797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空洞</w:t>
            </w:r>
          </w:p>
        </w:tc>
        <w:tc>
          <w:tcPr>
            <w:tcW w:w="2237" w:type="pct"/>
            <w:vAlign w:val="top"/>
          </w:tcPr>
          <w:p w14:paraId="1434D948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数量；部位；最大径；壁厚变化</w:t>
            </w:r>
          </w:p>
        </w:tc>
        <w:tc>
          <w:tcPr>
            <w:tcW w:w="1762" w:type="pct"/>
            <w:vAlign w:val="top"/>
          </w:tcPr>
          <w:p w14:paraId="38CEF426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与基线比较：新发/缩小/闭合/增大</w:t>
            </w:r>
          </w:p>
        </w:tc>
      </w:tr>
      <w:tr w14:paraId="60539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vAlign w:val="top"/>
          </w:tcPr>
          <w:p w14:paraId="7567284C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病灶类型</w:t>
            </w:r>
          </w:p>
        </w:tc>
        <w:tc>
          <w:tcPr>
            <w:tcW w:w="2237" w:type="pct"/>
            <w:vAlign w:val="top"/>
          </w:tcPr>
          <w:p w14:paraId="03C3E46A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浸润/实变/结节/树芽/纤维化/支扩/积液</w:t>
            </w:r>
          </w:p>
        </w:tc>
        <w:tc>
          <w:tcPr>
            <w:tcW w:w="1762" w:type="pct"/>
            <w:vAlign w:val="top"/>
          </w:tcPr>
          <w:p w14:paraId="1941C01F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可多选并记录范围</w:t>
            </w:r>
          </w:p>
        </w:tc>
      </w:tr>
      <w:tr w14:paraId="369D3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vAlign w:val="top"/>
          </w:tcPr>
          <w:p w14:paraId="6876E6E9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一致性字段</w:t>
            </w:r>
          </w:p>
        </w:tc>
        <w:tc>
          <w:tcPr>
            <w:tcW w:w="2237" w:type="pct"/>
            <w:vAlign w:val="top"/>
          </w:tcPr>
          <w:p w14:paraId="0034EF40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空洞有无、侧别、范围分层</w:t>
            </w:r>
          </w:p>
        </w:tc>
        <w:tc>
          <w:tcPr>
            <w:tcW w:w="1762" w:type="pct"/>
            <w:vAlign w:val="top"/>
          </w:tcPr>
          <w:p w14:paraId="2632C67D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用于CXR–CT一致性分析</w:t>
            </w:r>
          </w:p>
        </w:tc>
      </w:tr>
      <w:tr w14:paraId="2DD23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vAlign w:val="top"/>
          </w:tcPr>
          <w:p w14:paraId="234352F1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重大发现回报</w:t>
            </w:r>
          </w:p>
        </w:tc>
        <w:tc>
          <w:tcPr>
            <w:tcW w:w="2237" w:type="pct"/>
            <w:vAlign w:val="top"/>
          </w:tcPr>
          <w:p w14:paraId="4971999C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是否需临床处置；回报时间/接收人</w:t>
            </w:r>
          </w:p>
        </w:tc>
        <w:tc>
          <w:tcPr>
            <w:tcW w:w="1762" w:type="pct"/>
            <w:vAlign w:val="top"/>
          </w:tcPr>
          <w:p w14:paraId="6B653465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不得盲化</w:t>
            </w:r>
          </w:p>
        </w:tc>
      </w:tr>
    </w:tbl>
    <w:p w14:paraId="3BC24A5D">
      <w:pPr>
        <w:pStyle w:val="164"/>
        <w:widowControl/>
      </w:pPr>
      <w:r>
        <w:t>附录F：CXR–CT一致性变量清单（最小集合）</w:t>
      </w:r>
    </w:p>
    <w:p w14:paraId="202D8BC4">
      <w:pPr>
        <w:pStyle w:val="19"/>
        <w:widowControl/>
        <w:numPr>
          <w:ilvl w:val="0"/>
          <w:numId w:val="30"/>
        </w:numPr>
        <w:ind w:left="360" w:leftChars="0" w:hanging="360" w:firstLineChars="0"/>
      </w:pPr>
      <w:r>
        <w:t>空洞：有/无；侧别（左/右/双侧）；最大径分层（例如：无、&lt;2cm、2–4cm、&gt;4cm，可按SAP最终定义）。</w:t>
      </w:r>
    </w:p>
    <w:p w14:paraId="2050360A">
      <w:pPr>
        <w:pStyle w:val="19"/>
        <w:widowControl/>
        <w:numPr>
          <w:ilvl w:val="0"/>
          <w:numId w:val="30"/>
        </w:numPr>
        <w:ind w:left="360" w:leftChars="0" w:hanging="360" w:firstLineChars="0"/>
      </w:pPr>
      <w:r>
        <w:t>病灶范围：ALP分层（例如：&lt;25%、25–50%、&gt;50%）或分区累及数（按SAP定义）。</w:t>
      </w:r>
    </w:p>
    <w:p w14:paraId="1FDF70E6">
      <w:pPr>
        <w:pStyle w:val="19"/>
        <w:widowControl/>
        <w:numPr>
          <w:ilvl w:val="0"/>
          <w:numId w:val="30"/>
        </w:numPr>
        <w:ind w:left="360" w:leftChars="0" w:hanging="360" w:firstLineChars="0"/>
      </w:pPr>
      <w:r>
        <w:t>新发/进展：是/否。</w:t>
      </w:r>
    </w:p>
    <w:p w14:paraId="165FBEFA">
      <w:pPr>
        <w:pStyle w:val="19"/>
        <w:widowControl/>
        <w:numPr>
          <w:ilvl w:val="0"/>
          <w:numId w:val="30"/>
        </w:numPr>
        <w:ind w:left="360" w:leftChars="0" w:hanging="360" w:firstLineChars="0"/>
      </w:pPr>
      <w:r>
        <w:t>结论类：改善/稳定 vs 不达标（以CXR结构化结论为主）。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88579"/>
    <w:multiLevelType w:val="singleLevel"/>
    <w:tmpl w:val="84F8857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D5770911"/>
    <w:multiLevelType w:val="singleLevel"/>
    <w:tmpl w:val="D5770911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D860CCEC"/>
    <w:multiLevelType w:val="singleLevel"/>
    <w:tmpl w:val="D860CCEC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3">
    <w:nsid w:val="DBF3CACA"/>
    <w:multiLevelType w:val="singleLevel"/>
    <w:tmpl w:val="DBF3CAC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DF344F57"/>
    <w:multiLevelType w:val="singleLevel"/>
    <w:tmpl w:val="DF344F57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E52EB884"/>
    <w:multiLevelType w:val="singleLevel"/>
    <w:tmpl w:val="E52EB884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6">
    <w:nsid w:val="ED8C9325"/>
    <w:multiLevelType w:val="singleLevel"/>
    <w:tmpl w:val="ED8C932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F51AEA13"/>
    <w:multiLevelType w:val="singleLevel"/>
    <w:tmpl w:val="F51AEA13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9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3">
    <w:nsid w:val="15505C45"/>
    <w:multiLevelType w:val="singleLevel"/>
    <w:tmpl w:val="15505C4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4">
    <w:nsid w:val="222F3048"/>
    <w:multiLevelType w:val="singleLevel"/>
    <w:tmpl w:val="222F3048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5">
    <w:nsid w:val="24900981"/>
    <w:multiLevelType w:val="singleLevel"/>
    <w:tmpl w:val="24900981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6">
    <w:nsid w:val="28FE14CB"/>
    <w:multiLevelType w:val="singleLevel"/>
    <w:tmpl w:val="28FE14CB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7">
    <w:nsid w:val="2EACE227"/>
    <w:multiLevelType w:val="singleLevel"/>
    <w:tmpl w:val="2EACE227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8">
    <w:nsid w:val="316DAC00"/>
    <w:multiLevelType w:val="singleLevel"/>
    <w:tmpl w:val="316DAC00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19">
    <w:nsid w:val="34C99B82"/>
    <w:multiLevelType w:val="singleLevel"/>
    <w:tmpl w:val="34C99B82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20">
    <w:nsid w:val="361A9B31"/>
    <w:multiLevelType w:val="singleLevel"/>
    <w:tmpl w:val="361A9B31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1">
    <w:nsid w:val="3878F450"/>
    <w:multiLevelType w:val="singleLevel"/>
    <w:tmpl w:val="3878F450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2">
    <w:nsid w:val="435E9B11"/>
    <w:multiLevelType w:val="singleLevel"/>
    <w:tmpl w:val="435E9B11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3">
    <w:nsid w:val="509A7F86"/>
    <w:multiLevelType w:val="singleLevel"/>
    <w:tmpl w:val="509A7F86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24">
    <w:nsid w:val="55AEC76A"/>
    <w:multiLevelType w:val="singleLevel"/>
    <w:tmpl w:val="55AEC76A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5">
    <w:nsid w:val="55CA918C"/>
    <w:multiLevelType w:val="singleLevel"/>
    <w:tmpl w:val="55CA918C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6">
    <w:nsid w:val="67F714DE"/>
    <w:multiLevelType w:val="singleLevel"/>
    <w:tmpl w:val="67F714DE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27">
    <w:nsid w:val="70C6D754"/>
    <w:multiLevelType w:val="singleLevel"/>
    <w:tmpl w:val="70C6D754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8">
    <w:nsid w:val="7AEB67BD"/>
    <w:multiLevelType w:val="singleLevel"/>
    <w:tmpl w:val="7AEB67BD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9">
    <w:nsid w:val="7DC1B906"/>
    <w:multiLevelType w:val="singleLevel"/>
    <w:tmpl w:val="7DC1B906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9"/>
  </w:num>
  <w:num w:numId="2">
    <w:abstractNumId w:val="12"/>
  </w:num>
  <w:num w:numId="3">
    <w:abstractNumId w:val="21"/>
  </w:num>
  <w:num w:numId="4">
    <w:abstractNumId w:val="10"/>
  </w:num>
  <w:num w:numId="5">
    <w:abstractNumId w:val="8"/>
  </w:num>
  <w:num w:numId="6">
    <w:abstractNumId w:val="11"/>
  </w:num>
  <w:num w:numId="7">
    <w:abstractNumId w:val="24"/>
  </w:num>
  <w:num w:numId="8">
    <w:abstractNumId w:val="17"/>
  </w:num>
  <w:num w:numId="9">
    <w:abstractNumId w:val="1"/>
  </w:num>
  <w:num w:numId="10">
    <w:abstractNumId w:val="19"/>
  </w:num>
  <w:num w:numId="11">
    <w:abstractNumId w:val="16"/>
  </w:num>
  <w:num w:numId="12">
    <w:abstractNumId w:val="27"/>
  </w:num>
  <w:num w:numId="13">
    <w:abstractNumId w:val="25"/>
  </w:num>
  <w:num w:numId="14">
    <w:abstractNumId w:val="14"/>
  </w:num>
  <w:num w:numId="15">
    <w:abstractNumId w:val="29"/>
  </w:num>
  <w:num w:numId="16">
    <w:abstractNumId w:val="7"/>
  </w:num>
  <w:num w:numId="17">
    <w:abstractNumId w:val="23"/>
  </w:num>
  <w:num w:numId="18">
    <w:abstractNumId w:val="6"/>
  </w:num>
  <w:num w:numId="19">
    <w:abstractNumId w:val="28"/>
  </w:num>
  <w:num w:numId="20">
    <w:abstractNumId w:val="5"/>
  </w:num>
  <w:num w:numId="21">
    <w:abstractNumId w:val="15"/>
  </w:num>
  <w:num w:numId="22">
    <w:abstractNumId w:val="2"/>
  </w:num>
  <w:num w:numId="23">
    <w:abstractNumId w:val="26"/>
  </w:num>
  <w:num w:numId="24">
    <w:abstractNumId w:val="18"/>
  </w:num>
  <w:num w:numId="25">
    <w:abstractNumId w:val="13"/>
  </w:num>
  <w:num w:numId="26">
    <w:abstractNumId w:val="0"/>
  </w:num>
  <w:num w:numId="27">
    <w:abstractNumId w:val="3"/>
  </w:num>
  <w:num w:numId="28">
    <w:abstractNumId w:val="22"/>
  </w:num>
  <w:num w:numId="29">
    <w:abstractNumId w:val="20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68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3735</Words>
  <Characters>4572</Characters>
  <Lines>0</Lines>
  <Paragraphs>0</Paragraphs>
  <TotalTime>0</TotalTime>
  <ScaleCrop>false</ScaleCrop>
  <LinksUpToDate>false</LinksUpToDate>
  <CharactersWithSpaces>4646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2026-03-13T06:54:29Z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B0C40A83F48C4BB1AF528D37C982F8D2_12</vt:lpwstr>
  </property>
</Properties>
</file>