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0B692">
      <w:pPr>
        <w:jc w:val="center"/>
        <w:rPr>
          <w:rFonts w:hint="eastAsia" w:ascii="Times New Roman" w:hAnsi="Times New Roman" w:eastAsia="宋体" w:cs="Times New Roman"/>
          <w:b/>
          <w:sz w:val="32"/>
          <w:szCs w:val="22"/>
          <w:lang w:val="en-US" w:eastAsia="zh-CN" w:bidi="ar-SA"/>
        </w:rPr>
      </w:pPr>
      <w:r>
        <w:rPr>
          <w:rFonts w:ascii="Times New Roman" w:hAnsi="Times New Roman" w:eastAsia="宋体" w:cs="Times New Roman"/>
          <w:b/>
          <w:sz w:val="32"/>
          <w:szCs w:val="22"/>
          <w:lang w:bidi="ar-SA"/>
        </w:rPr>
        <w:t>TDSC Study SOP1</w:t>
      </w:r>
      <w:r>
        <w:rPr>
          <w:rFonts w:hint="eastAsia" w:ascii="Times New Roman" w:hAnsi="Times New Roman" w:cs="Times New Roman"/>
          <w:b/>
          <w:sz w:val="32"/>
          <w:szCs w:val="22"/>
          <w:lang w:val="en-US" w:eastAsia="zh-CN" w:bidi="ar-SA"/>
        </w:rPr>
        <w:t>7</w:t>
      </w:r>
    </w:p>
    <w:p w14:paraId="5C8611F7">
      <w:pPr>
        <w:pStyle w:val="31"/>
        <w:widowControl/>
      </w:pPr>
      <w:r>
        <w:t>微生物学流程（痰样本质量、培养判定、污染/NTM、DST/WGS接口）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2394"/>
        <w:gridCol w:w="2394"/>
        <w:gridCol w:w="2394"/>
      </w:tblGrid>
      <w:tr w14:paraId="25C5A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20EF88E5">
            <w:pPr>
              <w:spacing w:after="0" w:line="240" w:lineRule="auto"/>
            </w:pPr>
            <w:r>
              <w:t>研究简称</w:t>
            </w:r>
          </w:p>
        </w:tc>
        <w:tc>
          <w:tcPr>
            <w:tcW w:w="1250" w:type="pct"/>
          </w:tcPr>
          <w:p w14:paraId="4A9E0180">
            <w:pPr>
              <w:spacing w:after="0" w:line="240" w:lineRule="auto"/>
            </w:pPr>
            <w:r>
              <w:t>TDSC Study</w:t>
            </w:r>
          </w:p>
        </w:tc>
        <w:tc>
          <w:tcPr>
            <w:tcW w:w="1250" w:type="pct"/>
          </w:tcPr>
          <w:p w14:paraId="5A3B3308">
            <w:pPr>
              <w:spacing w:after="0" w:line="240" w:lineRule="auto"/>
            </w:pPr>
            <w:r>
              <w:t>SOP编号</w:t>
            </w:r>
          </w:p>
        </w:tc>
        <w:tc>
          <w:tcPr>
            <w:tcW w:w="1250" w:type="pct"/>
          </w:tcPr>
          <w:p w14:paraId="60507A5E">
            <w:pPr>
              <w:spacing w:after="0" w:line="240" w:lineRule="auto"/>
            </w:pPr>
            <w:r>
              <w:t>SOP16</w:t>
            </w:r>
          </w:p>
        </w:tc>
      </w:tr>
      <w:tr w14:paraId="54DAD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48917BE6">
            <w:pPr>
              <w:spacing w:after="0" w:line="240" w:lineRule="auto"/>
            </w:pPr>
            <w:r>
              <w:t>SOP标题</w:t>
            </w:r>
          </w:p>
        </w:tc>
        <w:tc>
          <w:tcPr>
            <w:tcW w:w="1250" w:type="pct"/>
          </w:tcPr>
          <w:p w14:paraId="7EB8C904">
            <w:pPr>
              <w:spacing w:after="0" w:line="240" w:lineRule="auto"/>
            </w:pPr>
            <w:r>
              <w:t>微生物学流程（痰样本质量、培养判定、污染/NTM/WGS接口）</w:t>
            </w:r>
          </w:p>
        </w:tc>
        <w:tc>
          <w:tcPr>
            <w:tcW w:w="1250" w:type="pct"/>
          </w:tcPr>
          <w:p w14:paraId="4ED14E60">
            <w:pPr>
              <w:spacing w:after="0" w:line="240" w:lineRule="auto"/>
            </w:pPr>
            <w:r>
              <w:t>版本</w:t>
            </w:r>
          </w:p>
        </w:tc>
        <w:tc>
          <w:tcPr>
            <w:tcW w:w="1250" w:type="pct"/>
          </w:tcPr>
          <w:p w14:paraId="412F88F9">
            <w:pPr>
              <w:spacing w:after="0" w:line="240" w:lineRule="auto"/>
            </w:pPr>
            <w:r>
              <w:t>V1.1</w:t>
            </w:r>
          </w:p>
        </w:tc>
      </w:tr>
      <w:tr w14:paraId="77D60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79C4AD47">
            <w:pPr>
              <w:spacing w:after="0" w:line="240" w:lineRule="auto"/>
            </w:pPr>
            <w:r>
              <w:t>生效日期</w:t>
            </w:r>
          </w:p>
        </w:tc>
        <w:tc>
          <w:tcPr>
            <w:tcW w:w="1250" w:type="pct"/>
          </w:tcPr>
          <w:p w14:paraId="6E6B751C">
            <w:pPr>
              <w:spacing w:after="0" w:line="240" w:lineRule="auto"/>
            </w:pPr>
            <w:r>
              <w:t>2026-03-04</w:t>
            </w:r>
          </w:p>
        </w:tc>
        <w:tc>
          <w:tcPr>
            <w:tcW w:w="1250" w:type="pct"/>
          </w:tcPr>
          <w:p w14:paraId="3A673E65">
            <w:pPr>
              <w:spacing w:after="0" w:line="240" w:lineRule="auto"/>
            </w:pPr>
            <w:r>
              <w:t>替代版本</w:t>
            </w:r>
          </w:p>
        </w:tc>
        <w:tc>
          <w:tcPr>
            <w:tcW w:w="1250" w:type="pct"/>
          </w:tcPr>
          <w:p w14:paraId="4AF704C4">
            <w:pPr>
              <w:spacing w:after="0" w:line="240" w:lineRule="auto"/>
            </w:pPr>
            <w:r>
              <w:t>无</w:t>
            </w:r>
          </w:p>
        </w:tc>
      </w:tr>
      <w:tr w14:paraId="7A9B1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71943B89">
            <w:pPr>
              <w:spacing w:after="0" w:line="240" w:lineRule="auto"/>
            </w:pPr>
            <w:r>
              <w:t>适用范围</w:t>
            </w:r>
          </w:p>
        </w:tc>
        <w:tc>
          <w:tcPr>
            <w:tcW w:w="1250" w:type="pct"/>
          </w:tcPr>
          <w:p w14:paraId="7B8BF48B">
            <w:pPr>
              <w:spacing w:after="0" w:line="240" w:lineRule="auto"/>
            </w:pPr>
            <w:r>
              <w:t>所有参研中心（采样点、实验室、样本库与中心实验室接口）</w:t>
            </w:r>
          </w:p>
        </w:tc>
        <w:tc>
          <w:tcPr>
            <w:tcW w:w="1250" w:type="pct"/>
          </w:tcPr>
          <w:p w14:paraId="35C2E861">
            <w:pPr>
              <w:spacing w:after="0" w:line="240" w:lineRule="auto"/>
            </w:pPr>
            <w:r>
              <w:t>保密级别</w:t>
            </w:r>
          </w:p>
        </w:tc>
        <w:tc>
          <w:tcPr>
            <w:tcW w:w="1250" w:type="pct"/>
          </w:tcPr>
          <w:p w14:paraId="02F0D6F4">
            <w:pPr>
              <w:spacing w:after="0" w:line="240" w:lineRule="auto"/>
            </w:pPr>
            <w:r>
              <w:t>内部使用</w:t>
            </w:r>
          </w:p>
        </w:tc>
      </w:tr>
      <w:tr w14:paraId="33491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7597E034">
            <w:pPr>
              <w:spacing w:after="0" w:line="240" w:lineRule="auto"/>
            </w:pPr>
            <w:r>
              <w:t>起草</w:t>
            </w:r>
          </w:p>
        </w:tc>
        <w:tc>
          <w:tcPr>
            <w:tcW w:w="1250" w:type="pct"/>
          </w:tcPr>
          <w:p w14:paraId="0F81938D">
            <w:pPr>
              <w:spacing w:after="0" w:line="240" w:lineRule="auto"/>
            </w:pPr>
            <w:r>
              <w:t>（待填）</w:t>
            </w:r>
          </w:p>
        </w:tc>
        <w:tc>
          <w:tcPr>
            <w:tcW w:w="1250" w:type="pct"/>
          </w:tcPr>
          <w:p w14:paraId="6003BF9F">
            <w:pPr>
              <w:spacing w:after="0" w:line="240" w:lineRule="auto"/>
            </w:pPr>
            <w:r>
              <w:t>复核</w:t>
            </w:r>
          </w:p>
        </w:tc>
        <w:tc>
          <w:tcPr>
            <w:tcW w:w="1250" w:type="pct"/>
          </w:tcPr>
          <w:p w14:paraId="767B92D9">
            <w:pPr>
              <w:spacing w:after="0" w:line="240" w:lineRule="auto"/>
            </w:pPr>
            <w:r>
              <w:t>（待填）</w:t>
            </w:r>
          </w:p>
        </w:tc>
      </w:tr>
      <w:tr w14:paraId="74F44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0DAB8815">
            <w:pPr>
              <w:spacing w:after="0" w:line="240" w:lineRule="auto"/>
            </w:pPr>
            <w:r>
              <w:t>批准</w:t>
            </w:r>
          </w:p>
        </w:tc>
        <w:tc>
          <w:tcPr>
            <w:tcW w:w="1250" w:type="pct"/>
          </w:tcPr>
          <w:p w14:paraId="1FF6BBEA">
            <w:pPr>
              <w:spacing w:after="0" w:line="240" w:lineRule="auto"/>
            </w:pPr>
            <w:r>
              <w:t>（待填）</w:t>
            </w:r>
          </w:p>
        </w:tc>
        <w:tc>
          <w:tcPr>
            <w:tcW w:w="1250" w:type="pct"/>
          </w:tcPr>
          <w:p w14:paraId="14F58054">
            <w:pPr>
              <w:spacing w:after="0" w:line="240" w:lineRule="auto"/>
            </w:pPr>
            <w:r>
              <w:t>关联文件</w:t>
            </w:r>
          </w:p>
        </w:tc>
        <w:tc>
          <w:tcPr>
            <w:tcW w:w="1250" w:type="pct"/>
          </w:tcPr>
          <w:p w14:paraId="03477F92">
            <w:pPr>
              <w:spacing w:after="0" w:line="240" w:lineRule="auto"/>
            </w:pPr>
            <w:r>
              <w:t>TDSC Study Protocol V2.0 (2026-02-28)；随访表/评估时间表；SOP02（队列B Hard Gate 微生物学评估与M6随机化资格判定）；SOP15（疗效/结局评估与CEC裁决材料包）</w:t>
            </w:r>
          </w:p>
        </w:tc>
      </w:tr>
    </w:tbl>
    <w:p w14:paraId="66DEB936"/>
    <w:p w14:paraId="5726D42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目的</w:t>
      </w:r>
      <w:bookmarkStart w:id="0" w:name="_GoBack"/>
      <w:bookmarkEnd w:id="0"/>
    </w:p>
    <w:p w14:paraId="5AD34202">
      <w:pPr>
        <w:pStyle w:val="19"/>
        <w:widowControl/>
      </w:pPr>
      <w:r>
        <w:t>本SOP用于统一TDSC研究中与结核病病原学相关的全流程操作与质量控制，覆盖：</w:t>
      </w:r>
    </w:p>
    <w:p w14:paraId="706A7746">
      <w:pPr>
        <w:pStyle w:val="19"/>
        <w:widowControl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痰及其他呼吸道标本的采集、质量评估、标识、运送与留样；</w:t>
      </w:r>
    </w:p>
    <w:p w14:paraId="3E5B6B35">
      <w:pPr>
        <w:pStyle w:val="19"/>
        <w:widowControl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痰涂片与培养的判定规则、结果分级/状态定义（阳性/阴性/污染/不可判定）、复检与补采；</w:t>
      </w:r>
    </w:p>
    <w:p w14:paraId="20E6AA34">
      <w:pPr>
        <w:pStyle w:val="19"/>
        <w:widowControl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治疗期复阳或停药后复发时的快速分子检测、耐药/分型（DST）与全基因组测序（WGS）接口；</w:t>
      </w:r>
    </w:p>
    <w:p w14:paraId="17346024">
      <w:pPr>
        <w:pStyle w:val="19"/>
        <w:widowControl/>
        <w:numPr>
          <w:ilvl w:val="0"/>
          <w:numId w:val="8"/>
        </w:numPr>
        <w:ind w:left="0" w:leftChars="0" w:firstLine="0" w:firstLineChars="0"/>
        <w:rPr>
          <w:b w:val="0"/>
          <w:bdr w:val="none" w:sz="0" w:space="0"/>
        </w:rPr>
      </w:pPr>
      <w:r>
        <w:t>污染控制、疑似/确诊NTM的识别与处理、以及与研究方案中“NTM或基因组学不一致”相关的停药/随访衔接。</w:t>
      </w:r>
    </w:p>
    <w:p w14:paraId="3E777E42">
      <w:pPr>
        <w:pStyle w:val="19"/>
        <w:widowControl/>
      </w:pPr>
      <w:r>
        <w:t>目标是降低跨中心实验室差异导致的偏倚与误判风险，并确保关键终点事件（复发/再感染）能够获得可追溯的微生物学证据。</w:t>
      </w:r>
    </w:p>
    <w:p w14:paraId="340CD1F2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适用范围</w:t>
      </w:r>
    </w:p>
    <w:p w14:paraId="3569F1CA">
      <w:pPr>
        <w:pStyle w:val="19"/>
        <w:widowControl/>
      </w:pPr>
      <w:r>
        <w:t>适用于所有参研中心与合作实验室/样本库，涉及：采样点（门诊/病房/采样室）、本地微生物实验室、中心实验室（如适用）、以及WGS/分型支持平台。</w:t>
      </w:r>
    </w:p>
    <w:p w14:paraId="066D4ACF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参考文件</w:t>
      </w:r>
    </w:p>
    <w:p w14:paraId="216ED25C">
      <w:pPr>
        <w:pStyle w:val="19"/>
        <w:widowControl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TDSC研究方案 V2.0（2026-02-28）：入排标准中NTM相关条款；停止研究治疗/退出研究条款；复发/再感染判定与CEC裁决规则等。</w:t>
      </w:r>
    </w:p>
    <w:p w14:paraId="50D8DE12">
      <w:pPr>
        <w:pStyle w:val="19"/>
        <w:widowControl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随访表/评估时间表：痰涂片+培养、分子检测（Xpert或Xpert Ultra、tNGS）、DST/WGS的采集与加做触发条件。</w:t>
      </w:r>
    </w:p>
    <w:p w14:paraId="124AB29C">
      <w:pPr>
        <w:pStyle w:val="19"/>
        <w:widowControl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SOP02：队列B微生物学Hard Gate评估与M6随机化资格判定（Culture-based Hard Gate，含缺失/污染处理与晚到结果）。</w:t>
      </w:r>
    </w:p>
    <w:p w14:paraId="52BA8903">
      <w:pPr>
        <w:pStyle w:val="19"/>
        <w:widowControl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SOP15：疗效/结局评估（培养、复发、再感染、CEC裁决流程与材料包）。</w:t>
      </w:r>
    </w:p>
    <w:p w14:paraId="75B3026D">
      <w:pPr>
        <w:pStyle w:val="19"/>
        <w:widowControl/>
        <w:numPr>
          <w:ilvl w:val="0"/>
          <w:numId w:val="9"/>
        </w:numPr>
        <w:ind w:left="0" w:leftChars="0" w:firstLine="0" w:firstLineChars="0"/>
        <w:rPr>
          <w:b w:val="0"/>
          <w:bdr w:val="none" w:sz="0" w:space="0"/>
        </w:rPr>
      </w:pPr>
      <w:r>
        <w:t>各中心伦理与生物安全/运输制度；各实验室认证/内控文件（如适用）。</w:t>
      </w:r>
    </w:p>
    <w:p w14:paraId="6DB2E4B1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术语与缩写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6350"/>
      </w:tblGrid>
      <w:tr w14:paraId="50903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4868B380">
            <w:pPr>
              <w:spacing w:after="0" w:line="240" w:lineRule="auto"/>
            </w:pPr>
            <w:r>
              <w:t>术语/缩写</w:t>
            </w:r>
          </w:p>
        </w:tc>
        <w:tc>
          <w:tcPr>
            <w:tcW w:w="6350" w:type="dxa"/>
          </w:tcPr>
          <w:p w14:paraId="1387328A">
            <w:pPr>
              <w:spacing w:after="0" w:line="240" w:lineRule="auto"/>
            </w:pPr>
            <w:r>
              <w:t>说明</w:t>
            </w:r>
          </w:p>
        </w:tc>
      </w:tr>
      <w:tr w14:paraId="43A3B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291077CE">
            <w:pPr>
              <w:spacing w:after="0" w:line="240" w:lineRule="auto"/>
            </w:pPr>
            <w:r>
              <w:t>MTBC</w:t>
            </w:r>
          </w:p>
        </w:tc>
        <w:tc>
          <w:tcPr>
            <w:tcW w:w="6350" w:type="dxa"/>
          </w:tcPr>
          <w:p w14:paraId="5D4FB68D">
            <w:pPr>
              <w:spacing w:after="0" w:line="240" w:lineRule="auto"/>
            </w:pPr>
            <w:r>
              <w:t>Mycobacterium tuberculosis complex，结核分枝杆菌复合群。</w:t>
            </w:r>
          </w:p>
        </w:tc>
      </w:tr>
      <w:tr w14:paraId="50FD5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2D19B59E">
            <w:pPr>
              <w:spacing w:after="0" w:line="240" w:lineRule="auto"/>
            </w:pPr>
            <w:r>
              <w:t>NTM</w:t>
            </w:r>
          </w:p>
        </w:tc>
        <w:tc>
          <w:tcPr>
            <w:tcW w:w="6350" w:type="dxa"/>
          </w:tcPr>
          <w:p w14:paraId="73D50EC5">
            <w:pPr>
              <w:spacing w:after="0" w:line="240" w:lineRule="auto"/>
            </w:pPr>
            <w:r>
              <w:t>Nontuberculous mycobacteria，非结核分枝杆菌。</w:t>
            </w:r>
          </w:p>
        </w:tc>
      </w:tr>
      <w:tr w14:paraId="7700D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55054DCD">
            <w:pPr>
              <w:spacing w:after="0" w:line="240" w:lineRule="auto"/>
            </w:pPr>
            <w:r>
              <w:t>AFB smear</w:t>
            </w:r>
          </w:p>
        </w:tc>
        <w:tc>
          <w:tcPr>
            <w:tcW w:w="6350" w:type="dxa"/>
          </w:tcPr>
          <w:p w14:paraId="1916B31F">
            <w:pPr>
              <w:spacing w:after="0" w:line="240" w:lineRule="auto"/>
            </w:pPr>
            <w:r>
              <w:t>抗酸染色涂片（报告“+~++++”或阴性）。</w:t>
            </w:r>
          </w:p>
        </w:tc>
      </w:tr>
      <w:tr w14:paraId="783B6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424A0DD3">
            <w:pPr>
              <w:spacing w:after="0" w:line="240" w:lineRule="auto"/>
            </w:pPr>
            <w:r>
              <w:t>Culture</w:t>
            </w:r>
          </w:p>
        </w:tc>
        <w:tc>
          <w:tcPr>
            <w:tcW w:w="6350" w:type="dxa"/>
          </w:tcPr>
          <w:p w14:paraId="6A3860D5">
            <w:pPr>
              <w:spacing w:after="0" w:line="240" w:lineRule="auto"/>
            </w:pPr>
            <w:r>
              <w:t>分枝杆菌培养（固体/液体均可，按各中心已验证方法）。</w:t>
            </w:r>
          </w:p>
        </w:tc>
      </w:tr>
      <w:tr w14:paraId="1BD53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79896F56">
            <w:pPr>
              <w:spacing w:after="0" w:line="240" w:lineRule="auto"/>
            </w:pPr>
            <w:r>
              <w:t>Contaminated culture</w:t>
            </w:r>
          </w:p>
        </w:tc>
        <w:tc>
          <w:tcPr>
            <w:tcW w:w="6350" w:type="dxa"/>
          </w:tcPr>
          <w:p w14:paraId="4C422FA6">
            <w:pPr>
              <w:spacing w:after="0" w:line="240" w:lineRule="auto"/>
            </w:pPr>
            <w:r>
              <w:t>培养污染：实验室报告为污染/无法判读。</w:t>
            </w:r>
          </w:p>
        </w:tc>
      </w:tr>
      <w:tr w14:paraId="2355F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1EF04699">
            <w:pPr>
              <w:spacing w:after="0" w:line="240" w:lineRule="auto"/>
            </w:pPr>
            <w:r>
              <w:t>DST</w:t>
            </w:r>
          </w:p>
        </w:tc>
        <w:tc>
          <w:tcPr>
            <w:tcW w:w="6350" w:type="dxa"/>
          </w:tcPr>
          <w:p w14:paraId="2C6627EA">
            <w:pPr>
              <w:spacing w:after="0" w:line="240" w:lineRule="auto"/>
            </w:pPr>
            <w:r>
              <w:t>Drug Susceptibility Testing，药敏试验（表型/分子）。</w:t>
            </w:r>
          </w:p>
        </w:tc>
      </w:tr>
      <w:tr w14:paraId="78FA3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4F29A0F3">
            <w:pPr>
              <w:spacing w:after="0" w:line="240" w:lineRule="auto"/>
            </w:pPr>
            <w:r>
              <w:t>WGS</w:t>
            </w:r>
          </w:p>
        </w:tc>
        <w:tc>
          <w:tcPr>
            <w:tcW w:w="6350" w:type="dxa"/>
          </w:tcPr>
          <w:p w14:paraId="3A77AF92">
            <w:pPr>
              <w:spacing w:after="0" w:line="240" w:lineRule="auto"/>
            </w:pPr>
            <w:r>
              <w:t>Whole Genome Sequencing，全基因组测序，用于复燃/再感染区分及分型。</w:t>
            </w:r>
          </w:p>
        </w:tc>
      </w:tr>
      <w:tr w14:paraId="3152D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2433E869">
            <w:pPr>
              <w:spacing w:after="0" w:line="240" w:lineRule="auto"/>
            </w:pPr>
            <w:r>
              <w:t>Re-positivity</w:t>
            </w:r>
          </w:p>
        </w:tc>
        <w:tc>
          <w:tcPr>
            <w:tcW w:w="6350" w:type="dxa"/>
          </w:tcPr>
          <w:p w14:paraId="705E29A5">
            <w:pPr>
              <w:spacing w:after="0" w:line="240" w:lineRule="auto"/>
            </w:pPr>
            <w:r>
              <w:t>治疗期复阳：已转阴后再次培养阳性。</w:t>
            </w:r>
          </w:p>
        </w:tc>
      </w:tr>
      <w:tr w14:paraId="4257D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1" w:type="dxa"/>
          </w:tcPr>
          <w:p w14:paraId="7B04F8FE">
            <w:pPr>
              <w:spacing w:after="0" w:line="240" w:lineRule="auto"/>
            </w:pPr>
            <w:r>
              <w:t>Recurrence</w:t>
            </w:r>
          </w:p>
        </w:tc>
        <w:tc>
          <w:tcPr>
            <w:tcW w:w="6350" w:type="dxa"/>
          </w:tcPr>
          <w:p w14:paraId="38A81771">
            <w:pPr>
              <w:spacing w:after="0" w:line="240" w:lineRule="auto"/>
            </w:pPr>
            <w:r>
              <w:t>停药后复发：治疗结束后再次培养阳性并证实为MTBC。</w:t>
            </w:r>
          </w:p>
        </w:tc>
      </w:tr>
    </w:tbl>
    <w:p w14:paraId="397E6E34"/>
    <w:p w14:paraId="1A36493D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职责分工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36ED2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357275E5">
            <w:pPr>
              <w:spacing w:after="0" w:line="240" w:lineRule="auto"/>
            </w:pPr>
            <w:r>
              <w:t>角色</w:t>
            </w:r>
          </w:p>
        </w:tc>
        <w:tc>
          <w:tcPr>
            <w:tcW w:w="6803" w:type="dxa"/>
          </w:tcPr>
          <w:p w14:paraId="2F2C6889">
            <w:pPr>
              <w:spacing w:after="0" w:line="240" w:lineRule="auto"/>
            </w:pPr>
            <w:r>
              <w:t>职责要点</w:t>
            </w:r>
          </w:p>
        </w:tc>
      </w:tr>
      <w:tr w14:paraId="7750B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E3C1750">
            <w:pPr>
              <w:spacing w:after="0" w:line="240" w:lineRule="auto"/>
            </w:pPr>
            <w:r>
              <w:t>分中心PI/研究医生</w:t>
            </w:r>
          </w:p>
        </w:tc>
        <w:tc>
          <w:tcPr>
            <w:tcW w:w="6803" w:type="dxa"/>
          </w:tcPr>
          <w:p w14:paraId="2165FDFC">
            <w:pPr>
              <w:spacing w:after="0" w:line="240" w:lineRule="auto"/>
            </w:pPr>
            <w:r>
              <w:t>决定加做病原学与耐药/分型检测；处理治疗期复阳/复发/疑似NTM；必要时按方案触发停用研究治疗并继续随访。</w:t>
            </w:r>
          </w:p>
        </w:tc>
      </w:tr>
      <w:tr w14:paraId="0D58C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C05DA4B">
            <w:pPr>
              <w:spacing w:after="0" w:line="240" w:lineRule="auto"/>
            </w:pPr>
            <w:r>
              <w:t>采样人员（研究护士/CRC）</w:t>
            </w:r>
          </w:p>
        </w:tc>
        <w:tc>
          <w:tcPr>
            <w:tcW w:w="6803" w:type="dxa"/>
          </w:tcPr>
          <w:p w14:paraId="5F2ADC17">
            <w:pPr>
              <w:spacing w:after="0" w:line="240" w:lineRule="auto"/>
            </w:pPr>
            <w:r>
              <w:t>组织采样与宣教；完成样本质量评估、标识、运送；记录采样类型/量/时间与给药前后关系。</w:t>
            </w:r>
          </w:p>
        </w:tc>
      </w:tr>
      <w:tr w14:paraId="0E56E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2A0A5940">
            <w:pPr>
              <w:spacing w:after="0" w:line="240" w:lineRule="auto"/>
            </w:pPr>
            <w:r>
              <w:t>本地微生物实验室</w:t>
            </w:r>
          </w:p>
        </w:tc>
        <w:tc>
          <w:tcPr>
            <w:tcW w:w="6803" w:type="dxa"/>
          </w:tcPr>
          <w:p w14:paraId="3C4516B0">
            <w:pPr>
              <w:spacing w:after="0" w:line="240" w:lineRule="auto"/>
            </w:pPr>
            <w:r>
              <w:t>按中心流程完成涂片、培养、鉴定与DST（如适用）；及时回报污染与疑似NTM；按要求留存分离株并对接WGS。</w:t>
            </w:r>
          </w:p>
        </w:tc>
      </w:tr>
      <w:tr w14:paraId="33A79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18AFA2F">
            <w:pPr>
              <w:spacing w:after="0" w:line="240" w:lineRule="auto"/>
            </w:pPr>
            <w:r>
              <w:t>中心实验室/样本库（如适用）</w:t>
            </w:r>
          </w:p>
        </w:tc>
        <w:tc>
          <w:tcPr>
            <w:tcW w:w="6803" w:type="dxa"/>
          </w:tcPr>
          <w:p w14:paraId="108886BF">
            <w:pPr>
              <w:spacing w:after="0" w:line="240" w:lineRule="auto"/>
            </w:pPr>
            <w:r>
              <w:t>接收、入库、保存与转运基线/复发分离株或DNA；维护链路与温控记录；出具接收确认。</w:t>
            </w:r>
          </w:p>
        </w:tc>
      </w:tr>
      <w:tr w14:paraId="7E3AE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654C744">
            <w:pPr>
              <w:spacing w:after="0" w:line="240" w:lineRule="auto"/>
            </w:pPr>
            <w:r>
              <w:t>WGS/分型平台（如适用）</w:t>
            </w:r>
          </w:p>
        </w:tc>
        <w:tc>
          <w:tcPr>
            <w:tcW w:w="6803" w:type="dxa"/>
          </w:tcPr>
          <w:p w14:paraId="1DE33427">
            <w:pPr>
              <w:spacing w:after="0" w:line="240" w:lineRule="auto"/>
            </w:pPr>
            <w:r>
              <w:t>对基线与复发相关分离株开展WGS/分型；按预设SNP阈值输出同源/异源结论；回传结果与质控指标。</w:t>
            </w:r>
          </w:p>
        </w:tc>
      </w:tr>
      <w:tr w14:paraId="0B860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B799E28">
            <w:pPr>
              <w:spacing w:after="0" w:line="240" w:lineRule="auto"/>
            </w:pPr>
            <w:r>
              <w:t>数据管理/统计</w:t>
            </w:r>
          </w:p>
        </w:tc>
        <w:tc>
          <w:tcPr>
            <w:tcW w:w="6803" w:type="dxa"/>
          </w:tcPr>
          <w:p w14:paraId="34A8181A">
            <w:pPr>
              <w:spacing w:after="0" w:line="240" w:lineRule="auto"/>
            </w:pPr>
            <w:r>
              <w:t>确保EDC字段与实验室报告一致、可追溯；对缺失/不一致发起数据核查；用于终点判定与分析的规则以方案/SAP为准。</w:t>
            </w:r>
          </w:p>
        </w:tc>
      </w:tr>
    </w:tbl>
    <w:p w14:paraId="273F7187"/>
    <w:p w14:paraId="6EC48FE1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标本采集与质量管理</w:t>
      </w:r>
    </w:p>
    <w:p w14:paraId="447BDFDA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采集时点与加做触发</w:t>
      </w:r>
    </w:p>
    <w:p w14:paraId="4702B242">
      <w:pPr>
        <w:pStyle w:val="19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常规：按随访表要求采集“痰涂片+培养”。</w:t>
      </w:r>
    </w:p>
    <w:p w14:paraId="6163DA38">
      <w:pPr>
        <w:pStyle w:val="19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必要时加做：治疗期复阳、停药后复发或症状加重时，应优先加做病原学评估，并触发分子检测与耐药/分型（DST/WGS）。</w:t>
      </w:r>
    </w:p>
    <w:p w14:paraId="244D7B6A">
      <w:pPr>
        <w:pStyle w:val="19"/>
        <w:widowControl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r>
        <w:t>分子检测：筛选/基线期可使用Xpert或Xpert Ultra；必要时可增加tNGS（以随访表为准）。</w:t>
      </w:r>
    </w:p>
    <w:p w14:paraId="778F93A9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痰样本质量（可操作标准）</w:t>
      </w:r>
    </w:p>
    <w:p w14:paraId="0760190A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优先采集晨痰；如无法采集晨痰，可按中心流程采集（但需记录采集类型与时段）。</w:t>
      </w:r>
    </w:p>
    <w:p w14:paraId="2B8B8569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采样宣教：深吸气后深咳，避免仅吐口水；建议收集连续咳出的“脓痰/黏液痰”。</w:t>
      </w:r>
    </w:p>
    <w:p w14:paraId="1BC1A014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最低要求：标本外观为黏液/脓性或血性为佳；明显清亮唾液应判为“质量不佳”，优先现场重采或指导再采。</w:t>
      </w:r>
    </w:p>
    <w:p w14:paraId="5F518FD1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尽量在当次给药前完成标本采集，并记录与给药的先后顺序（用于解释结果）。</w:t>
      </w:r>
    </w:p>
    <w:p w14:paraId="7E3BA061">
      <w:pPr>
        <w:pStyle w:val="19"/>
        <w:widowControl/>
        <w:numPr>
          <w:ilvl w:val="0"/>
          <w:numId w:val="12"/>
        </w:numPr>
        <w:ind w:left="0" w:leftChars="0" w:firstLine="0" w:firstLineChars="0"/>
        <w:rPr>
          <w:b w:val="0"/>
          <w:bdr w:val="none" w:sz="0" w:space="0"/>
        </w:rPr>
      </w:pPr>
      <w:r>
        <w:t>无痰：可按方案改为诱导痰或其他合格标本（如BALF等），并在源文件/EDC记录标本类型与原因。</w:t>
      </w:r>
    </w:p>
    <w:p w14:paraId="7678D1BA">
      <w:pPr>
        <w:pStyle w:val="4"/>
        <w:widowControl/>
        <w:numPr>
          <w:ilvl w:val="0"/>
          <w:numId w:val="10"/>
        </w:numPr>
        <w:ind w:left="0" w:leftChars="0" w:firstLine="0" w:firstLineChars="0"/>
        <w:rPr>
          <w:b/>
          <w:bdr w:val="none" w:sz="0" w:space="0"/>
        </w:rPr>
      </w:pPr>
      <w:r>
        <w:t>标识、运送与留样</w:t>
      </w:r>
    </w:p>
    <w:p w14:paraId="410597BB">
      <w:pPr>
        <w:pStyle w:val="19"/>
        <w:widowControl/>
        <w:numPr>
          <w:ilvl w:val="0"/>
          <w:numId w:val="13"/>
        </w:numPr>
        <w:ind w:left="0" w:leftChars="0" w:firstLine="0" w:firstLineChars="0"/>
        <w:rPr>
          <w:b w:val="0"/>
          <w:bdr w:val="none" w:sz="0" w:space="0"/>
        </w:rPr>
      </w:pPr>
      <w:r>
        <w:t>双标识：受试者编号+采样日期时间+标本类型（痰/诱导痰/BALF等）。不得使用姓名作为唯一标识。</w:t>
      </w:r>
    </w:p>
    <w:p w14:paraId="43067E7E">
      <w:pPr>
        <w:pStyle w:val="19"/>
        <w:widowControl/>
        <w:numPr>
          <w:ilvl w:val="0"/>
          <w:numId w:val="13"/>
        </w:numPr>
        <w:ind w:left="0" w:leftChars="0" w:firstLine="0" w:firstLineChars="0"/>
        <w:rPr>
          <w:b w:val="0"/>
          <w:bdr w:val="none" w:sz="0" w:space="0"/>
        </w:rPr>
      </w:pPr>
      <w:r>
        <w:t>运送：按各中心生物安全与运输制度执行；尽量缩短从采集到接种/处理的时间；超时需记录原因。</w:t>
      </w:r>
    </w:p>
    <w:p w14:paraId="56488BE8">
      <w:pPr>
        <w:pStyle w:val="19"/>
        <w:widowControl/>
        <w:numPr>
          <w:ilvl w:val="0"/>
          <w:numId w:val="13"/>
        </w:numPr>
        <w:ind w:left="0" w:leftChars="0" w:firstLine="0" w:firstLineChars="0"/>
        <w:rPr>
          <w:b w:val="0"/>
          <w:bdr w:val="none" w:sz="0" w:space="0"/>
        </w:rPr>
      </w:pPr>
      <w:r>
        <w:t>留样：当培养获得MTBC阳性分离株时，应留存分离株（或DNA/提取物）以备DST/WGS与复发事件追溯（具体保存形式由实验室条件决定）。</w:t>
      </w:r>
    </w:p>
    <w:p w14:paraId="00D2CF34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实验室检测流程（概述）</w:t>
      </w:r>
    </w:p>
    <w:p w14:paraId="2796A45F">
      <w:pPr>
        <w:pStyle w:val="19"/>
        <w:widowControl/>
      </w:pPr>
      <w:r>
        <w:t>为兼顾多中心现实，本研究允许各中心使用已验证的固体与/或液体培养体系；但必须保证报告字段与判定规则统一。</w:t>
      </w:r>
    </w:p>
    <w:p w14:paraId="015F881B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b/>
          <w:bdr w:val="none" w:sz="0" w:space="0"/>
        </w:rPr>
      </w:pPr>
      <w:r>
        <w:t>涂片（AFB smear）</w:t>
      </w:r>
    </w:p>
    <w:p w14:paraId="7A54A748">
      <w:pPr>
        <w:pStyle w:val="19"/>
        <w:widowControl/>
        <w:numPr>
          <w:ilvl w:val="0"/>
          <w:numId w:val="15"/>
        </w:numPr>
        <w:ind w:left="0" w:leftChars="0" w:firstLine="0" w:firstLineChars="0"/>
        <w:rPr>
          <w:b w:val="0"/>
          <w:bdr w:val="none" w:sz="0" w:space="0"/>
        </w:rPr>
      </w:pPr>
      <w:r>
        <w:t>按中心标准进行抗酸染色并报告（阴性或“+~++++”）。</w:t>
      </w:r>
    </w:p>
    <w:p w14:paraId="3890FDDD">
      <w:pPr>
        <w:pStyle w:val="19"/>
        <w:widowControl/>
        <w:numPr>
          <w:ilvl w:val="0"/>
          <w:numId w:val="15"/>
        </w:numPr>
        <w:ind w:left="0" w:leftChars="0" w:firstLine="0" w:firstLineChars="0"/>
        <w:rPr>
          <w:b w:val="0"/>
          <w:bdr w:val="none" w:sz="0" w:space="0"/>
        </w:rPr>
      </w:pPr>
      <w:r>
        <w:t>涂片结果用于疾病严重程度分层与随访解释，但不替代培养；当Xpert提示“M.tb Not Detected”而涂片阳性时应高度警惕NTM并触发鉴定流程。</w:t>
      </w:r>
    </w:p>
    <w:p w14:paraId="363C3797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b/>
          <w:bdr w:val="none" w:sz="0" w:space="0"/>
        </w:rPr>
      </w:pPr>
      <w:r>
        <w:t>培养（固体/液体）与鉴定</w:t>
      </w:r>
    </w:p>
    <w:p w14:paraId="37C9EC6D">
      <w:pPr>
        <w:pStyle w:val="19"/>
        <w:widowControl/>
        <w:numPr>
          <w:ilvl w:val="0"/>
          <w:numId w:val="16"/>
        </w:numPr>
        <w:ind w:left="0" w:leftChars="0" w:firstLine="0" w:firstLineChars="0"/>
        <w:rPr>
          <w:b w:val="0"/>
          <w:bdr w:val="none" w:sz="0" w:space="0"/>
        </w:rPr>
      </w:pPr>
      <w:r>
        <w:t>培养结果至少需包含：培养类型（固体/液体/两者）、结果（阳性/阴性/污染/不可判定）、报告日期；如为阳性，需进行物种鉴定（MTBC vs NTM/其他）。</w:t>
      </w:r>
    </w:p>
    <w:p w14:paraId="65AAB530">
      <w:pPr>
        <w:pStyle w:val="19"/>
        <w:widowControl/>
        <w:numPr>
          <w:ilvl w:val="0"/>
          <w:numId w:val="16"/>
        </w:numPr>
        <w:ind w:left="0" w:leftChars="0" w:firstLine="0" w:firstLineChars="0"/>
        <w:rPr>
          <w:b w:val="0"/>
          <w:bdr w:val="none" w:sz="0" w:space="0"/>
        </w:rPr>
      </w:pPr>
      <w:r>
        <w:t>若中心采用多种培养体系，以“任一体系阳性并证实为MTBC”判为该时点培养阳性。</w:t>
      </w:r>
    </w:p>
    <w:p w14:paraId="1DA0C8F7">
      <w:pPr>
        <w:pStyle w:val="19"/>
        <w:widowControl/>
        <w:numPr>
          <w:ilvl w:val="0"/>
          <w:numId w:val="16"/>
        </w:numPr>
        <w:ind w:left="0" w:leftChars="0" w:firstLine="0" w:firstLineChars="0"/>
        <w:rPr>
          <w:b w:val="0"/>
          <w:bdr w:val="none" w:sz="0" w:space="0"/>
        </w:rPr>
      </w:pPr>
      <w:r>
        <w:t>若出现污染（Contaminated）：按第8节处理并尽快补采。</w:t>
      </w:r>
    </w:p>
    <w:p w14:paraId="79C73BFA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b/>
          <w:bdr w:val="none" w:sz="0" w:space="0"/>
        </w:rPr>
      </w:pPr>
      <w:r>
        <w:t>药敏/分型接口（DST/WGS）</w:t>
      </w:r>
    </w:p>
    <w:p w14:paraId="0CE5529B">
      <w:pPr>
        <w:pStyle w:val="19"/>
        <w:widowControl/>
        <w:numPr>
          <w:ilvl w:val="0"/>
          <w:numId w:val="17"/>
        </w:numPr>
        <w:ind w:left="0" w:leftChars="0" w:firstLine="0" w:firstLineChars="0"/>
        <w:rPr>
          <w:b w:val="0"/>
          <w:bdr w:val="none" w:sz="0" w:space="0"/>
        </w:rPr>
      </w:pPr>
      <w:r>
        <w:t>当培养获得MTBC阳性分离株时：按方案进行表型DST（或等效的实验室标准DST），并在治疗结束或随访期再阳性时复测DST以评估获得性耐药。</w:t>
      </w:r>
    </w:p>
    <w:p w14:paraId="360B74A7">
      <w:pPr>
        <w:pStyle w:val="19"/>
        <w:widowControl/>
        <w:numPr>
          <w:ilvl w:val="0"/>
          <w:numId w:val="17"/>
        </w:numPr>
        <w:ind w:left="0" w:leftChars="0" w:firstLine="0" w:firstLineChars="0"/>
        <w:rPr>
          <w:b w:val="0"/>
          <w:bdr w:val="none" w:sz="0" w:space="0"/>
        </w:rPr>
      </w:pPr>
      <w:r>
        <w:t>对基线与复发/再感染相关分离株建议进行WGS/分型，用于区分“复燃/复发（同株）”与“再感染（异株）”。</w:t>
      </w:r>
    </w:p>
    <w:p w14:paraId="74705438">
      <w:pPr>
        <w:pStyle w:val="19"/>
        <w:widowControl/>
        <w:numPr>
          <w:ilvl w:val="0"/>
          <w:numId w:val="17"/>
        </w:numPr>
        <w:ind w:left="0" w:leftChars="0" w:firstLine="0" w:firstLineChars="0"/>
        <w:rPr>
          <w:b w:val="0"/>
          <w:bdr w:val="none" w:sz="0" w:space="0"/>
        </w:rPr>
      </w:pPr>
      <w:r>
        <w:t>当分子检测与表型DST不一致时，可优先考虑测序/复核以确认突变或污染/混合感染可能。</w:t>
      </w:r>
    </w:p>
    <w:p w14:paraId="27BC2CE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培养结果判定与污染处理</w:t>
      </w:r>
    </w:p>
    <w:p w14:paraId="53AFA976">
      <w:pPr>
        <w:pStyle w:val="4"/>
        <w:widowControl/>
        <w:numPr>
          <w:ilvl w:val="0"/>
          <w:numId w:val="18"/>
        </w:numPr>
        <w:ind w:left="0" w:leftChars="0" w:firstLine="0" w:firstLineChars="0"/>
        <w:rPr>
          <w:b/>
          <w:bdr w:val="none" w:sz="0" w:space="0"/>
        </w:rPr>
      </w:pPr>
      <w:r>
        <w:t>单次访视结果状态定义（统一口径）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402"/>
      </w:tblGrid>
      <w:tr w14:paraId="265B9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1" w:type="dxa"/>
          </w:tcPr>
          <w:p w14:paraId="2C6B116B">
            <w:pPr>
              <w:spacing w:after="0" w:line="240" w:lineRule="auto"/>
            </w:pPr>
            <w:r>
              <w:t>状态</w:t>
            </w:r>
          </w:p>
        </w:tc>
        <w:tc>
          <w:tcPr>
            <w:tcW w:w="3969" w:type="dxa"/>
          </w:tcPr>
          <w:p w14:paraId="6FDF064F">
            <w:pPr>
              <w:spacing w:after="0" w:line="240" w:lineRule="auto"/>
            </w:pPr>
            <w:r>
              <w:t>定义（按访视/时点）</w:t>
            </w:r>
          </w:p>
        </w:tc>
        <w:tc>
          <w:tcPr>
            <w:tcW w:w="3402" w:type="dxa"/>
          </w:tcPr>
          <w:p w14:paraId="3CF23021">
            <w:pPr>
              <w:spacing w:after="0" w:line="240" w:lineRule="auto"/>
            </w:pPr>
            <w:r>
              <w:t>操作要求</w:t>
            </w:r>
          </w:p>
        </w:tc>
      </w:tr>
      <w:tr w14:paraId="6A795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57A924E">
            <w:pPr>
              <w:spacing w:after="0" w:line="240" w:lineRule="auto"/>
            </w:pPr>
            <w:r>
              <w:t>阳性（MTBC+）</w:t>
            </w:r>
          </w:p>
        </w:tc>
        <w:tc>
          <w:tcPr>
            <w:tcW w:w="3969" w:type="dxa"/>
          </w:tcPr>
          <w:p w14:paraId="63A92952">
            <w:pPr>
              <w:spacing w:after="0" w:line="240" w:lineRule="auto"/>
            </w:pPr>
            <w:r>
              <w:t>任一非污染培养体系阳性且物种鉴定为MTBC</w:t>
            </w:r>
          </w:p>
        </w:tc>
        <w:tc>
          <w:tcPr>
            <w:tcW w:w="3402" w:type="dxa"/>
          </w:tcPr>
          <w:p w14:paraId="17F238C5">
            <w:pPr>
              <w:spacing w:after="0" w:line="240" w:lineRule="auto"/>
            </w:pPr>
            <w:r>
              <w:t>记录阳性日期；触发复核/加做（见第8.3、第10节）；必要时加做DST/WGS。</w:t>
            </w:r>
          </w:p>
        </w:tc>
      </w:tr>
      <w:tr w14:paraId="3A00D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9E1650D">
            <w:pPr>
              <w:spacing w:after="0" w:line="240" w:lineRule="auto"/>
            </w:pPr>
            <w:r>
              <w:t>阴性（MTBC-）</w:t>
            </w:r>
          </w:p>
        </w:tc>
        <w:tc>
          <w:tcPr>
            <w:tcW w:w="3969" w:type="dxa"/>
          </w:tcPr>
          <w:p w14:paraId="6F04BBE3">
            <w:pPr>
              <w:spacing w:after="0" w:line="240" w:lineRule="auto"/>
            </w:pPr>
            <w:r>
              <w:t>所有已报告的非污染培养体系均为阴性</w:t>
            </w:r>
          </w:p>
        </w:tc>
        <w:tc>
          <w:tcPr>
            <w:tcW w:w="3402" w:type="dxa"/>
          </w:tcPr>
          <w:p w14:paraId="2A0ACF2A">
            <w:pPr>
              <w:spacing w:after="0" w:line="240" w:lineRule="auto"/>
            </w:pPr>
            <w:r>
              <w:t>按随访表继续；用于转阴/复阳判定。</w:t>
            </w:r>
          </w:p>
        </w:tc>
      </w:tr>
      <w:tr w14:paraId="47A15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0E7D6A58">
            <w:pPr>
              <w:spacing w:after="0" w:line="240" w:lineRule="auto"/>
            </w:pPr>
            <w:r>
              <w:t>污染</w:t>
            </w:r>
          </w:p>
        </w:tc>
        <w:tc>
          <w:tcPr>
            <w:tcW w:w="3969" w:type="dxa"/>
          </w:tcPr>
          <w:p w14:paraId="19D4E998">
            <w:pPr>
              <w:spacing w:after="0" w:line="240" w:lineRule="auto"/>
            </w:pPr>
            <w:r>
              <w:t>实验室报告污染，导致无法判读该体系结果</w:t>
            </w:r>
          </w:p>
        </w:tc>
        <w:tc>
          <w:tcPr>
            <w:tcW w:w="3402" w:type="dxa"/>
          </w:tcPr>
          <w:p w14:paraId="0571C41F">
            <w:pPr>
              <w:spacing w:after="0" w:line="240" w:lineRule="auto"/>
            </w:pPr>
            <w:r>
              <w:t>尽快补采（优先在窗口内）；记录污染类型与处理。</w:t>
            </w:r>
          </w:p>
        </w:tc>
      </w:tr>
      <w:tr w14:paraId="7E828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3E5A0A52">
            <w:pPr>
              <w:spacing w:after="0" w:line="240" w:lineRule="auto"/>
            </w:pPr>
            <w:r>
              <w:t>不可判定/缺失</w:t>
            </w:r>
          </w:p>
        </w:tc>
        <w:tc>
          <w:tcPr>
            <w:tcW w:w="3969" w:type="dxa"/>
          </w:tcPr>
          <w:p w14:paraId="070C6768">
            <w:pPr>
              <w:spacing w:after="0" w:line="240" w:lineRule="auto"/>
            </w:pPr>
            <w:r>
              <w:t>仅有污染或标本不足/丢失导致无法判定阳性或阴性</w:t>
            </w:r>
          </w:p>
        </w:tc>
        <w:tc>
          <w:tcPr>
            <w:tcW w:w="3402" w:type="dxa"/>
          </w:tcPr>
          <w:p w14:paraId="2EEEE7F9">
            <w:pPr>
              <w:spacing w:after="0" w:line="240" w:lineRule="auto"/>
            </w:pPr>
            <w:r>
              <w:t>必须启动数据/实验室核查与补采；若无法补齐，按分析计划进行缺失处理。</w:t>
            </w:r>
          </w:p>
        </w:tc>
      </w:tr>
    </w:tbl>
    <w:p w14:paraId="756DE403"/>
    <w:p w14:paraId="33FC9F96">
      <w:pPr>
        <w:pStyle w:val="4"/>
        <w:widowControl/>
        <w:numPr>
          <w:ilvl w:val="0"/>
          <w:numId w:val="18"/>
        </w:numPr>
        <w:ind w:left="0" w:leftChars="0" w:firstLine="0" w:firstLineChars="0"/>
        <w:rPr>
          <w:b/>
          <w:bdr w:val="none" w:sz="0" w:space="0"/>
        </w:rPr>
      </w:pPr>
      <w:r>
        <w:t>污染率监测与纠偏</w:t>
      </w:r>
    </w:p>
    <w:p w14:paraId="3DF280A1">
      <w:pPr>
        <w:pStyle w:val="19"/>
        <w:widowControl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实验室应按月监测培养污染率（按培养体系分别统计）。污染率异常升高需启动根因分析（样本质量、运输时效、去污染流程、耗材批次等）。</w:t>
      </w:r>
    </w:p>
    <w:p w14:paraId="034067FB">
      <w:pPr>
        <w:pStyle w:val="19"/>
        <w:widowControl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对重复污染的受试者：优先强化采样指导、缩短运输、必要时采用诱导痰/其他合格标本。</w:t>
      </w:r>
    </w:p>
    <w:p w14:paraId="3A83D3E6">
      <w:pPr>
        <w:pStyle w:val="4"/>
        <w:widowControl/>
        <w:numPr>
          <w:ilvl w:val="0"/>
          <w:numId w:val="18"/>
        </w:numPr>
        <w:ind w:left="0" w:leftChars="0" w:firstLine="0" w:firstLineChars="0"/>
        <w:rPr>
          <w:b/>
          <w:bdr w:val="none" w:sz="0" w:space="0"/>
        </w:rPr>
      </w:pPr>
      <w:r>
        <w:t>转阴/复阳判定（与SOP02/方案衔接）</w:t>
      </w:r>
    </w:p>
    <w:p w14:paraId="26F92232">
      <w:pPr>
        <w:pStyle w:val="19"/>
        <w:widowControl/>
      </w:pPr>
      <w:r>
        <w:t>为避免跨文件口径不一致，本研究采用“可推导”的记录策略：在源文件与EDC中记录每次培养的采集日期与报告日期，并保留原始报告。在此基础上，转阴/复阳可按不同分析/决策口径计算。</w:t>
      </w:r>
    </w:p>
    <w:p w14:paraId="48773DF8">
      <w:pPr>
        <w:pStyle w:val="19"/>
        <w:widowControl/>
        <w:numPr>
          <w:ilvl w:val="0"/>
          <w:numId w:val="20"/>
        </w:numPr>
        <w:ind w:left="0" w:leftChars="0" w:firstLine="0" w:firstLineChars="0"/>
        <w:rPr>
          <w:b w:val="0"/>
          <w:bdr w:val="none" w:sz="0" w:space="0"/>
        </w:rPr>
      </w:pPr>
      <w:r>
        <w:t>方案定义的“痰培养转阴时间”：自随机化起至首次出现连续两次（间隔至少7天）培养阴性的时间（用于终点分析口径）。</w:t>
      </w:r>
    </w:p>
    <w:p w14:paraId="4A5FD328">
      <w:pPr>
        <w:pStyle w:val="19"/>
        <w:widowControl/>
        <w:numPr>
          <w:ilvl w:val="0"/>
          <w:numId w:val="20"/>
        </w:numPr>
        <w:ind w:left="0" w:leftChars="0" w:firstLine="0" w:firstLineChars="0"/>
        <w:rPr>
          <w:b w:val="0"/>
          <w:bdr w:val="none" w:sz="0" w:space="0"/>
        </w:rPr>
      </w:pPr>
      <w:r>
        <w:t>SOP02用于队列B M6 Hard Gate资格判定：以标本采集日期为基准，在M6访视前4个月内获得≥2次培养阴性且间隔≥7天，且自M4起至随机化前无MTBC培养阳性；污染/不可评价按SOP02保守规则处理。</w:t>
      </w:r>
    </w:p>
    <w:p w14:paraId="20D9B927">
      <w:pPr>
        <w:pStyle w:val="19"/>
        <w:widowControl/>
        <w:numPr>
          <w:ilvl w:val="0"/>
          <w:numId w:val="20"/>
        </w:numPr>
        <w:ind w:left="0" w:leftChars="0" w:firstLine="0" w:firstLineChars="0"/>
        <w:rPr>
          <w:b w:val="0"/>
          <w:bdr w:val="none" w:sz="0" w:space="0"/>
        </w:rPr>
      </w:pPr>
      <w:r>
        <w:t>治疗期复阳：已达到“转阴”后出现培养阳性（MTBC+）。建议在7–14天内补采1份确认；并触发分子检测与DST/WGS接口（第10节）。</w:t>
      </w:r>
    </w:p>
    <w:p w14:paraId="6A66F462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NTM识别与处理</w:t>
      </w:r>
    </w:p>
    <w:p w14:paraId="118C910B">
      <w:pPr>
        <w:pStyle w:val="4"/>
        <w:widowControl/>
        <w:numPr>
          <w:ilvl w:val="0"/>
          <w:numId w:val="21"/>
        </w:numPr>
        <w:ind w:left="0" w:leftChars="0" w:firstLine="0" w:firstLineChars="0"/>
        <w:rPr>
          <w:b/>
          <w:bdr w:val="none" w:sz="0" w:space="0"/>
        </w:rPr>
      </w:pPr>
      <w:r>
        <w:t>何时怀疑NTM（触发条件）</w:t>
      </w:r>
    </w:p>
    <w:p w14:paraId="628CECDE">
      <w:pPr>
        <w:pStyle w:val="19"/>
        <w:widowControl/>
        <w:numPr>
          <w:ilvl w:val="0"/>
          <w:numId w:val="22"/>
        </w:numPr>
        <w:ind w:left="0" w:leftChars="0" w:firstLine="0" w:firstLineChars="0"/>
        <w:rPr>
          <w:b w:val="0"/>
          <w:bdr w:val="none" w:sz="0" w:space="0"/>
        </w:rPr>
      </w:pPr>
      <w:r>
        <w:t>涂片阳性但Xpert提示“M.tb Not Detected”（或Ultra未检出MTBC）。</w:t>
      </w:r>
    </w:p>
    <w:p w14:paraId="7E4392FC">
      <w:pPr>
        <w:pStyle w:val="19"/>
        <w:widowControl/>
        <w:numPr>
          <w:ilvl w:val="0"/>
          <w:numId w:val="22"/>
        </w:numPr>
        <w:ind w:left="0" w:leftChars="0" w:firstLine="0" w:firstLineChars="0"/>
        <w:rPr>
          <w:b w:val="0"/>
          <w:bdr w:val="none" w:sz="0" w:space="0"/>
        </w:rPr>
      </w:pPr>
      <w:r>
        <w:t>tNGS或培养鉴定提示NTM。</w:t>
      </w:r>
    </w:p>
    <w:p w14:paraId="02432BF7">
      <w:pPr>
        <w:pStyle w:val="19"/>
        <w:widowControl/>
        <w:numPr>
          <w:ilvl w:val="0"/>
          <w:numId w:val="22"/>
        </w:numPr>
        <w:ind w:left="0" w:leftChars="0" w:firstLine="0" w:firstLineChars="0"/>
        <w:rPr>
          <w:b w:val="0"/>
          <w:bdr w:val="none" w:sz="0" w:space="0"/>
        </w:rPr>
      </w:pPr>
      <w:r>
        <w:t>临床/影像与病原学出现显著不一致，且多次MTBC分子检测阴性。</w:t>
      </w:r>
    </w:p>
    <w:p w14:paraId="5583B67A">
      <w:pPr>
        <w:pStyle w:val="4"/>
        <w:widowControl/>
        <w:numPr>
          <w:ilvl w:val="0"/>
          <w:numId w:val="21"/>
        </w:numPr>
        <w:ind w:left="0" w:leftChars="0" w:firstLine="0" w:firstLineChars="0"/>
        <w:rPr>
          <w:b/>
          <w:bdr w:val="none" w:sz="0" w:space="0"/>
        </w:rPr>
      </w:pPr>
      <w:r>
        <w:t>筛选期处理（入组前）</w:t>
      </w:r>
    </w:p>
    <w:p w14:paraId="0FEEFD0E">
      <w:pPr>
        <w:pStyle w:val="19"/>
        <w:widowControl/>
        <w:numPr>
          <w:ilvl w:val="0"/>
          <w:numId w:val="23"/>
        </w:numPr>
        <w:ind w:left="0" w:leftChars="0" w:firstLine="0" w:firstLineChars="0"/>
        <w:rPr>
          <w:b w:val="0"/>
          <w:bdr w:val="none" w:sz="0" w:space="0"/>
        </w:rPr>
      </w:pPr>
      <w:r>
        <w:t>筛选期证据高度提示为NTM肺病者不得入组（按研究方案排除标准执行）。</w:t>
      </w:r>
    </w:p>
    <w:p w14:paraId="3D2D61A3">
      <w:pPr>
        <w:pStyle w:val="19"/>
        <w:widowControl/>
        <w:numPr>
          <w:ilvl w:val="0"/>
          <w:numId w:val="23"/>
        </w:numPr>
        <w:ind w:left="0" w:leftChars="0" w:firstLine="0" w:firstLineChars="0"/>
        <w:rPr>
          <w:b w:val="0"/>
          <w:bdr w:val="none" w:sz="0" w:space="0"/>
        </w:rPr>
      </w:pPr>
      <w:r>
        <w:t>必须记录触发依据（涂片、分子检测、培养鉴定等）并在筛选日志中注明不入组原因。</w:t>
      </w:r>
    </w:p>
    <w:p w14:paraId="3BF91CD7">
      <w:pPr>
        <w:pStyle w:val="4"/>
        <w:widowControl/>
        <w:numPr>
          <w:ilvl w:val="0"/>
          <w:numId w:val="21"/>
        </w:numPr>
        <w:ind w:left="0" w:leftChars="0" w:firstLine="0" w:firstLineChars="0"/>
        <w:rPr>
          <w:b/>
          <w:bdr w:val="none" w:sz="0" w:space="0"/>
        </w:rPr>
      </w:pPr>
      <w:r>
        <w:t>随访期处理（随机后）</w:t>
      </w:r>
    </w:p>
    <w:p w14:paraId="34CE5C7A">
      <w:pPr>
        <w:pStyle w:val="19"/>
        <w:widowControl/>
        <w:numPr>
          <w:ilvl w:val="0"/>
          <w:numId w:val="24"/>
        </w:numPr>
        <w:ind w:left="0" w:leftChars="0" w:firstLine="0" w:firstLineChars="0"/>
        <w:rPr>
          <w:b w:val="0"/>
          <w:bdr w:val="none" w:sz="0" w:space="0"/>
        </w:rPr>
      </w:pPr>
      <w:r>
        <w:t>若随机后确诊为NTM肺病：按研究方案“NTM或基因组学不一致”条款，必须永久停用研究药物，但应尽最大努力保留在研究中进行观察性随访。</w:t>
      </w:r>
    </w:p>
    <w:p w14:paraId="6E3472AA">
      <w:pPr>
        <w:pStyle w:val="19"/>
        <w:widowControl/>
        <w:numPr>
          <w:ilvl w:val="0"/>
          <w:numId w:val="24"/>
        </w:numPr>
        <w:ind w:left="0" w:leftChars="0" w:firstLine="0" w:firstLineChars="0"/>
        <w:rPr>
          <w:b w:val="0"/>
          <w:bdr w:val="none" w:sz="0" w:space="0"/>
        </w:rPr>
      </w:pPr>
      <w:r>
        <w:t>如出现治疗失败/复阳且物种鉴定为NTM，应与临床团队共同评估抗NTM治疗需求，并将处理作为伴随治疗记录。</w:t>
      </w:r>
    </w:p>
    <w:p w14:paraId="0A3F2D18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复阳/复发事件的检测与WGS接口</w:t>
      </w:r>
    </w:p>
    <w:p w14:paraId="3D4566E4">
      <w:pPr>
        <w:pStyle w:val="4"/>
        <w:widowControl/>
        <w:numPr>
          <w:ilvl w:val="0"/>
          <w:numId w:val="25"/>
        </w:numPr>
        <w:ind w:left="0" w:leftChars="0" w:firstLine="0" w:firstLineChars="0"/>
        <w:rPr>
          <w:b/>
          <w:bdr w:val="none" w:sz="0" w:space="0"/>
        </w:rPr>
      </w:pPr>
      <w:r>
        <w:t>触发场景与加做检测组合</w:t>
      </w:r>
    </w:p>
    <w:p w14:paraId="27EA516A">
      <w:pPr>
        <w:pStyle w:val="19"/>
        <w:widowControl/>
        <w:numPr>
          <w:ilvl w:val="0"/>
          <w:numId w:val="26"/>
        </w:numPr>
        <w:ind w:left="0" w:leftChars="0" w:firstLine="0" w:firstLineChars="0"/>
        <w:rPr>
          <w:b w:val="0"/>
          <w:bdr w:val="none" w:sz="0" w:space="0"/>
        </w:rPr>
      </w:pPr>
      <w:r>
        <w:t>治疗期复阳或临床恶化：优先采集痰涂片+培养，并加做分子检测（Xpert/Xpert Ultra；必要时tNGS），同时准备DST/WGS所需的分离株留样。</w:t>
      </w:r>
    </w:p>
    <w:p w14:paraId="47D23C07">
      <w:pPr>
        <w:pStyle w:val="19"/>
        <w:widowControl/>
        <w:numPr>
          <w:ilvl w:val="0"/>
          <w:numId w:val="26"/>
        </w:numPr>
        <w:ind w:left="0" w:leftChars="0" w:firstLine="0" w:firstLineChars="0"/>
        <w:rPr>
          <w:b w:val="0"/>
          <w:bdr w:val="none" w:sz="0" w:space="0"/>
        </w:rPr>
      </w:pPr>
      <w:r>
        <w:t>停药后复发（疑似）：出现症状复燃或任何病原学阳性时立即按上述组合检测，并记录为潜在终点事件，启动CEC资料包准备（如适用）。</w:t>
      </w:r>
    </w:p>
    <w:p w14:paraId="34115667">
      <w:pPr>
        <w:pStyle w:val="4"/>
        <w:widowControl/>
        <w:numPr>
          <w:ilvl w:val="0"/>
          <w:numId w:val="25"/>
        </w:numPr>
        <w:ind w:left="0" w:leftChars="0" w:firstLine="0" w:firstLineChars="0"/>
        <w:rPr>
          <w:b/>
          <w:bdr w:val="none" w:sz="0" w:space="0"/>
        </w:rPr>
      </w:pPr>
      <w:r>
        <w:t>WGS判定规则（复燃 vs 再感染）</w:t>
      </w:r>
    </w:p>
    <w:p w14:paraId="19559D24">
      <w:pPr>
        <w:pStyle w:val="19"/>
        <w:widowControl/>
        <w:numPr>
          <w:ilvl w:val="0"/>
          <w:numId w:val="27"/>
        </w:numPr>
        <w:ind w:left="0" w:leftChars="0" w:firstLine="0" w:firstLineChars="0"/>
        <w:rPr>
          <w:b w:val="0"/>
          <w:bdr w:val="none" w:sz="0" w:space="0"/>
        </w:rPr>
      </w:pPr>
      <w:r>
        <w:t>所有复发菌株应进行WGS；将复发菌株与基线菌株比较。</w:t>
      </w:r>
    </w:p>
    <w:p w14:paraId="285EC87C">
      <w:pPr>
        <w:pStyle w:val="19"/>
        <w:widowControl/>
        <w:numPr>
          <w:ilvl w:val="0"/>
          <w:numId w:val="27"/>
        </w:numPr>
        <w:ind w:left="0" w:leftChars="0" w:firstLine="0" w:firstLineChars="0"/>
        <w:rPr>
          <w:b w:val="0"/>
          <w:bdr w:val="none" w:sz="0" w:space="0"/>
        </w:rPr>
      </w:pPr>
      <w:r>
        <w:t>WGS/分型阈值：以项目WGS章程/SAP锁定为准（示例阈值：≤12 SNPs差异为同源；&gt;12 SNPs为异源）。</w:t>
      </w:r>
    </w:p>
    <w:p w14:paraId="6D156B02">
      <w:pPr>
        <w:pStyle w:val="19"/>
        <w:widowControl/>
        <w:numPr>
          <w:ilvl w:val="0"/>
          <w:numId w:val="27"/>
        </w:numPr>
        <w:ind w:left="0" w:leftChars="0" w:firstLine="0" w:firstLineChars="0"/>
        <w:rPr>
          <w:b w:val="0"/>
          <w:bdr w:val="none" w:sz="0" w:space="0"/>
        </w:rPr>
      </w:pPr>
      <w:r>
        <w:t>同源（复燃/复发，relapse）：按复发事件处理并提交CEC裁决（主要分析计为不良结局）。</w:t>
      </w:r>
    </w:p>
    <w:p w14:paraId="4B4141B6">
      <w:pPr>
        <w:pStyle w:val="19"/>
        <w:widowControl/>
        <w:numPr>
          <w:ilvl w:val="0"/>
          <w:numId w:val="27"/>
        </w:numPr>
        <w:ind w:left="0" w:leftChars="0" w:firstLine="0" w:firstLineChars="0"/>
        <w:rPr>
          <w:b w:val="0"/>
          <w:bdr w:val="none" w:sz="0" w:space="0"/>
        </w:rPr>
      </w:pPr>
      <w:r>
        <w:t>异源（再感染，reinfection）：按研究方案定义处理并提交CEC裁决（主要分析计为不良结局；敏感性分析可按SAP进行替代处理）。</w:t>
      </w:r>
    </w:p>
    <w:p w14:paraId="4812BD62">
      <w:pPr>
        <w:pStyle w:val="19"/>
        <w:widowControl/>
        <w:numPr>
          <w:ilvl w:val="0"/>
          <w:numId w:val="27"/>
        </w:numPr>
        <w:ind w:left="0" w:leftChars="0" w:firstLine="0" w:firstLineChars="0"/>
        <w:rPr>
          <w:b w:val="0"/>
          <w:bdr w:val="none" w:sz="0" w:space="0"/>
        </w:rPr>
      </w:pPr>
      <w:r>
        <w:t>若WGS/分型缺失或无法判定：事件按“复发/未分型（undifferentiated recurrence）”处理，最终分类由CEC按证据链裁决，分析口径按SAP执行。</w:t>
      </w:r>
    </w:p>
    <w:p w14:paraId="53926D76">
      <w:pPr>
        <w:pStyle w:val="4"/>
        <w:widowControl/>
        <w:numPr>
          <w:ilvl w:val="0"/>
          <w:numId w:val="25"/>
        </w:numPr>
        <w:ind w:left="0" w:leftChars="0" w:firstLine="0" w:firstLineChars="0"/>
        <w:rPr>
          <w:b/>
          <w:bdr w:val="none" w:sz="0" w:space="0"/>
        </w:rPr>
      </w:pPr>
      <w:r>
        <w:t>分离株/数据交接与质量要求（接口）</w:t>
      </w:r>
    </w:p>
    <w:p w14:paraId="2FBEADD4">
      <w:pPr>
        <w:pStyle w:val="19"/>
        <w:widowControl/>
        <w:numPr>
          <w:ilvl w:val="0"/>
          <w:numId w:val="28"/>
        </w:numPr>
        <w:ind w:left="0" w:leftChars="0" w:firstLine="0" w:firstLineChars="0"/>
        <w:rPr>
          <w:b w:val="0"/>
          <w:bdr w:val="none" w:sz="0" w:space="0"/>
        </w:rPr>
      </w:pPr>
      <w:r>
        <w:t>提交对象：基线MTBC分离株（如获得）与复阳/复发分离株为优先；如分离株无法保存，可提交DNA/提取物（以中心实验室要求为准）。</w:t>
      </w:r>
    </w:p>
    <w:p w14:paraId="65ADBAF8">
      <w:pPr>
        <w:pStyle w:val="19"/>
        <w:widowControl/>
        <w:numPr>
          <w:ilvl w:val="0"/>
          <w:numId w:val="28"/>
        </w:numPr>
        <w:ind w:left="0" w:leftChars="0" w:firstLine="0" w:firstLineChars="0"/>
        <w:rPr>
          <w:b w:val="0"/>
          <w:bdr w:val="none" w:sz="0" w:space="0"/>
        </w:rPr>
      </w:pPr>
      <w:r>
        <w:t>随样信息：受试者编号、采样日期、培养体系与编号、物种鉴定结果、DST结果、事件类型（治疗期复阳/停药后复发）。</w:t>
      </w:r>
    </w:p>
    <w:p w14:paraId="2A5B790C">
      <w:pPr>
        <w:pStyle w:val="19"/>
        <w:widowControl/>
        <w:numPr>
          <w:ilvl w:val="0"/>
          <w:numId w:val="28"/>
        </w:numPr>
        <w:ind w:left="0" w:leftChars="0" w:firstLine="0" w:firstLineChars="0"/>
        <w:rPr>
          <w:b w:val="0"/>
          <w:bdr w:val="none" w:sz="0" w:space="0"/>
        </w:rPr>
      </w:pPr>
      <w:r>
        <w:t>链路：需保留《样本交接单》（附录D）与运输/接收记录；中心实验室反馈接收确认与样本质控状态。</w:t>
      </w:r>
    </w:p>
    <w:p w14:paraId="15C6DDC2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数据记录与EDC字段建议（最小数据集）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048D2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1C4F1246">
            <w:pPr>
              <w:spacing w:after="0" w:line="240" w:lineRule="auto"/>
            </w:pPr>
            <w:r>
              <w:t>模块</w:t>
            </w:r>
          </w:p>
        </w:tc>
        <w:tc>
          <w:tcPr>
            <w:tcW w:w="6803" w:type="dxa"/>
          </w:tcPr>
          <w:p w14:paraId="2EF0FADF">
            <w:pPr>
              <w:spacing w:after="0" w:line="240" w:lineRule="auto"/>
            </w:pPr>
            <w:r>
              <w:t>最小字段（建议）</w:t>
            </w:r>
          </w:p>
        </w:tc>
      </w:tr>
      <w:tr w14:paraId="5A5FB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2DB1E9C">
            <w:pPr>
              <w:spacing w:after="0" w:line="240" w:lineRule="auto"/>
            </w:pPr>
            <w:r>
              <w:t>采样信息</w:t>
            </w:r>
          </w:p>
        </w:tc>
        <w:tc>
          <w:tcPr>
            <w:tcW w:w="6803" w:type="dxa"/>
          </w:tcPr>
          <w:p w14:paraId="2364A809">
            <w:pPr>
              <w:spacing w:after="0" w:line="240" w:lineRule="auto"/>
            </w:pPr>
            <w:r>
              <w:t>采样日期时间；标本类型；标本质量（合格/不佳）；是否给药前；采样方式（自发/诱导/其他）。</w:t>
            </w:r>
          </w:p>
        </w:tc>
      </w:tr>
      <w:tr w14:paraId="0E44E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736097F">
            <w:pPr>
              <w:spacing w:after="0" w:line="240" w:lineRule="auto"/>
            </w:pPr>
            <w:r>
              <w:t>涂片</w:t>
            </w:r>
          </w:p>
        </w:tc>
        <w:tc>
          <w:tcPr>
            <w:tcW w:w="6803" w:type="dxa"/>
          </w:tcPr>
          <w:p w14:paraId="6C469FDF">
            <w:pPr>
              <w:spacing w:after="0" w:line="240" w:lineRule="auto"/>
            </w:pPr>
            <w:r>
              <w:t>方法；结果（阴性或+~++++）；报告日期。</w:t>
            </w:r>
          </w:p>
        </w:tc>
      </w:tr>
      <w:tr w14:paraId="478FD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778CFAE9">
            <w:pPr>
              <w:spacing w:after="0" w:line="240" w:lineRule="auto"/>
            </w:pPr>
            <w:r>
              <w:t>培养</w:t>
            </w:r>
          </w:p>
        </w:tc>
        <w:tc>
          <w:tcPr>
            <w:tcW w:w="6803" w:type="dxa"/>
          </w:tcPr>
          <w:p w14:paraId="15C0CC6B">
            <w:pPr>
              <w:spacing w:after="0" w:line="240" w:lineRule="auto"/>
            </w:pPr>
            <w:r>
              <w:t>培养体系（固体/液体/两者）；结果（MTBC+ / MTBC- / 污染 / 不可判定）；阳性日期/报告日期；物种鉴定（MTBC/NTM/其他）。</w:t>
            </w:r>
          </w:p>
        </w:tc>
      </w:tr>
      <w:tr w14:paraId="035BA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F15AD27">
            <w:pPr>
              <w:spacing w:after="0" w:line="240" w:lineRule="auto"/>
            </w:pPr>
            <w:r>
              <w:t>分子检测</w:t>
            </w:r>
          </w:p>
        </w:tc>
        <w:tc>
          <w:tcPr>
            <w:tcW w:w="6803" w:type="dxa"/>
          </w:tcPr>
          <w:p w14:paraId="28A4BF1E">
            <w:pPr>
              <w:spacing w:after="0" w:line="240" w:lineRule="auto"/>
            </w:pPr>
            <w:r>
              <w:t>Xpert或Ultra结果与半定量；tNGS结果（如做）；报告日期。</w:t>
            </w:r>
          </w:p>
        </w:tc>
      </w:tr>
      <w:tr w14:paraId="0D180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48721C30">
            <w:pPr>
              <w:spacing w:after="0" w:line="240" w:lineRule="auto"/>
            </w:pPr>
            <w:r>
              <w:t>DST</w:t>
            </w:r>
          </w:p>
        </w:tc>
        <w:tc>
          <w:tcPr>
            <w:tcW w:w="6803" w:type="dxa"/>
          </w:tcPr>
          <w:p w14:paraId="63B3660F">
            <w:pPr>
              <w:spacing w:after="0" w:line="240" w:lineRule="auto"/>
            </w:pPr>
            <w:r>
              <w:t>方法；药物列表（按方案核心药物及必要二线药）；结果；报告日期。</w:t>
            </w:r>
          </w:p>
        </w:tc>
      </w:tr>
      <w:tr w14:paraId="3D765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</w:tcPr>
          <w:p w14:paraId="21A418E3">
            <w:pPr>
              <w:spacing w:after="0" w:line="240" w:lineRule="auto"/>
            </w:pPr>
            <w:r>
              <w:t>WGS</w:t>
            </w:r>
          </w:p>
        </w:tc>
        <w:tc>
          <w:tcPr>
            <w:tcW w:w="6803" w:type="dxa"/>
          </w:tcPr>
          <w:p w14:paraId="05892A7D">
            <w:pPr>
              <w:spacing w:after="0" w:line="240" w:lineRule="auto"/>
            </w:pPr>
            <w:r>
              <w:t>样本提交日期；测序成功/失败；与基线比较SNP差异；结论（同源/异源/不可判定）；报告日期。</w:t>
            </w:r>
          </w:p>
        </w:tc>
      </w:tr>
    </w:tbl>
    <w:p w14:paraId="0303AA25"/>
    <w:p w14:paraId="161E1985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偏差、质量控制与培训要点</w:t>
      </w:r>
    </w:p>
    <w:p w14:paraId="10138575">
      <w:pPr>
        <w:pStyle w:val="19"/>
        <w:widowControl/>
        <w:numPr>
          <w:ilvl w:val="0"/>
          <w:numId w:val="29"/>
        </w:numPr>
        <w:ind w:left="0" w:leftChars="0" w:firstLine="0" w:firstLineChars="0"/>
        <w:rPr>
          <w:b w:val="0"/>
          <w:bdr w:val="none" w:sz="0" w:space="0"/>
        </w:rPr>
      </w:pPr>
      <w:r>
        <w:t>样本质量与时效：重点监查‘明显唾液标本’与‘采集-处理超时’；必要时开展现场再培训。</w:t>
      </w:r>
    </w:p>
    <w:p w14:paraId="7D72E68F">
      <w:pPr>
        <w:pStyle w:val="19"/>
        <w:widowControl/>
        <w:numPr>
          <w:ilvl w:val="0"/>
          <w:numId w:val="29"/>
        </w:numPr>
        <w:ind w:left="0" w:leftChars="0" w:firstLine="0" w:firstLineChars="0"/>
        <w:rPr>
          <w:b w:val="0"/>
          <w:bdr w:val="none" w:sz="0" w:space="0"/>
        </w:rPr>
      </w:pPr>
      <w:r>
        <w:t>污染控制：对污染率升高的中心进行专项整改与复评。</w:t>
      </w:r>
    </w:p>
    <w:p w14:paraId="1A39E1D4">
      <w:pPr>
        <w:pStyle w:val="19"/>
        <w:widowControl/>
        <w:numPr>
          <w:ilvl w:val="0"/>
          <w:numId w:val="29"/>
        </w:numPr>
        <w:ind w:left="0" w:leftChars="0" w:firstLine="0" w:firstLineChars="0"/>
        <w:rPr>
          <w:b w:val="0"/>
          <w:bdr w:val="none" w:sz="0" w:space="0"/>
        </w:rPr>
      </w:pPr>
      <w:r>
        <w:t>终点事件证据链：确保复发相关分离株留存与WGS提交完整；缺失将直接影响终点裁决与分析。</w:t>
      </w:r>
    </w:p>
    <w:p w14:paraId="27A880DF">
      <w:pPr>
        <w:pStyle w:val="19"/>
        <w:widowControl/>
        <w:numPr>
          <w:ilvl w:val="0"/>
          <w:numId w:val="29"/>
        </w:numPr>
        <w:ind w:left="0" w:leftChars="0" w:firstLine="0" w:firstLineChars="0"/>
        <w:rPr>
          <w:b w:val="0"/>
          <w:bdr w:val="none" w:sz="0" w:space="0"/>
        </w:rPr>
      </w:pPr>
      <w:r>
        <w:t>人员培训：采样宣教、标本标识与链路记录、NTM识别、复阳/复发触发后的加做检测组合与上报路径。</w:t>
      </w:r>
    </w:p>
    <w:p w14:paraId="0A48CFD3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附录（模板/清单）</w:t>
      </w:r>
    </w:p>
    <w:p w14:paraId="0EAD86AA">
      <w:pPr>
        <w:pStyle w:val="19"/>
        <w:widowControl/>
        <w:numPr>
          <w:ilvl w:val="0"/>
          <w:numId w:val="30"/>
        </w:numPr>
        <w:ind w:left="0" w:leftChars="0" w:firstLine="0" w:firstLineChars="0"/>
        <w:rPr>
          <w:b w:val="0"/>
          <w:bdr w:val="none" w:sz="0" w:space="0"/>
        </w:rPr>
      </w:pPr>
      <w:r>
        <w:t>附录A：痰标本质量评估与现场重采清单</w:t>
      </w:r>
    </w:p>
    <w:p w14:paraId="1E179471">
      <w:pPr>
        <w:pStyle w:val="19"/>
        <w:widowControl/>
        <w:numPr>
          <w:ilvl w:val="0"/>
          <w:numId w:val="30"/>
        </w:numPr>
        <w:ind w:left="0" w:leftChars="0" w:firstLine="0" w:firstLineChars="0"/>
        <w:rPr>
          <w:b w:val="0"/>
          <w:bdr w:val="none" w:sz="0" w:space="0"/>
        </w:rPr>
      </w:pPr>
      <w:r>
        <w:t>附录B：培养结果状态判定与补采决策树（含污染处理）</w:t>
      </w:r>
    </w:p>
    <w:p w14:paraId="14E705A1">
      <w:pPr>
        <w:pStyle w:val="19"/>
        <w:widowControl/>
        <w:numPr>
          <w:ilvl w:val="0"/>
          <w:numId w:val="30"/>
        </w:numPr>
        <w:ind w:left="0" w:leftChars="0" w:firstLine="0" w:firstLineChars="0"/>
        <w:rPr>
          <w:b w:val="0"/>
          <w:bdr w:val="none" w:sz="0" w:space="0"/>
        </w:rPr>
      </w:pPr>
      <w:r>
        <w:t>附录C：疑似NTM触发—鉴定—处置流程图</w:t>
      </w:r>
    </w:p>
    <w:p w14:paraId="481D6791">
      <w:pPr>
        <w:pStyle w:val="19"/>
        <w:widowControl/>
        <w:numPr>
          <w:ilvl w:val="0"/>
          <w:numId w:val="30"/>
        </w:numPr>
        <w:ind w:left="0" w:leftChars="0" w:firstLine="0" w:firstLineChars="0"/>
        <w:rPr>
          <w:b w:val="0"/>
          <w:bdr w:val="none" w:sz="0" w:space="0"/>
        </w:rPr>
      </w:pPr>
      <w:r>
        <w:t>附录D：DST/WGS样本交接单（最小信息集）</w:t>
      </w:r>
    </w:p>
    <w:p w14:paraId="2C5A34B8">
      <w:pPr>
        <w:pStyle w:val="19"/>
        <w:widowControl/>
        <w:numPr>
          <w:ilvl w:val="0"/>
          <w:numId w:val="30"/>
        </w:numPr>
        <w:ind w:left="0" w:leftChars="0" w:firstLine="0" w:firstLineChars="0"/>
        <w:rPr>
          <w:b w:val="0"/>
          <w:bdr w:val="none" w:sz="0" w:space="0"/>
        </w:rPr>
      </w:pPr>
      <w:r>
        <w:t>附录E：复阳/复发事件的‘加做检测组合’速查卡（供临床/CRC使用）</w:t>
      </w:r>
    </w:p>
    <w:p w14:paraId="51DF8275">
      <w:pPr>
        <w:pStyle w:val="164"/>
        <w:widowControl/>
      </w:pPr>
      <w:r>
        <w:t>附录A：痰标本质量评估与现场重采清单（示例）</w:t>
      </w:r>
    </w:p>
    <w:p w14:paraId="09A78FE4">
      <w:pPr>
        <w:pStyle w:val="19"/>
        <w:widowControl/>
        <w:numPr>
          <w:ilvl w:val="0"/>
          <w:numId w:val="30"/>
        </w:numPr>
        <w:ind w:left="0" w:leftChars="0" w:firstLine="0" w:firstLineChars="0"/>
        <w:rPr>
          <w:b w:val="0"/>
          <w:bdr w:val="none" w:sz="0" w:space="0"/>
        </w:rPr>
      </w:pPr>
      <w:r>
        <w:t>□ 受试者已接受深咳采痰宣教；□ 标本外观为黏液/脓性/血性（优先）</w:t>
      </w:r>
    </w:p>
    <w:p w14:paraId="2F4FA0F0">
      <w:pPr>
        <w:pStyle w:val="19"/>
        <w:widowControl/>
        <w:numPr>
          <w:ilvl w:val="0"/>
          <w:numId w:val="30"/>
        </w:numPr>
        <w:ind w:left="0" w:leftChars="0" w:firstLine="0" w:firstLineChars="0"/>
        <w:rPr>
          <w:b w:val="0"/>
          <w:bdr w:val="none" w:sz="0" w:space="0"/>
        </w:rPr>
      </w:pPr>
      <w:r>
        <w:t>□ 明显清亮唾液？若是→现场再次指导重采（可≤2次）</w:t>
      </w:r>
    </w:p>
    <w:p w14:paraId="5379A368">
      <w:pPr>
        <w:pStyle w:val="19"/>
        <w:widowControl/>
        <w:numPr>
          <w:ilvl w:val="0"/>
          <w:numId w:val="30"/>
        </w:numPr>
        <w:ind w:left="0" w:leftChars="0" w:firstLine="0" w:firstLineChars="0"/>
        <w:rPr>
          <w:b w:val="0"/>
          <w:bdr w:val="none" w:sz="0" w:space="0"/>
        </w:rPr>
      </w:pPr>
      <w:r>
        <w:t>□ 记录采样方式：自发/诱导/其他；记录采样时间与是否给药前</w:t>
      </w:r>
    </w:p>
    <w:p w14:paraId="5D01B8E0">
      <w:pPr>
        <w:pStyle w:val="19"/>
        <w:widowControl/>
        <w:numPr>
          <w:ilvl w:val="0"/>
          <w:numId w:val="30"/>
        </w:numPr>
        <w:ind w:left="0" w:leftChars="0" w:firstLine="0" w:firstLineChars="0"/>
        <w:rPr>
          <w:b w:val="0"/>
          <w:bdr w:val="none" w:sz="0" w:space="0"/>
        </w:rPr>
      </w:pPr>
      <w:r>
        <w:t>□ 容器密封完好、双标识齐全；□ 运送时间与条件符合中心规定</w:t>
      </w:r>
    </w:p>
    <w:p w14:paraId="162BD006">
      <w:pPr>
        <w:pStyle w:val="164"/>
        <w:widowControl/>
      </w:pPr>
      <w:r>
        <w:t>附录D：DST/WGS样本交接单—最小信息集（示例字段）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34B52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68" w:type="dxa"/>
          </w:tcPr>
          <w:p w14:paraId="02381F02">
            <w:pPr>
              <w:spacing w:after="0" w:line="240" w:lineRule="auto"/>
            </w:pPr>
            <w:r>
              <w:t>字段</w:t>
            </w:r>
          </w:p>
        </w:tc>
        <w:tc>
          <w:tcPr>
            <w:tcW w:w="6236" w:type="dxa"/>
          </w:tcPr>
          <w:p w14:paraId="04A869E1">
            <w:pPr>
              <w:spacing w:after="0" w:line="240" w:lineRule="auto"/>
            </w:pPr>
            <w:r>
              <w:t>填写要点</w:t>
            </w:r>
          </w:p>
        </w:tc>
      </w:tr>
      <w:tr w14:paraId="7C584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0357B25">
            <w:pPr>
              <w:spacing w:after="0" w:line="240" w:lineRule="auto"/>
            </w:pPr>
            <w:r>
              <w:t>受试者编号</w:t>
            </w:r>
          </w:p>
        </w:tc>
        <w:tc>
          <w:tcPr>
            <w:tcW w:w="6236" w:type="dxa"/>
          </w:tcPr>
          <w:p w14:paraId="5389046D">
            <w:pPr>
              <w:spacing w:after="0" w:line="240" w:lineRule="auto"/>
            </w:pPr>
            <w:r>
              <w:t>仅用研究编号</w:t>
            </w:r>
          </w:p>
        </w:tc>
      </w:tr>
      <w:tr w14:paraId="566AE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FFDE8A1">
            <w:pPr>
              <w:spacing w:after="0" w:line="240" w:lineRule="auto"/>
            </w:pPr>
            <w:r>
              <w:t>标本类型/批次</w:t>
            </w:r>
          </w:p>
        </w:tc>
        <w:tc>
          <w:tcPr>
            <w:tcW w:w="6236" w:type="dxa"/>
          </w:tcPr>
          <w:p w14:paraId="7BC7C19A">
            <w:pPr>
              <w:spacing w:after="0" w:line="240" w:lineRule="auto"/>
            </w:pPr>
            <w:r>
              <w:t>痰培养分离株/ DNA等；培养体系与编号</w:t>
            </w:r>
          </w:p>
        </w:tc>
      </w:tr>
      <w:tr w14:paraId="67F85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6E230B1">
            <w:pPr>
              <w:spacing w:after="0" w:line="240" w:lineRule="auto"/>
            </w:pPr>
            <w:r>
              <w:t>采样与报告日期</w:t>
            </w:r>
          </w:p>
        </w:tc>
        <w:tc>
          <w:tcPr>
            <w:tcW w:w="6236" w:type="dxa"/>
          </w:tcPr>
          <w:p w14:paraId="38347BB2">
            <w:pPr>
              <w:spacing w:after="0" w:line="240" w:lineRule="auto"/>
            </w:pPr>
            <w:r>
              <w:t>采样日期时间；培养阳性报告日期</w:t>
            </w:r>
          </w:p>
        </w:tc>
      </w:tr>
      <w:tr w14:paraId="52AC2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BFF9B15">
            <w:pPr>
              <w:spacing w:after="0" w:line="240" w:lineRule="auto"/>
            </w:pPr>
            <w:r>
              <w:t>物种鉴定</w:t>
            </w:r>
          </w:p>
        </w:tc>
        <w:tc>
          <w:tcPr>
            <w:tcW w:w="6236" w:type="dxa"/>
          </w:tcPr>
          <w:p w14:paraId="412A5EB6">
            <w:pPr>
              <w:spacing w:after="0" w:line="240" w:lineRule="auto"/>
            </w:pPr>
            <w:r>
              <w:t>MTBC/NTM/其他（附报告）</w:t>
            </w:r>
          </w:p>
        </w:tc>
      </w:tr>
      <w:tr w14:paraId="4F70E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30509ACE">
            <w:pPr>
              <w:spacing w:after="0" w:line="240" w:lineRule="auto"/>
            </w:pPr>
            <w:r>
              <w:t>事件类型</w:t>
            </w:r>
          </w:p>
        </w:tc>
        <w:tc>
          <w:tcPr>
            <w:tcW w:w="6236" w:type="dxa"/>
          </w:tcPr>
          <w:p w14:paraId="38FD95EB">
            <w:pPr>
              <w:spacing w:after="0" w:line="240" w:lineRule="auto"/>
            </w:pPr>
            <w:r>
              <w:t>基线/治疗期复阳/停药后复发</w:t>
            </w:r>
          </w:p>
        </w:tc>
      </w:tr>
      <w:tr w14:paraId="01CFF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72709CF">
            <w:pPr>
              <w:spacing w:after="0" w:line="240" w:lineRule="auto"/>
            </w:pPr>
            <w:r>
              <w:t>DST结果</w:t>
            </w:r>
          </w:p>
        </w:tc>
        <w:tc>
          <w:tcPr>
            <w:tcW w:w="6236" w:type="dxa"/>
          </w:tcPr>
          <w:p w14:paraId="3D88B2BB">
            <w:pPr>
              <w:spacing w:after="0" w:line="240" w:lineRule="auto"/>
            </w:pPr>
            <w:r>
              <w:t>附DST报告或关键结果摘要</w:t>
            </w:r>
          </w:p>
        </w:tc>
      </w:tr>
      <w:tr w14:paraId="49FB4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08A17E1">
            <w:pPr>
              <w:spacing w:after="0" w:line="240" w:lineRule="auto"/>
            </w:pPr>
            <w:r>
              <w:t>提交与接收</w:t>
            </w:r>
          </w:p>
        </w:tc>
        <w:tc>
          <w:tcPr>
            <w:tcW w:w="6236" w:type="dxa"/>
          </w:tcPr>
          <w:p w14:paraId="7E63188E">
            <w:pPr>
              <w:spacing w:after="0" w:line="240" w:lineRule="auto"/>
            </w:pPr>
            <w:r>
              <w:t>提交单位/联系人/日期；接收单位/日期；温控与运输方式记录</w:t>
            </w:r>
          </w:p>
        </w:tc>
      </w:tr>
    </w:tbl>
    <w:p w14:paraId="446766F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B3E1B"/>
    <w:multiLevelType w:val="singleLevel"/>
    <w:tmpl w:val="80FB3E1B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">
    <w:nsid w:val="924EDDE9"/>
    <w:multiLevelType w:val="singleLevel"/>
    <w:tmpl w:val="924EDDE9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2">
    <w:nsid w:val="9449701C"/>
    <w:multiLevelType w:val="singleLevel"/>
    <w:tmpl w:val="9449701C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3">
    <w:nsid w:val="A4344C5C"/>
    <w:multiLevelType w:val="singleLevel"/>
    <w:tmpl w:val="A4344C5C"/>
    <w:lvl w:ilvl="0" w:tentative="0">
      <w:start w:val="1"/>
      <w:numFmt w:val="decimal"/>
      <w:suff w:val="space"/>
      <w:lvlText w:val="10.%1"/>
      <w:lvlJc w:val="left"/>
      <w:pPr>
        <w:ind w:left="0" w:firstLine="0"/>
      </w:pPr>
      <w:rPr>
        <w:rFonts w:hint="default"/>
      </w:rPr>
    </w:lvl>
  </w:abstractNum>
  <w:abstractNum w:abstractNumId="4">
    <w:nsid w:val="AD1A01FF"/>
    <w:multiLevelType w:val="singleLevel"/>
    <w:tmpl w:val="AD1A01FF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5">
    <w:nsid w:val="AD617D89"/>
    <w:multiLevelType w:val="singleLevel"/>
    <w:tmpl w:val="AD617D89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6">
    <w:nsid w:val="AE80A7C1"/>
    <w:multiLevelType w:val="singleLevel"/>
    <w:tmpl w:val="AE80A7C1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7">
    <w:nsid w:val="D633B918"/>
    <w:multiLevelType w:val="singleLevel"/>
    <w:tmpl w:val="D633B918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8">
    <w:nsid w:val="DA963DC4"/>
    <w:multiLevelType w:val="singleLevel"/>
    <w:tmpl w:val="DA963DC4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9">
    <w:nsid w:val="F678804C"/>
    <w:multiLevelType w:val="singleLevel"/>
    <w:tmpl w:val="F678804C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6">
    <w:nsid w:val="068183D8"/>
    <w:multiLevelType w:val="singleLevel"/>
    <w:tmpl w:val="068183D8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7">
    <w:nsid w:val="0E45334E"/>
    <w:multiLevelType w:val="singleLevel"/>
    <w:tmpl w:val="0E45334E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8">
    <w:nsid w:val="0F71CB72"/>
    <w:multiLevelType w:val="singleLevel"/>
    <w:tmpl w:val="0F71CB72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9">
    <w:nsid w:val="1781EEB7"/>
    <w:multiLevelType w:val="singleLevel"/>
    <w:tmpl w:val="1781EEB7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20">
    <w:nsid w:val="2748629E"/>
    <w:multiLevelType w:val="singleLevel"/>
    <w:tmpl w:val="2748629E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21">
    <w:nsid w:val="28F214E9"/>
    <w:multiLevelType w:val="singleLevel"/>
    <w:tmpl w:val="28F214E9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22">
    <w:nsid w:val="319D2291"/>
    <w:multiLevelType w:val="singleLevel"/>
    <w:tmpl w:val="319D2291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23">
    <w:nsid w:val="348BECFA"/>
    <w:multiLevelType w:val="singleLevel"/>
    <w:tmpl w:val="348BECFA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24">
    <w:nsid w:val="34CC8CD0"/>
    <w:multiLevelType w:val="singleLevel"/>
    <w:tmpl w:val="34CC8CD0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5">
    <w:nsid w:val="3A922B4F"/>
    <w:multiLevelType w:val="singleLevel"/>
    <w:tmpl w:val="3A922B4F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26">
    <w:nsid w:val="443BFABD"/>
    <w:multiLevelType w:val="singleLevel"/>
    <w:tmpl w:val="443BFABD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27">
    <w:nsid w:val="53B9BA31"/>
    <w:multiLevelType w:val="singleLevel"/>
    <w:tmpl w:val="53B9BA31"/>
    <w:lvl w:ilvl="0" w:tentative="0">
      <w:start w:val="1"/>
      <w:numFmt w:val="decimal"/>
      <w:suff w:val="space"/>
      <w:lvlText w:val="9.%1"/>
      <w:lvlJc w:val="left"/>
      <w:pPr>
        <w:ind w:left="0" w:firstLine="0"/>
      </w:pPr>
      <w:rPr>
        <w:rFonts w:hint="default"/>
      </w:rPr>
    </w:lvl>
  </w:abstractNum>
  <w:abstractNum w:abstractNumId="28">
    <w:nsid w:val="61F499CB"/>
    <w:multiLevelType w:val="singleLevel"/>
    <w:tmpl w:val="61F499CB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29">
    <w:nsid w:val="714FD885"/>
    <w:multiLevelType w:val="singleLevel"/>
    <w:tmpl w:val="714FD885"/>
    <w:lvl w:ilvl="0" w:tentative="0">
      <w:start w:val="1"/>
      <w:numFmt w:val="decimal"/>
      <w:suff w:val="space"/>
      <w:lvlText w:val="8.%1"/>
      <w:lvlJc w:val="left"/>
      <w:pPr>
        <w:ind w:left="0" w:firstLine="0"/>
      </w:pPr>
      <w:rPr>
        <w:rFonts w:hint="default"/>
      </w:rPr>
    </w:lvl>
  </w:abstractNum>
  <w:num w:numId="1">
    <w:abstractNumId w:val="11"/>
  </w:num>
  <w:num w:numId="2">
    <w:abstractNumId w:val="14"/>
  </w:num>
  <w:num w:numId="3">
    <w:abstractNumId w:val="15"/>
  </w:num>
  <w:num w:numId="4">
    <w:abstractNumId w:val="12"/>
  </w:num>
  <w:num w:numId="5">
    <w:abstractNumId w:val="10"/>
  </w:num>
  <w:num w:numId="6">
    <w:abstractNumId w:val="13"/>
  </w:num>
  <w:num w:numId="7">
    <w:abstractNumId w:val="24"/>
  </w:num>
  <w:num w:numId="8">
    <w:abstractNumId w:val="23"/>
  </w:num>
  <w:num w:numId="9">
    <w:abstractNumId w:val="19"/>
  </w:num>
  <w:num w:numId="10">
    <w:abstractNumId w:val="25"/>
  </w:num>
  <w:num w:numId="11">
    <w:abstractNumId w:val="21"/>
  </w:num>
  <w:num w:numId="12">
    <w:abstractNumId w:val="4"/>
  </w:num>
  <w:num w:numId="13">
    <w:abstractNumId w:val="7"/>
  </w:num>
  <w:num w:numId="14">
    <w:abstractNumId w:val="2"/>
  </w:num>
  <w:num w:numId="15">
    <w:abstractNumId w:val="0"/>
  </w:num>
  <w:num w:numId="16">
    <w:abstractNumId w:val="18"/>
  </w:num>
  <w:num w:numId="17">
    <w:abstractNumId w:val="8"/>
  </w:num>
  <w:num w:numId="18">
    <w:abstractNumId w:val="29"/>
  </w:num>
  <w:num w:numId="19">
    <w:abstractNumId w:val="26"/>
  </w:num>
  <w:num w:numId="20">
    <w:abstractNumId w:val="17"/>
  </w:num>
  <w:num w:numId="21">
    <w:abstractNumId w:val="27"/>
  </w:num>
  <w:num w:numId="22">
    <w:abstractNumId w:val="9"/>
  </w:num>
  <w:num w:numId="23">
    <w:abstractNumId w:val="6"/>
  </w:num>
  <w:num w:numId="24">
    <w:abstractNumId w:val="5"/>
  </w:num>
  <w:num w:numId="25">
    <w:abstractNumId w:val="3"/>
  </w:num>
  <w:num w:numId="26">
    <w:abstractNumId w:val="16"/>
  </w:num>
  <w:num w:numId="27">
    <w:abstractNumId w:val="1"/>
  </w:num>
  <w:num w:numId="28">
    <w:abstractNumId w:val="28"/>
  </w:num>
  <w:num w:numId="29">
    <w:abstractNumId w:val="20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24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附录标题"/>
    <w:next w:val="1"/>
    <w:uiPriority w:val="0"/>
    <w:pPr>
      <w:spacing w:before="240" w:after="120" w:line="240" w:lineRule="auto"/>
      <w:jc w:val="left"/>
      <w:outlineLvl w:val="0"/>
    </w:pPr>
    <w:rPr>
      <w:rFonts w:ascii="Times New Roman" w:hAnsi="Times New Roman" w:eastAsia="宋体" w:cs="Times New Roman"/>
      <w:b/>
      <w:sz w:val="32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4550</Words>
  <Characters>5397</Characters>
  <Lines>0</Lines>
  <Paragraphs>0</Paragraphs>
  <TotalTime>0</TotalTime>
  <ScaleCrop>false</ScaleCrop>
  <LinksUpToDate>false</LinksUpToDate>
  <CharactersWithSpaces>5542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2026-03-13T06:51:28Z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CA5B188B3F184E129EB2B8DF14200CB9_12</vt:lpwstr>
  </property>
</Properties>
</file>