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377F9">
      <w:pPr>
        <w:pStyle w:val="31"/>
        <w:widowControl/>
        <w:ind w:firstLine="2570" w:firstLineChars="800"/>
      </w:pPr>
      <w:r>
        <w:t>TDSC Study SOP18</w:t>
      </w:r>
    </w:p>
    <w:p w14:paraId="2F871C82">
      <w:pPr>
        <w:pStyle w:val="31"/>
        <w:widowControl/>
        <w:ind w:firstLine="964" w:firstLineChars="300"/>
      </w:pPr>
      <w:r>
        <w:t>呼出气样本采集与背景样本采集（FEP气袋）</w:t>
      </w:r>
    </w:p>
    <w:p w14:paraId="100EE5FE">
      <w:pPr>
        <w:pStyle w:val="26"/>
        <w:widowControl/>
      </w:pPr>
      <w:r>
        <w:t>（用于呼出气组学/挥发性有机物分析与PTR-TOF-MS检测）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4"/>
        <w:gridCol w:w="2404"/>
        <w:gridCol w:w="2405"/>
        <w:gridCol w:w="2405"/>
      </w:tblGrid>
      <w:tr w14:paraId="2029A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top"/>
          </w:tcPr>
          <w:p w14:paraId="334E4159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Study acronym</w:t>
            </w:r>
          </w:p>
        </w:tc>
        <w:tc>
          <w:tcPr>
            <w:tcW w:w="1250" w:type="pct"/>
            <w:vAlign w:val="top"/>
          </w:tcPr>
          <w:p w14:paraId="05401D5F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TDSC Study</w:t>
            </w:r>
          </w:p>
        </w:tc>
        <w:tc>
          <w:tcPr>
            <w:tcW w:w="1250" w:type="pct"/>
            <w:vAlign w:val="top"/>
          </w:tcPr>
          <w:p w14:paraId="01F9C0A1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SOP No.</w:t>
            </w:r>
          </w:p>
        </w:tc>
        <w:tc>
          <w:tcPr>
            <w:tcW w:w="1250" w:type="pct"/>
            <w:vAlign w:val="top"/>
          </w:tcPr>
          <w:p w14:paraId="1EC5332B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SOP18</w:t>
            </w:r>
          </w:p>
        </w:tc>
      </w:tr>
      <w:tr w14:paraId="79BAE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top"/>
          </w:tcPr>
          <w:p w14:paraId="2FF291A8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SOP title</w:t>
            </w:r>
          </w:p>
        </w:tc>
        <w:tc>
          <w:tcPr>
            <w:tcW w:w="1250" w:type="pct"/>
            <w:vAlign w:val="top"/>
          </w:tcPr>
          <w:p w14:paraId="4150424C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呼出气样本采集与背景样本采集（FEP气袋；用于呼出气组学/挥发性有机物分析）</w:t>
            </w:r>
          </w:p>
        </w:tc>
        <w:tc>
          <w:tcPr>
            <w:tcW w:w="1250" w:type="pct"/>
            <w:vAlign w:val="top"/>
          </w:tcPr>
          <w:p w14:paraId="1999BBBC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250" w:type="pct"/>
            <w:vAlign w:val="top"/>
          </w:tcPr>
          <w:p w14:paraId="7C1B8157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V1.1</w:t>
            </w:r>
          </w:p>
        </w:tc>
      </w:tr>
      <w:tr w14:paraId="0B518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top"/>
          </w:tcPr>
          <w:p w14:paraId="3DCF06C8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Effective date</w:t>
            </w:r>
          </w:p>
        </w:tc>
        <w:tc>
          <w:tcPr>
            <w:tcW w:w="1250" w:type="pct"/>
            <w:vAlign w:val="top"/>
          </w:tcPr>
          <w:p w14:paraId="5C546B93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2026-03-04</w:t>
            </w:r>
          </w:p>
        </w:tc>
        <w:tc>
          <w:tcPr>
            <w:tcW w:w="1250" w:type="pct"/>
            <w:vAlign w:val="top"/>
          </w:tcPr>
          <w:p w14:paraId="04DCBC45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Supersedes</w:t>
            </w:r>
          </w:p>
        </w:tc>
        <w:tc>
          <w:tcPr>
            <w:tcW w:w="1250" w:type="pct"/>
            <w:vAlign w:val="top"/>
          </w:tcPr>
          <w:p w14:paraId="79C73035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基于 ver 1.0（2026-03-01）修订</w:t>
            </w:r>
          </w:p>
        </w:tc>
      </w:tr>
      <w:tr w14:paraId="455FC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top"/>
          </w:tcPr>
          <w:p w14:paraId="231BD6CF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Scope</w:t>
            </w:r>
          </w:p>
        </w:tc>
        <w:tc>
          <w:tcPr>
            <w:tcW w:w="1250" w:type="pct"/>
            <w:vAlign w:val="top"/>
          </w:tcPr>
          <w:p w14:paraId="02E7FA38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所有参研中心（门诊/病房/社区筛查点/移动采样车等；仅限TDSC受试者与方案规定的对照/背景采样）</w:t>
            </w:r>
          </w:p>
        </w:tc>
        <w:tc>
          <w:tcPr>
            <w:tcW w:w="1250" w:type="pct"/>
            <w:vAlign w:val="top"/>
          </w:tcPr>
          <w:p w14:paraId="65F742C8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Confidentiality</w:t>
            </w:r>
          </w:p>
        </w:tc>
        <w:tc>
          <w:tcPr>
            <w:tcW w:w="1250" w:type="pct"/>
            <w:vAlign w:val="top"/>
          </w:tcPr>
          <w:p w14:paraId="2E39895B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内部使用</w:t>
            </w:r>
          </w:p>
        </w:tc>
      </w:tr>
      <w:tr w14:paraId="60FE5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top"/>
          </w:tcPr>
          <w:p w14:paraId="3B1233E1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Drafted by</w:t>
            </w:r>
          </w:p>
        </w:tc>
        <w:tc>
          <w:tcPr>
            <w:tcW w:w="1250" w:type="pct"/>
            <w:vAlign w:val="top"/>
          </w:tcPr>
          <w:p w14:paraId="5BA1A076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(TBD)</w:t>
            </w:r>
          </w:p>
        </w:tc>
        <w:tc>
          <w:tcPr>
            <w:tcW w:w="1250" w:type="pct"/>
            <w:vAlign w:val="top"/>
          </w:tcPr>
          <w:p w14:paraId="5E918268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Reviewed by</w:t>
            </w:r>
          </w:p>
        </w:tc>
        <w:tc>
          <w:tcPr>
            <w:tcW w:w="1250" w:type="pct"/>
            <w:vAlign w:val="top"/>
          </w:tcPr>
          <w:p w14:paraId="44D70C5F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(TBD)</w:t>
            </w:r>
          </w:p>
        </w:tc>
      </w:tr>
      <w:tr w14:paraId="6713A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top"/>
          </w:tcPr>
          <w:p w14:paraId="70FBE27A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Approved by</w:t>
            </w:r>
          </w:p>
        </w:tc>
        <w:tc>
          <w:tcPr>
            <w:tcW w:w="1250" w:type="pct"/>
            <w:vAlign w:val="top"/>
          </w:tcPr>
          <w:p w14:paraId="18FD0964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(TBD)</w:t>
            </w:r>
          </w:p>
        </w:tc>
        <w:tc>
          <w:tcPr>
            <w:tcW w:w="1250" w:type="pct"/>
            <w:vAlign w:val="top"/>
          </w:tcPr>
          <w:p w14:paraId="760CCA84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Related documents</w:t>
            </w:r>
          </w:p>
        </w:tc>
        <w:tc>
          <w:tcPr>
            <w:tcW w:w="1250" w:type="pct"/>
            <w:vAlign w:val="top"/>
          </w:tcPr>
          <w:p w14:paraId="3903B06D">
            <w:pPr>
              <w:pStyle w:val="19"/>
              <w:widowControl/>
              <w:rPr>
                <w:b w:val="0"/>
              </w:rPr>
            </w:pPr>
            <w:r>
              <w:rPr>
                <w:b w:val="0"/>
              </w:rPr>
              <w:t>TDSC研究方案 V2.0（2026-02-28）：候选生物标志物/数字工具（含breathomics）采集与不披露原则；随访表/采样时间点；SOP11（知情同意）；SOP12（信息隔离）；生物安全/院感制度</w:t>
            </w:r>
          </w:p>
        </w:tc>
      </w:tr>
    </w:tbl>
    <w:p w14:paraId="073E16E6"/>
    <w:p w14:paraId="77EA3B1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1B0A5705">
      <w:pPr>
        <w:pStyle w:val="19"/>
        <w:widowControl/>
      </w:pPr>
      <w:r>
        <w:rPr>
          <w:b w:val="0"/>
        </w:rPr>
        <w:t>规范TDSC研究中人体呼出气样本及环境背景样本的采集流程，确保样本代表性、完整性与数据可靠性，最大程度减少环境VOCs背景与采样误差，为后续呼出气组学分析、生物标志物筛选与模型验证提供高质量样本。同时，考虑结核病呼吸道传染风险，本SOP旨在降低采样过程生物安全风险，保护受试者与工作人员。</w:t>
      </w:r>
    </w:p>
    <w:p w14:paraId="4541026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适用范围与用途边界</w:t>
      </w:r>
    </w:p>
    <w:p w14:paraId="3119EC3B">
      <w:pPr>
        <w:pStyle w:val="16"/>
        <w:bidi w:val="0"/>
        <w:ind w:left="360" w:leftChars="0" w:hanging="360" w:firstLineChars="0"/>
      </w:pPr>
      <w:r>
        <w:t>适用对象：TDSC研究受试者（TB-DM）及方案规定需采集呼出气的时间点；环境背景样本与系统空白样本同步采集。</w:t>
      </w:r>
    </w:p>
    <w:p w14:paraId="3AFF1EC1">
      <w:pPr>
        <w:pStyle w:val="16"/>
        <w:bidi w:val="0"/>
        <w:ind w:left="360" w:leftChars="0" w:hanging="360" w:firstLineChars="0"/>
      </w:pPr>
      <w:r>
        <w:t>适用场景：医院门诊/病房、社区采样点、移动采样车等通风良好且可控的采样环境。</w:t>
      </w:r>
    </w:p>
    <w:p w14:paraId="00F1F8A3">
      <w:pPr>
        <w:pStyle w:val="16"/>
        <w:bidi w:val="0"/>
        <w:ind w:left="360" w:leftChars="0" w:hanging="360" w:firstLineChars="0"/>
      </w:pPr>
      <w:r>
        <w:t>用途边界：呼出气组学（breathomics）为候选生物标志物/数字工具之一，研究期间结果不用于队列分配、随机化或停药/继续治疗决策，亦不向治疗团队披露（除非伦理批准且与安全处置直接相关）。</w:t>
      </w:r>
    </w:p>
    <w:p w14:paraId="32A3066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职责分工</w:t>
      </w:r>
    </w:p>
    <w:p w14:paraId="174AF637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采集人员：准备与检查设备耗材；指导受试者完成呼气；完成标识、记录、消毒与废弃物处置。</w:t>
      </w:r>
    </w:p>
    <w:p w14:paraId="17BE2CD2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质控人员：监督采样环境与流程；审核登记信息、时间点与样本完整性；记录偏差并推动纠正。</w:t>
      </w:r>
    </w:p>
    <w:p w14:paraId="56E47153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实验/检测人员（如现场检测）：负责仪器校准、进样与数据采集，保存原始数据与校准记录。</w:t>
      </w:r>
    </w:p>
    <w:p w14:paraId="713EBD42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数据管理：维护采样日志字段、链路追溯与样本—数据映射关系。</w:t>
      </w:r>
    </w:p>
    <w:p w14:paraId="66A03F7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设备与材料</w:t>
      </w:r>
    </w:p>
    <w:p w14:paraId="7A3AEF04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采样气袋：FEP采样袋（聚全氟乙丙烯材质），带阀门/单向阀。</w:t>
      </w:r>
    </w:p>
    <w:p w14:paraId="180883D3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一次性耗材：一次性吹嘴（建议每人每袋独立使用）、连接管路、标签/防水记号笔。</w:t>
      </w:r>
    </w:p>
    <w:p w14:paraId="418B7660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防护用品：N95/KN95口罩、防护服、一次性帽子、鞋套、一次性手套（建议双层）、面屏/护目镜（高风险操作时）。</w:t>
      </w:r>
    </w:p>
    <w:p w14:paraId="23C32160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消毒用品：75%酒精、紫外线消毒灯或空气消毒设备、医疗废物袋与专用废物桶。</w:t>
      </w:r>
    </w:p>
    <w:p w14:paraId="002AD834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设备：呼出气检测仪（PTR-TOF-MS 或同等平台）、气体质量流量控制器、标准气（高纯氮气）与混合标准气体（用于校准）。</w:t>
      </w:r>
    </w:p>
    <w:p w14:paraId="694EE3AB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环境记录：温湿度计；（可选）CO2/PM2.5等环境监测设备。</w:t>
      </w:r>
    </w:p>
    <w:p w14:paraId="0A81AE9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采样时间点与窗口（建议）</w:t>
      </w:r>
    </w:p>
    <w:p w14:paraId="70D9F809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按研究方案随访表执行；建议至少覆盖：基线、治疗第8周（约M2）、疗程结束（EOT）、停药后关键随访点（如PT-M6/PT-M12/PT-M24）或方案规定的生物标志物采集时间点。</w:t>
      </w:r>
    </w:p>
    <w:p w14:paraId="6D8EF35A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若出现治疗期复阳/复发疑似/临床恶化，可按方案增加采样并记录触发原因（作为探索性样本）。</w:t>
      </w:r>
    </w:p>
    <w:p w14:paraId="18B2EE0C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采样流程</w:t>
      </w:r>
    </w:p>
    <w:p w14:paraId="1D8EA615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/>
          <w:bdr w:val="none" w:sz="0" w:space="0"/>
        </w:rPr>
      </w:pPr>
      <w:r>
        <w:t>前期准备</w:t>
      </w:r>
    </w:p>
    <w:p w14:paraId="600564C0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环境要求</w:t>
      </w:r>
    </w:p>
    <w:p w14:paraId="3368952E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采集环境应通风良好、相对固定，并尽量位于上风口；远离潜在VOCs污染源（如油烟、停车场出口、新装修区、化学品存放处、空调外机排气口等）。</w:t>
      </w:r>
    </w:p>
    <w:p w14:paraId="63154704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建议在独立、通风良好的房间进行；如条件允许采用负压/高效过滤。</w:t>
      </w:r>
    </w:p>
    <w:p w14:paraId="72836E5D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记录环境温度、湿度与采样地点类型（门诊/病房/社区/移动采样车）。</w:t>
      </w:r>
    </w:p>
    <w:p w14:paraId="30B71999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设备与材料检查</w:t>
      </w:r>
    </w:p>
    <w:p w14:paraId="2613F068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仪器状态检查：开机自检正常；按计划（例如每周或每月）使用混合标准气体进行校准并留存校准记录。</w:t>
      </w:r>
    </w:p>
    <w:p w14:paraId="1F5FD71C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气袋气密性检查：充入洁净空气或氮气至标称容量约80%，关闭阀门轻压检查漏气；静置30分钟体积无明显缩小为合格。</w:t>
      </w:r>
    </w:p>
    <w:p w14:paraId="14E2D5C7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确认吹嘴包装完好、单向阀功能正常；气袋初始状态为排空。</w:t>
      </w:r>
    </w:p>
    <w:p w14:paraId="6465FD17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受试者准备（兼顾TB-DM安全）</w:t>
      </w:r>
    </w:p>
    <w:p w14:paraId="26FFF11D">
      <w:pPr>
        <w:pStyle w:val="19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采样前一天21:00后建议禁食（清水少量可）；避免饮酒、茶/咖啡/能量饮料；避免强气味食物（如大蒜、洋葱、薄荷、柑橘类、榴莲等）。</w:t>
      </w:r>
    </w:p>
    <w:p w14:paraId="65DEDF55">
      <w:pPr>
        <w:pStyle w:val="19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采样当天：采样前静息≥5分钟；清水漱口30秒；漱口后不再进食/饮水；禁止吸烟（含电子烟），避免漱口水、口香糖、薄荷糖等强挥发口腔用品。</w:t>
      </w:r>
    </w:p>
    <w:p w14:paraId="43F2F887">
      <w:pPr>
        <w:pStyle w:val="19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TB-DM安全提示：如受试者存在低血糖风险（如使用胰岛素/磺脲类），建议采样前测指尖血糖并记录；如出现低血糖症状或疑似DKA/HHS，应暂停采样并按临床流程处理，必要时改期。</w:t>
      </w:r>
    </w:p>
    <w:p w14:paraId="3CE158D9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采集人员防护（PPE）</w:t>
      </w:r>
    </w:p>
    <w:p w14:paraId="7DE2D128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进入采样区域前：N95/KN95密合性检查→护目镜/面屏→防护服→手套（手套口覆盖袖口）。</w:t>
      </w:r>
    </w:p>
    <w:p w14:paraId="4DEED2DA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采样结束后按规定流程脱卸PPE并手消毒；不得穿防护服离开污染区。</w:t>
      </w:r>
    </w:p>
    <w:p w14:paraId="739994C8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/>
          <w:bdr w:val="none" w:sz="0" w:space="0"/>
        </w:rPr>
      </w:pPr>
      <w:r>
        <w:t>采集过程</w:t>
      </w:r>
    </w:p>
    <w:p w14:paraId="09294665">
      <w:pPr>
        <w:pStyle w:val="5"/>
        <w:widowControl/>
      </w:pPr>
      <w:r>
        <w:t>6.2.1 受试者呼出气样本采集</w:t>
      </w:r>
    </w:p>
    <w:p w14:paraId="2353B02D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登记：记录Subject ID、Site ID、访视代码（Visit code）、采样日期与时间、受试者空腹/饮食情况、当日吸烟与口腔用品使用情况、以及（可选）血糖值与最后一次降糖药/胰岛素使用时间。</w:t>
      </w:r>
    </w:p>
    <w:p w14:paraId="477181E9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连接：将气袋与一次性吹嘴连接并确认密封；气袋处于排空状态。</w:t>
      </w:r>
    </w:p>
    <w:p w14:paraId="3F1CAF09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呼气：受试者深吸一口气后，按“正常呼气”方式缓慢、平稳、持续地吹入气袋，中途尽量避免停顿或换气。</w:t>
      </w:r>
    </w:p>
    <w:p w14:paraId="3CF8D706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终止：气袋达到标称容量的80%–90%或受试者气竭后，立即关闭阀门。</w:t>
      </w:r>
    </w:p>
    <w:p w14:paraId="16ADF9D6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重复：如方案要求可采集重复样本（建议2袋）；若重复采集，间隔≥2分钟静息呼吸并记录。</w:t>
      </w:r>
    </w:p>
    <w:p w14:paraId="51F0BE54">
      <w:pPr>
        <w:pStyle w:val="5"/>
        <w:widowControl/>
      </w:pPr>
      <w:r>
        <w:t>6.2.2 环境背景样本采集</w:t>
      </w:r>
    </w:p>
    <w:p w14:paraId="6A064173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在与受试者相同环境中选择代表性点位（避免直接污染源附近）。</w:t>
      </w:r>
    </w:p>
    <w:p w14:paraId="499B86C3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使用洁净玻璃注射器（以高纯氮气吹洗）吸取环境气体。</w:t>
      </w:r>
    </w:p>
    <w:p w14:paraId="1CCE934D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将环境气体平稳注入新的FEP气袋（标记“ENV/环境背景”），注入至容量约80%，先关阀再断开注射器，防止回流。</w:t>
      </w:r>
    </w:p>
    <w:p w14:paraId="1BEE86A3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背景样本与受试者样本应尽量在同一时间窗完成采集，并记录环境温湿度。</w:t>
      </w:r>
    </w:p>
    <w:p w14:paraId="62BDBF95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  <w:bdr w:val="none" w:sz="0" w:space="0"/>
        </w:rPr>
      </w:pPr>
      <w:r>
        <w:t>样本保存、运输与检测时限</w:t>
      </w:r>
    </w:p>
    <w:p w14:paraId="0125EF42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样本避光、室温（20–25℃）保存，避免挤压与高温暴晒；外包装可消毒后置于专用周转箱。</w:t>
      </w:r>
    </w:p>
    <w:p w14:paraId="18150AFC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建议72小时内完成检测/进样；超过时限需记录并按偏差处理。</w:t>
      </w:r>
    </w:p>
    <w:p w14:paraId="726ECEBD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转运容器外壁需消毒并粘贴生物危害标识；全程留存链路记录。</w:t>
      </w:r>
    </w:p>
    <w:p w14:paraId="06FECD2B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  <w:bdr w:val="none" w:sz="0" w:space="0"/>
        </w:rPr>
      </w:pPr>
      <w:r>
        <w:t>进样与检测（如现场PTR-TOF-MS检测）</w:t>
      </w:r>
    </w:p>
    <w:p w14:paraId="4DADA677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连接气袋与仪器进样口，使用流量控制器保持恒定流速；避免挤压不均造成浓度波动。</w:t>
      </w:r>
    </w:p>
    <w:p w14:paraId="7C6D6F43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离子流/谱图稳定后（例如稳定≥20秒）开始记录；记录进样开始时间、持续时间与环境温湿度。</w:t>
      </w:r>
    </w:p>
    <w:p w14:paraId="067A7545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每次检测后按设备要求吹扫管路（高纯氮气）并记录系统空白。</w:t>
      </w:r>
    </w:p>
    <w:p w14:paraId="7E1A992E">
      <w:pPr>
        <w:pStyle w:val="3"/>
        <w:widowControl/>
        <w:numPr>
          <w:ilvl w:val="0"/>
          <w:numId w:val="20"/>
        </w:numPr>
        <w:ind w:left="0" w:leftChars="0" w:firstLine="0" w:firstLineChars="0"/>
        <w:rPr>
          <w:b/>
          <w:bdr w:val="none" w:sz="0" w:space="0"/>
        </w:rPr>
      </w:pPr>
      <w:r>
        <w:t>生物安全与消毒</w:t>
      </w:r>
    </w:p>
    <w:p w14:paraId="1BCBEEED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采样与连接操作应轻缓，避免产生气溶胶；尽量避免裸手触碰气袋/吹嘴。</w:t>
      </w:r>
    </w:p>
    <w:p w14:paraId="4D032943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一次性耗材（吹嘴、手套等）按医疗废物处理；气袋外表面消毒后再暂存/转运，最终按规定处置。</w:t>
      </w:r>
    </w:p>
    <w:p w14:paraId="2EAAEE70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每日采样结束后进行环境与设备表面消毒；可采用紫外线照射≥30–60分钟或空气消毒设备运行，并记录。</w:t>
      </w:r>
    </w:p>
    <w:p w14:paraId="3006EF30">
      <w:pPr>
        <w:pStyle w:val="3"/>
        <w:widowControl/>
        <w:numPr>
          <w:ilvl w:val="0"/>
          <w:numId w:val="20"/>
        </w:numPr>
        <w:ind w:left="0" w:leftChars="0" w:firstLine="0" w:firstLineChars="0"/>
        <w:rPr>
          <w:b/>
          <w:bdr w:val="none" w:sz="0" w:space="0"/>
        </w:rPr>
      </w:pPr>
      <w:r>
        <w:t>质量控制（QC）</w:t>
      </w:r>
    </w:p>
    <w:p w14:paraId="2696263C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环境空白：每名受试者采样同步采集环境背景气袋，用于背景VOCs校正。</w:t>
      </w:r>
    </w:p>
    <w:p w14:paraId="08128675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系统空白：每日开机后检测高纯氮气袋以检查系统洁净度。</w:t>
      </w:r>
    </w:p>
    <w:p w14:paraId="15454140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避免交叉污染：每份样本使用独立气袋与一次性吹嘴；不得重复使用。</w:t>
      </w:r>
    </w:p>
    <w:p w14:paraId="39DB97A3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关键参数记录：温湿度、采样时间、采样地点类型、受试者准备情况；校准/标准气记录。</w:t>
      </w:r>
    </w:p>
    <w:p w14:paraId="7F3E78AF">
      <w:pPr>
        <w:pStyle w:val="3"/>
        <w:widowControl/>
        <w:numPr>
          <w:ilvl w:val="0"/>
          <w:numId w:val="20"/>
        </w:numPr>
        <w:ind w:left="0" w:leftChars="0" w:firstLine="0" w:firstLineChars="0"/>
        <w:rPr>
          <w:b/>
          <w:bdr w:val="none" w:sz="0" w:space="0"/>
        </w:rPr>
      </w:pPr>
      <w:r>
        <w:t>样本标识与最小记录字段</w:t>
      </w:r>
    </w:p>
    <w:p w14:paraId="636125FF">
      <w:pPr>
        <w:pStyle w:val="19"/>
        <w:widowControl/>
        <w:numPr>
          <w:ilvl w:val="0"/>
          <w:numId w:val="23"/>
        </w:numPr>
        <w:ind w:left="360" w:leftChars="0" w:hanging="360" w:firstLineChars="0"/>
      </w:pPr>
      <w:r>
        <w:t>气袋标签至少包含：Subject ID、Site ID、Visit code、样本类型（BREATH/ENV）、采样日期（YYYY-MM-DD）、采样时间（HH:MM）、样本序号（如1/2）。</w:t>
      </w:r>
    </w:p>
    <w:p w14:paraId="11BBC7C2">
      <w:pPr>
        <w:pStyle w:val="19"/>
        <w:widowControl/>
        <w:numPr>
          <w:ilvl w:val="0"/>
          <w:numId w:val="23"/>
        </w:numPr>
        <w:ind w:left="360" w:leftChars="0" w:hanging="360" w:firstLineChars="0"/>
      </w:pPr>
      <w:r>
        <w:t>建立采样日志（纸质或电子）：与EDC字段一致并可追溯（见附录C）。</w:t>
      </w:r>
    </w:p>
    <w:p w14:paraId="2E3F3154">
      <w:pPr>
        <w:pStyle w:val="3"/>
        <w:widowControl/>
        <w:numPr>
          <w:ilvl w:val="0"/>
          <w:numId w:val="20"/>
        </w:numPr>
        <w:ind w:left="0" w:leftChars="0" w:firstLine="0" w:firstLineChars="0"/>
        <w:rPr>
          <w:b/>
          <w:bdr w:val="none" w:sz="0" w:space="0"/>
        </w:rPr>
      </w:pPr>
      <w:r>
        <w:t>偏差与应急处理</w:t>
      </w:r>
    </w:p>
    <w:p w14:paraId="0E6E8978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气袋泄漏：立即终止采样/检测，评估污染范围并消毒；更换新气袋重采并记录偏差。</w:t>
      </w:r>
    </w:p>
    <w:p w14:paraId="31C51445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受试者不适（头晕、呼吸困难、剧烈咳嗽等）：立即暂停，给予休息与必要医疗协助；评估是否改期。</w:t>
      </w:r>
    </w:p>
    <w:p w14:paraId="3F10B9D2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职业暴露：按院感应急预案处理并报告，留存记录。</w:t>
      </w:r>
    </w:p>
    <w:p w14:paraId="5A50ADE1">
      <w:pPr>
        <w:pStyle w:val="3"/>
        <w:widowControl/>
        <w:numPr>
          <w:ilvl w:val="0"/>
          <w:numId w:val="20"/>
        </w:numPr>
        <w:ind w:left="0" w:leftChars="0" w:firstLine="0" w:firstLineChars="0"/>
        <w:rPr>
          <w:b/>
          <w:bdr w:val="none" w:sz="0" w:space="0"/>
        </w:rPr>
      </w:pPr>
      <w:r>
        <w:t>附录（模板）</w:t>
      </w:r>
    </w:p>
    <w:p w14:paraId="24EF66CE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附录A：受试者准备与安全核查清单（含TB-DM低血糖风险提示）。</w:t>
      </w:r>
    </w:p>
    <w:p w14:paraId="37D7C67C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附录B：采样操作自检清单（设备/气袋/环境）。</w:t>
      </w:r>
    </w:p>
    <w:p w14:paraId="5093E5C7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附录C：采样日志字段（建议与EDC对齐）。</w:t>
      </w:r>
    </w:p>
    <w:p w14:paraId="29C97758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bookmarkStart w:id="0" w:name="_GoBack"/>
      <w:r>
        <w:t>附录D：样本交接/转运记录表（链路追溯）。</w:t>
      </w:r>
    </w:p>
    <w:bookmarkEnd w:id="0"/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02BC8"/>
    <w:multiLevelType w:val="singleLevel"/>
    <w:tmpl w:val="82202BC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A9427AB5"/>
    <w:multiLevelType w:val="singleLevel"/>
    <w:tmpl w:val="A9427AB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AE028FE6"/>
    <w:multiLevelType w:val="singleLevel"/>
    <w:tmpl w:val="AE028FE6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B8EE1F87"/>
    <w:multiLevelType w:val="singleLevel"/>
    <w:tmpl w:val="B8EE1F87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4">
    <w:nsid w:val="B900F36A"/>
    <w:multiLevelType w:val="singleLevel"/>
    <w:tmpl w:val="B900F36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BCC96554"/>
    <w:multiLevelType w:val="singleLevel"/>
    <w:tmpl w:val="BCC9655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6">
    <w:nsid w:val="CE3448B3"/>
    <w:multiLevelType w:val="singleLevel"/>
    <w:tmpl w:val="CE3448B3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D2E3FC0A"/>
    <w:multiLevelType w:val="singleLevel"/>
    <w:tmpl w:val="D2E3FC0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E8EF36F0"/>
    <w:multiLevelType w:val="singleLevel"/>
    <w:tmpl w:val="E8EF36F0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F937B362"/>
    <w:multiLevelType w:val="singleLevel"/>
    <w:tmpl w:val="F937B36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5">
    <w:nsid w:val="04407116"/>
    <w:multiLevelType w:val="singleLevel"/>
    <w:tmpl w:val="04407116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6">
    <w:nsid w:val="31475011"/>
    <w:multiLevelType w:val="singleLevel"/>
    <w:tmpl w:val="3147501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7">
    <w:nsid w:val="384F92F8"/>
    <w:multiLevelType w:val="singleLevel"/>
    <w:tmpl w:val="384F92F8"/>
    <w:lvl w:ilvl="0" w:tentative="0">
      <w:start w:val="7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8">
    <w:nsid w:val="3AB6AF63"/>
    <w:multiLevelType w:val="singleLevel"/>
    <w:tmpl w:val="3AB6AF63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9">
    <w:nsid w:val="59BA961C"/>
    <w:multiLevelType w:val="singleLevel"/>
    <w:tmpl w:val="59BA961C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0">
    <w:nsid w:val="5B6731C0"/>
    <w:multiLevelType w:val="singleLevel"/>
    <w:tmpl w:val="5B6731C0"/>
    <w:lvl w:ilvl="0" w:tentative="0">
      <w:start w:val="1"/>
      <w:numFmt w:val="decimal"/>
      <w:suff w:val="space"/>
      <w:lvlText w:val="6.1.%1"/>
      <w:lvlJc w:val="left"/>
      <w:pPr>
        <w:ind w:left="0" w:firstLine="0"/>
      </w:pPr>
      <w:rPr>
        <w:rFonts w:hint="default"/>
      </w:rPr>
    </w:lvl>
  </w:abstractNum>
  <w:abstractNum w:abstractNumId="21">
    <w:nsid w:val="5E0406C2"/>
    <w:multiLevelType w:val="singleLevel"/>
    <w:tmpl w:val="5E0406C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2">
    <w:nsid w:val="627FBA62"/>
    <w:multiLevelType w:val="singleLevel"/>
    <w:tmpl w:val="627FBA62"/>
    <w:lvl w:ilvl="0" w:tentative="0">
      <w:start w:val="3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23">
    <w:nsid w:val="6379C59E"/>
    <w:multiLevelType w:val="singleLevel"/>
    <w:tmpl w:val="6379C59E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4">
    <w:nsid w:val="72E00ED2"/>
    <w:multiLevelType w:val="singleLevel"/>
    <w:tmpl w:val="72E00ED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1"/>
  </w:num>
  <w:num w:numId="2">
    <w:abstractNumId w:val="14"/>
  </w:num>
  <w:num w:numId="3">
    <w:abstractNumId w:val="18"/>
  </w:num>
  <w:num w:numId="4">
    <w:abstractNumId w:val="12"/>
  </w:num>
  <w:num w:numId="5">
    <w:abstractNumId w:val="10"/>
  </w:num>
  <w:num w:numId="6">
    <w:abstractNumId w:val="13"/>
  </w:num>
  <w:num w:numId="7">
    <w:abstractNumId w:val="16"/>
  </w:num>
  <w:num w:numId="8">
    <w:abstractNumId w:val="6"/>
  </w:num>
  <w:num w:numId="9">
    <w:abstractNumId w:val="7"/>
  </w:num>
  <w:num w:numId="10">
    <w:abstractNumId w:val="1"/>
  </w:num>
  <w:num w:numId="11">
    <w:abstractNumId w:val="3"/>
  </w:num>
  <w:num w:numId="12">
    <w:abstractNumId w:val="20"/>
  </w:num>
  <w:num w:numId="13">
    <w:abstractNumId w:val="8"/>
  </w:num>
  <w:num w:numId="14">
    <w:abstractNumId w:val="19"/>
  </w:num>
  <w:num w:numId="15">
    <w:abstractNumId w:val="5"/>
  </w:num>
  <w:num w:numId="16">
    <w:abstractNumId w:val="15"/>
  </w:num>
  <w:num w:numId="17">
    <w:abstractNumId w:val="22"/>
  </w:num>
  <w:num w:numId="18">
    <w:abstractNumId w:val="24"/>
  </w:num>
  <w:num w:numId="19">
    <w:abstractNumId w:val="4"/>
  </w:num>
  <w:num w:numId="20">
    <w:abstractNumId w:val="17"/>
  </w:num>
  <w:num w:numId="21">
    <w:abstractNumId w:val="23"/>
  </w:num>
  <w:num w:numId="22">
    <w:abstractNumId w:val="21"/>
  </w:num>
  <w:num w:numId="23">
    <w:abstractNumId w:val="2"/>
  </w:num>
  <w:num w:numId="24">
    <w:abstractNumId w:val="0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E2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  <w:jc w:val="left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2829</Words>
  <Characters>3302</Characters>
  <Lines>0</Lines>
  <Paragraphs>0</Paragraphs>
  <TotalTime>1</TotalTime>
  <ScaleCrop>false</ScaleCrop>
  <LinksUpToDate>false</LinksUpToDate>
  <CharactersWithSpaces>3344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2026-03-13T06:56:05Z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9EE601019F5C4470840540DC9D887BC3_12</vt:lpwstr>
  </property>
</Properties>
</file>