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D82F05">
      <w:pPr>
        <w:jc w:val="center"/>
      </w:pPr>
      <w:r>
        <w:rPr>
          <w:b/>
          <w:sz w:val="32"/>
        </w:rPr>
        <w:t>标准操作规程（SOP）</w:t>
      </w:r>
    </w:p>
    <w:p w14:paraId="263C9FE9">
      <w:pPr>
        <w:jc w:val="center"/>
        <w:rPr>
          <w:b/>
          <w:sz w:val="24"/>
          <w:szCs w:val="24"/>
        </w:rPr>
      </w:pPr>
      <w:r>
        <w:rPr>
          <w:b/>
          <w:sz w:val="24"/>
          <w:szCs w:val="24"/>
        </w:rPr>
        <w:t>SOP17：生物样本与运输/保存（共性流程 + 最小可执行要求）</w:t>
      </w:r>
    </w:p>
    <w:p w14:paraId="67B8532A">
      <w:pPr>
        <w:jc w:val="center"/>
        <w:rPr>
          <w:b/>
          <w:sz w:val="24"/>
          <w:szCs w:val="24"/>
        </w:rPr>
      </w:pPr>
      <w:r>
        <w:rPr>
          <w:b/>
          <w:sz w:val="24"/>
          <w:szCs w:val="24"/>
        </w:rPr>
        <w:t>项目名称：糖尿病人群结核病短程治疗方案研究（TDSC）</w:t>
      </w:r>
    </w:p>
    <w:p w14:paraId="72357E88"/>
    <w:tbl>
      <w:tblPr>
        <w:tblStyle w:val="33"/>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45"/>
        <w:gridCol w:w="6629"/>
      </w:tblGrid>
      <w:tr w14:paraId="421698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8" w:type="pct"/>
          </w:tcPr>
          <w:p w14:paraId="0DEF66A0">
            <w:pPr>
              <w:spacing w:after="0" w:line="240" w:lineRule="auto"/>
            </w:pPr>
            <w:r>
              <w:t>文件编号</w:t>
            </w:r>
          </w:p>
        </w:tc>
        <w:tc>
          <w:tcPr>
            <w:tcW w:w="3461" w:type="pct"/>
          </w:tcPr>
          <w:p w14:paraId="4F01ACB7">
            <w:pPr>
              <w:rPr>
                <w:rFonts w:hint="default" w:eastAsia="宋体"/>
                <w:lang w:val="en-US" w:eastAsia="zh-CN"/>
              </w:rPr>
            </w:pPr>
            <w:r>
              <w:t>TDSC-SOP-</w:t>
            </w:r>
            <w:r>
              <w:rPr>
                <w:rFonts w:hint="eastAsia"/>
                <w:lang w:val="en-US" w:eastAsia="zh-CN"/>
              </w:rPr>
              <w:t>19</w:t>
            </w:r>
          </w:p>
        </w:tc>
      </w:tr>
      <w:tr w14:paraId="753CC6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8" w:type="pct"/>
          </w:tcPr>
          <w:p w14:paraId="576E8892">
            <w:pPr>
              <w:spacing w:after="0" w:line="240" w:lineRule="auto"/>
            </w:pPr>
            <w:r>
              <w:t>版本</w:t>
            </w:r>
          </w:p>
        </w:tc>
        <w:tc>
          <w:tcPr>
            <w:tcW w:w="3461" w:type="pct"/>
          </w:tcPr>
          <w:p w14:paraId="36D94650">
            <w:r>
              <w:t>V1.1</w:t>
            </w:r>
          </w:p>
        </w:tc>
      </w:tr>
      <w:tr w14:paraId="50396F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8" w:type="pct"/>
          </w:tcPr>
          <w:p w14:paraId="20C78E93">
            <w:pPr>
              <w:spacing w:after="0" w:line="240" w:lineRule="auto"/>
            </w:pPr>
            <w:r>
              <w:t>生效日期</w:t>
            </w:r>
          </w:p>
        </w:tc>
        <w:tc>
          <w:tcPr>
            <w:tcW w:w="3461" w:type="pct"/>
          </w:tcPr>
          <w:p w14:paraId="169DEDC8">
            <w:r>
              <w:t>2026-03-04</w:t>
            </w:r>
          </w:p>
        </w:tc>
      </w:tr>
      <w:tr w14:paraId="3C53A5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8" w:type="pct"/>
          </w:tcPr>
          <w:p w14:paraId="5EF767A7">
            <w:pPr>
              <w:spacing w:after="0" w:line="240" w:lineRule="auto"/>
            </w:pPr>
            <w:r>
              <w:t>适用研究方案</w:t>
            </w:r>
          </w:p>
        </w:tc>
        <w:tc>
          <w:tcPr>
            <w:tcW w:w="3461" w:type="pct"/>
          </w:tcPr>
          <w:p w14:paraId="25A024D2">
            <w:r>
              <w:t>TDSC 研究方案 V2.0（2026-02-28）</w:t>
            </w:r>
          </w:p>
        </w:tc>
      </w:tr>
      <w:tr w14:paraId="10B7F8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8" w:type="pct"/>
          </w:tcPr>
          <w:p w14:paraId="69439658">
            <w:pPr>
              <w:spacing w:after="0" w:line="240" w:lineRule="auto"/>
            </w:pPr>
            <w:r>
              <w:t>编写</w:t>
            </w:r>
          </w:p>
        </w:tc>
        <w:tc>
          <w:tcPr>
            <w:tcW w:w="3461" w:type="pct"/>
          </w:tcPr>
          <w:p w14:paraId="3EEEDE7C">
            <w:pPr>
              <w:spacing w:after="0" w:line="240" w:lineRule="auto"/>
            </w:pPr>
            <w:r>
              <w:t>________</w:t>
            </w:r>
          </w:p>
        </w:tc>
      </w:tr>
      <w:tr w14:paraId="3D6AA3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8" w:type="pct"/>
          </w:tcPr>
          <w:p w14:paraId="255AB9D3">
            <w:pPr>
              <w:spacing w:after="0" w:line="240" w:lineRule="auto"/>
            </w:pPr>
            <w:r>
              <w:t>审核</w:t>
            </w:r>
          </w:p>
        </w:tc>
        <w:tc>
          <w:tcPr>
            <w:tcW w:w="3461" w:type="pct"/>
          </w:tcPr>
          <w:p w14:paraId="64D01301">
            <w:pPr>
              <w:spacing w:after="0" w:line="240" w:lineRule="auto"/>
            </w:pPr>
            <w:r>
              <w:t>________</w:t>
            </w:r>
          </w:p>
        </w:tc>
      </w:tr>
      <w:tr w14:paraId="7D887D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8" w:type="pct"/>
          </w:tcPr>
          <w:p w14:paraId="01B6D611">
            <w:pPr>
              <w:spacing w:after="0" w:line="240" w:lineRule="auto"/>
            </w:pPr>
            <w:r>
              <w:t>批准</w:t>
            </w:r>
          </w:p>
        </w:tc>
        <w:tc>
          <w:tcPr>
            <w:tcW w:w="3461" w:type="pct"/>
          </w:tcPr>
          <w:p w14:paraId="1DE35883">
            <w:pPr>
              <w:spacing w:after="0" w:line="240" w:lineRule="auto"/>
            </w:pPr>
            <w:r>
              <w:t>________</w:t>
            </w:r>
          </w:p>
        </w:tc>
      </w:tr>
      <w:tr w14:paraId="214D8F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8" w:type="pct"/>
          </w:tcPr>
          <w:p w14:paraId="2D1C2756">
            <w:pPr>
              <w:spacing w:after="0" w:line="240" w:lineRule="auto"/>
            </w:pPr>
            <w:r>
              <w:t>适用中心</w:t>
            </w:r>
          </w:p>
        </w:tc>
        <w:tc>
          <w:tcPr>
            <w:tcW w:w="3461" w:type="pct"/>
          </w:tcPr>
          <w:p w14:paraId="303D51D9">
            <w:pPr>
              <w:spacing w:after="0" w:line="240" w:lineRule="auto"/>
            </w:pPr>
            <w:r>
              <w:t>TDSC 全部研究中心</w:t>
            </w:r>
          </w:p>
        </w:tc>
      </w:tr>
      <w:tr w14:paraId="36EC4C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8" w:type="pct"/>
          </w:tcPr>
          <w:p w14:paraId="7A472ED5">
            <w:pPr>
              <w:spacing w:after="0" w:line="240" w:lineRule="auto"/>
            </w:pPr>
            <w:r>
              <w:t>分发方式</w:t>
            </w:r>
          </w:p>
        </w:tc>
        <w:tc>
          <w:tcPr>
            <w:tcW w:w="3461" w:type="pct"/>
          </w:tcPr>
          <w:p w14:paraId="3C632C75">
            <w:pPr>
              <w:spacing w:after="0" w:line="240" w:lineRule="auto"/>
            </w:pPr>
            <w:r>
              <w:t>受控文件（电子版）</w:t>
            </w:r>
          </w:p>
        </w:tc>
      </w:tr>
      <w:tr w14:paraId="7E93DF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8" w:type="pct"/>
          </w:tcPr>
          <w:p w14:paraId="3FAE03DB">
            <w:pPr>
              <w:spacing w:after="0" w:line="240" w:lineRule="auto"/>
            </w:pPr>
            <w:r>
              <w:t>保密等级</w:t>
            </w:r>
          </w:p>
        </w:tc>
        <w:tc>
          <w:tcPr>
            <w:tcW w:w="3461" w:type="pct"/>
          </w:tcPr>
          <w:p w14:paraId="3622E7EE">
            <w:pPr>
              <w:spacing w:after="0" w:line="240" w:lineRule="auto"/>
            </w:pPr>
            <w:r>
              <w:t>内部</w:t>
            </w:r>
          </w:p>
        </w:tc>
      </w:tr>
      <w:tr w14:paraId="2D47D8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8" w:type="pct"/>
          </w:tcPr>
          <w:p w14:paraId="0FB3805D">
            <w:pPr>
              <w:spacing w:after="0" w:line="240" w:lineRule="auto"/>
            </w:pPr>
            <w:r>
              <w:t>保存期限</w:t>
            </w:r>
          </w:p>
        </w:tc>
        <w:tc>
          <w:tcPr>
            <w:tcW w:w="3461" w:type="pct"/>
          </w:tcPr>
          <w:p w14:paraId="35CE5DE7">
            <w:pPr>
              <w:spacing w:after="0" w:line="240" w:lineRule="auto"/>
            </w:pPr>
            <w:r>
              <w:t>按研究方案/法规与申办方要求执行</w:t>
            </w:r>
          </w:p>
        </w:tc>
      </w:tr>
    </w:tbl>
    <w:p w14:paraId="6C0A11B7"/>
    <w:p w14:paraId="36D6F661">
      <w:r>
        <w:rPr>
          <w:b/>
        </w:rPr>
        <w:t>版本修订记录</w:t>
      </w:r>
    </w:p>
    <w:tbl>
      <w:tblPr>
        <w:tblStyle w:val="33"/>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73"/>
        <w:gridCol w:w="2373"/>
        <w:gridCol w:w="2452"/>
        <w:gridCol w:w="2374"/>
      </w:tblGrid>
      <w:tr w14:paraId="24208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9" w:type="pct"/>
          </w:tcPr>
          <w:p w14:paraId="39036E4A">
            <w:pPr>
              <w:spacing w:after="0" w:line="240" w:lineRule="auto"/>
            </w:pPr>
            <w:r>
              <w:t>版本</w:t>
            </w:r>
          </w:p>
        </w:tc>
        <w:tc>
          <w:tcPr>
            <w:tcW w:w="1239" w:type="pct"/>
          </w:tcPr>
          <w:p w14:paraId="5E152FA0">
            <w:pPr>
              <w:spacing w:after="0" w:line="240" w:lineRule="auto"/>
            </w:pPr>
            <w:r>
              <w:t>日期</w:t>
            </w:r>
          </w:p>
        </w:tc>
        <w:tc>
          <w:tcPr>
            <w:tcW w:w="1280" w:type="pct"/>
          </w:tcPr>
          <w:p w14:paraId="64B42B28">
            <w:pPr>
              <w:spacing w:after="0" w:line="240" w:lineRule="auto"/>
            </w:pPr>
            <w:r>
              <w:t>修订内容</w:t>
            </w:r>
          </w:p>
        </w:tc>
        <w:tc>
          <w:tcPr>
            <w:tcW w:w="1239" w:type="pct"/>
          </w:tcPr>
          <w:p w14:paraId="6A5C41E8">
            <w:pPr>
              <w:spacing w:after="0" w:line="240" w:lineRule="auto"/>
            </w:pPr>
            <w:r>
              <w:t>修订人</w:t>
            </w:r>
          </w:p>
        </w:tc>
      </w:tr>
      <w:tr w14:paraId="7E4DBB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9" w:type="pct"/>
          </w:tcPr>
          <w:p w14:paraId="14ADDF3C">
            <w:pPr>
              <w:spacing w:after="0" w:line="240" w:lineRule="auto"/>
            </w:pPr>
            <w:r>
              <w:t>V1.0</w:t>
            </w:r>
          </w:p>
        </w:tc>
        <w:tc>
          <w:tcPr>
            <w:tcW w:w="1239" w:type="pct"/>
          </w:tcPr>
          <w:p w14:paraId="32B3714E">
            <w:pPr>
              <w:spacing w:after="0" w:line="240" w:lineRule="auto"/>
            </w:pPr>
            <w:r>
              <w:t>2026-02-07</w:t>
            </w:r>
          </w:p>
        </w:tc>
        <w:tc>
          <w:tcPr>
            <w:tcW w:w="1280" w:type="pct"/>
          </w:tcPr>
          <w:p w14:paraId="168AC0F4">
            <w:pPr>
              <w:spacing w:after="0" w:line="240" w:lineRule="auto"/>
            </w:pPr>
            <w:r>
              <w:t>首次发布。</w:t>
            </w:r>
          </w:p>
        </w:tc>
        <w:tc>
          <w:tcPr>
            <w:tcW w:w="1239" w:type="pct"/>
          </w:tcPr>
          <w:p w14:paraId="0EDCB36E">
            <w:pPr>
              <w:spacing w:after="0" w:line="240" w:lineRule="auto"/>
            </w:pPr>
            <w:r>
              <w:t>TDSC研究团队</w:t>
            </w:r>
          </w:p>
        </w:tc>
      </w:tr>
      <w:tr w14:paraId="31C0B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9" w:type="pct"/>
          </w:tcPr>
          <w:p w14:paraId="1A6574A0">
            <w:r>
              <w:t>V1.1</w:t>
            </w:r>
          </w:p>
        </w:tc>
        <w:tc>
          <w:tcPr>
            <w:tcW w:w="1239" w:type="pct"/>
          </w:tcPr>
          <w:p w14:paraId="00C35077">
            <w:r>
              <w:t>2026-03-04</w:t>
            </w:r>
          </w:p>
        </w:tc>
        <w:tc>
          <w:tcPr>
            <w:tcW w:w="1280" w:type="pct"/>
          </w:tcPr>
          <w:p w14:paraId="3B3C02B5">
            <w:r>
              <w:t>对齐研究方案V2.0（2026-02-28）与已完成SOP体系：为避免与SOP16（微生物学流程）编号冲突，将本文件编号调整为SOP17（文件编号保持不变）；明确TB22为探索性候选生物标志物，研究期间结果不用于门槛/停药决策且不向治疗团队披露；补充与SOP11/12/15/16/18/09交叉引用。</w:t>
            </w:r>
          </w:p>
        </w:tc>
        <w:tc>
          <w:tcPr>
            <w:tcW w:w="1239" w:type="pct"/>
          </w:tcPr>
          <w:p w14:paraId="025CFB90">
            <w:r>
              <w:t>TDSC研究团队</w:t>
            </w:r>
          </w:p>
        </w:tc>
      </w:tr>
    </w:tbl>
    <w:p w14:paraId="56DAAF0B">
      <w:pPr>
        <w:pStyle w:val="3"/>
        <w:widowControl/>
        <w:numPr>
          <w:ilvl w:val="0"/>
          <w:numId w:val="7"/>
        </w:numPr>
        <w:ind w:left="0" w:leftChars="0" w:firstLine="0" w:firstLineChars="0"/>
        <w:rPr>
          <w:b/>
          <w:bdr w:val="none" w:sz="0" w:space="0"/>
        </w:rPr>
      </w:pPr>
      <w:r>
        <w:t>目的</w:t>
      </w:r>
    </w:p>
    <w:p w14:paraId="10A3085A">
      <w:pPr>
        <w:pStyle w:val="19"/>
        <w:widowControl/>
      </w:pPr>
      <w:r>
        <w:t>规范 TDSC 研究中与生物样本相关的采集、标识、现场处理、暂存、运输/转运、接收验收、入库/留样及记录归档流程，确保样本链条清晰、温度与时效可追溯、检测结果稳定可重复，并符合研究方案、GCP 与生物安全相关法规要求。</w:t>
      </w:r>
    </w:p>
    <w:p w14:paraId="57DB68C0">
      <w:pPr>
        <w:pStyle w:val="3"/>
        <w:widowControl/>
        <w:numPr>
          <w:ilvl w:val="0"/>
          <w:numId w:val="7"/>
        </w:numPr>
        <w:ind w:left="0" w:leftChars="0" w:firstLine="0" w:firstLineChars="0"/>
        <w:rPr>
          <w:b/>
          <w:bdr w:val="none" w:sz="0" w:space="0"/>
        </w:rPr>
      </w:pPr>
      <w:r>
        <w:t>适用范围</w:t>
      </w:r>
    </w:p>
    <w:p w14:paraId="0DDF5058">
      <w:pPr>
        <w:pStyle w:val="19"/>
        <w:widowControl/>
      </w:pPr>
      <w:r>
        <w:t>适用于 TDSC 研究全部中心、全部受试者、研究全周期（筛选期、治疗期、随访期）内按研究方案或预设子研究采集的生物样本。</w:t>
      </w:r>
    </w:p>
    <w:p w14:paraId="75D4772F">
      <w:pPr>
        <w:pStyle w:val="16"/>
        <w:bidi w:val="0"/>
        <w:ind w:left="360" w:leftChars="0" w:hanging="360" w:firstLineChars="0"/>
      </w:pPr>
      <w:r>
        <w:t>核心样本类型包括：结核分枝杆菌分离株/菌株样本、全血 RNA（TB22 候选转录组评分样本）、药代动力学（PK）血样。</w:t>
      </w:r>
    </w:p>
    <w:p w14:paraId="3D6170F9">
      <w:pPr>
        <w:pStyle w:val="16"/>
        <w:bidi w:val="0"/>
        <w:ind w:left="360" w:leftChars="0" w:hanging="360" w:firstLineChars="0"/>
      </w:pPr>
      <w:r>
        <w:t>如研究方案/随访表或子研究手册另有规定，亦可包括：痰/其他临床标本用于 tNGS、复发相关菌株用于 WGS，以及探索性生物标志物样本（如血浆 cfDNA、呼出气样本等）。</w:t>
      </w:r>
    </w:p>
    <w:p w14:paraId="1331D8E4">
      <w:pPr>
        <w:pStyle w:val="16"/>
        <w:bidi w:val="0"/>
        <w:ind w:left="360" w:leftChars="0" w:hanging="360" w:firstLineChars="0"/>
      </w:pPr>
      <w:r>
        <w:t>本 SOP 规定“共性要求 + 最小可执行流程”。各样本的具体采血管类型、体积、分装策略、保存温度与运输方式，以中心实验室/指定检测机构的《检测与样本处理手册》或试剂盒说明为准。</w:t>
      </w:r>
    </w:p>
    <w:p w14:paraId="56C4B6D0">
      <w:pPr>
        <w:pStyle w:val="3"/>
        <w:widowControl/>
        <w:numPr>
          <w:ilvl w:val="0"/>
          <w:numId w:val="7"/>
        </w:numPr>
        <w:ind w:left="0" w:leftChars="0" w:firstLine="0" w:firstLineChars="0"/>
        <w:rPr>
          <w:b/>
          <w:bdr w:val="none" w:sz="0" w:space="0"/>
        </w:rPr>
      </w:pPr>
      <w:r>
        <w:t>参考文件</w:t>
      </w:r>
    </w:p>
    <w:p w14:paraId="22B97430">
      <w:pPr>
        <w:pStyle w:val="19"/>
        <w:widowControl/>
        <w:numPr>
          <w:ilvl w:val="0"/>
          <w:numId w:val="8"/>
        </w:numPr>
        <w:ind w:left="360" w:leftChars="0" w:hanging="360" w:firstLineChars="0"/>
      </w:pPr>
      <w:r>
        <w:t>TDSC 研究方案 V2.0（2026-02-28），第 7.4 节“生物样本管理”。</w:t>
      </w:r>
    </w:p>
    <w:p w14:paraId="37918E79">
      <w:pPr>
        <w:pStyle w:val="19"/>
        <w:widowControl/>
        <w:numPr>
          <w:ilvl w:val="0"/>
          <w:numId w:val="8"/>
        </w:numPr>
        <w:ind w:left="360" w:leftChars="0" w:hanging="360" w:firstLineChars="0"/>
      </w:pPr>
      <w:r>
        <w:t>知情同意书（ICF）及其中“生物样本库同意”独立选项。</w:t>
      </w:r>
    </w:p>
    <w:p w14:paraId="6FCDD898">
      <w:pPr>
        <w:pStyle w:val="19"/>
        <w:widowControl/>
      </w:pPr>
      <w:r>
        <w:t>SOP</w:t>
      </w:r>
      <w:r>
        <w:rPr>
          <w:rFonts w:hint="eastAsia"/>
          <w:lang w:val="en-US" w:eastAsia="zh-CN"/>
        </w:rPr>
        <w:t>04</w:t>
      </w:r>
      <w:r>
        <w:t>：筛选与知情同意流程（含生物样本库同意、撤回同意后的处理边界）。</w:t>
      </w:r>
    </w:p>
    <w:p w14:paraId="7BE0EC33">
      <w:pPr>
        <w:pStyle w:val="19"/>
        <w:widowControl/>
      </w:pPr>
      <w:r>
        <w:t>SOP</w:t>
      </w:r>
      <w:r>
        <w:rPr>
          <w:rFonts w:hint="eastAsia"/>
          <w:lang w:val="en-US" w:eastAsia="zh-CN"/>
        </w:rPr>
        <w:t>05</w:t>
      </w:r>
      <w:r>
        <w:t>：随机与分配实施（信息隔离/受控访问：TB22等探索性结果不向治疗团队披露）。</w:t>
      </w:r>
    </w:p>
    <w:p w14:paraId="1879F7EC">
      <w:pPr>
        <w:pStyle w:val="19"/>
        <w:widowControl/>
      </w:pPr>
      <w:r>
        <w:t>SOP1</w:t>
      </w:r>
      <w:r>
        <w:rPr>
          <w:rFonts w:hint="eastAsia"/>
          <w:lang w:val="en-US" w:eastAsia="zh-CN"/>
        </w:rPr>
        <w:t>7</w:t>
      </w:r>
      <w:r>
        <w:t>：微生物学流程（培养、DST/tNGS/WGS接口；复发/再感染证据链）。</w:t>
      </w:r>
    </w:p>
    <w:p w14:paraId="312101DB">
      <w:pPr>
        <w:pStyle w:val="19"/>
        <w:widowControl/>
      </w:pPr>
      <w:r>
        <w:t>SOP1</w:t>
      </w:r>
      <w:r>
        <w:rPr>
          <w:rFonts w:hint="eastAsia"/>
          <w:lang w:val="en-US" w:eastAsia="zh-CN"/>
        </w:rPr>
        <w:t>1</w:t>
      </w:r>
      <w:r>
        <w:t>：疗效/结局评估与CEC裁决材料包（复发/再感染事件证据提交要求）。</w:t>
      </w:r>
    </w:p>
    <w:p w14:paraId="2B5AD4C6">
      <w:pPr>
        <w:pStyle w:val="19"/>
        <w:widowControl/>
      </w:pPr>
      <w:r>
        <w:t>SOP18：呼出气样本采集与背景样本采集（如开展breathomics子研究）。</w:t>
      </w:r>
    </w:p>
    <w:p w14:paraId="567C3E3C">
      <w:pPr>
        <w:pStyle w:val="19"/>
        <w:widowControl/>
      </w:pPr>
      <w:r>
        <w:t>SOP</w:t>
      </w:r>
      <w:r>
        <w:rPr>
          <w:rFonts w:hint="eastAsia"/>
          <w:lang w:val="en-US" w:eastAsia="zh-CN"/>
        </w:rPr>
        <w:t>22</w:t>
      </w:r>
      <w:r>
        <w:t>：EDC自动分级与任务单触发规则（样本偏差/温度偏离记录字段对接）。</w:t>
      </w:r>
    </w:p>
    <w:p w14:paraId="3B6924D7">
      <w:pPr>
        <w:pStyle w:val="19"/>
        <w:widowControl/>
        <w:numPr>
          <w:ilvl w:val="0"/>
          <w:numId w:val="8"/>
        </w:numPr>
        <w:ind w:left="360" w:leftChars="0" w:hanging="360" w:firstLineChars="0"/>
      </w:pPr>
      <w:r>
        <w:t>TB22 检测相关试剂盒/检测机构样本处理手册（如适用；TB22为探索性候选生物标志物，研究期间结果不用于门槛/停药决策且不向治疗团队披露）。</w:t>
      </w:r>
    </w:p>
    <w:p w14:paraId="27B37CC1">
      <w:pPr>
        <w:pStyle w:val="19"/>
        <w:widowControl/>
        <w:numPr>
          <w:ilvl w:val="0"/>
          <w:numId w:val="8"/>
        </w:numPr>
        <w:ind w:left="360" w:leftChars="0" w:hanging="360" w:firstLineChars="0"/>
      </w:pPr>
      <w:r>
        <w:t>PK 子研究方案/采血时间点与处理要求（如适用）。</w:t>
      </w:r>
    </w:p>
    <w:p w14:paraId="375CFA24">
      <w:pPr>
        <w:pStyle w:val="19"/>
        <w:widowControl/>
        <w:numPr>
          <w:ilvl w:val="0"/>
          <w:numId w:val="8"/>
        </w:numPr>
        <w:ind w:left="360" w:leftChars="0" w:hanging="360" w:firstLineChars="0"/>
      </w:pPr>
      <w:r>
        <w:t>培养、DST、tNGS、WGS 的中心实验室操作规程（如适用）。</w:t>
      </w:r>
    </w:p>
    <w:p w14:paraId="03C1AD3F">
      <w:pPr>
        <w:pStyle w:val="19"/>
        <w:widowControl/>
        <w:numPr>
          <w:ilvl w:val="0"/>
          <w:numId w:val="8"/>
        </w:numPr>
        <w:ind w:left="360" w:leftChars="0" w:hanging="360" w:firstLineChars="0"/>
      </w:pPr>
      <w:r>
        <w:t>生物安全与物流运输相关法规/标准（由中心生物安全管理员与合规部门确定适用版本）。</w:t>
      </w:r>
    </w:p>
    <w:p w14:paraId="2D05A286">
      <w:pPr>
        <w:pStyle w:val="3"/>
        <w:widowControl/>
        <w:numPr>
          <w:ilvl w:val="0"/>
          <w:numId w:val="7"/>
        </w:numPr>
        <w:ind w:left="0" w:leftChars="0" w:firstLine="0" w:firstLineChars="0"/>
        <w:rPr>
          <w:b/>
          <w:bdr w:val="none" w:sz="0" w:space="0"/>
        </w:rPr>
      </w:pPr>
      <w:r>
        <w:t>术语与缩写</w:t>
      </w:r>
    </w:p>
    <w:tbl>
      <w:tblPr>
        <w:tblStyle w:val="3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88"/>
        <w:gridCol w:w="4788"/>
      </w:tblGrid>
      <w:tr w14:paraId="0018AA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tcPr>
          <w:p w14:paraId="5B4E6527">
            <w:pPr>
              <w:spacing w:after="0" w:line="240" w:lineRule="auto"/>
            </w:pPr>
            <w:r>
              <w:t>术语/缩写</w:t>
            </w:r>
          </w:p>
        </w:tc>
        <w:tc>
          <w:tcPr>
            <w:tcW w:w="2500" w:type="pct"/>
          </w:tcPr>
          <w:p w14:paraId="2D755BFA">
            <w:pPr>
              <w:spacing w:after="0" w:line="240" w:lineRule="auto"/>
            </w:pPr>
            <w:r>
              <w:t>说明</w:t>
            </w:r>
          </w:p>
        </w:tc>
      </w:tr>
      <w:tr w14:paraId="0E53C9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tcPr>
          <w:p w14:paraId="3FF44788">
            <w:pPr>
              <w:spacing w:after="0" w:line="240" w:lineRule="auto"/>
            </w:pPr>
            <w:r>
              <w:t>TDSC</w:t>
            </w:r>
          </w:p>
        </w:tc>
        <w:tc>
          <w:tcPr>
            <w:tcW w:w="2500" w:type="pct"/>
          </w:tcPr>
          <w:p w14:paraId="4B2CF701">
            <w:pPr>
              <w:spacing w:after="0" w:line="240" w:lineRule="auto"/>
            </w:pPr>
            <w:r>
              <w:t>TB–Diabetes Short Course 研究。</w:t>
            </w:r>
          </w:p>
        </w:tc>
      </w:tr>
      <w:tr w14:paraId="74EF79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tcPr>
          <w:p w14:paraId="13CA35F1">
            <w:pPr>
              <w:spacing w:after="0" w:line="240" w:lineRule="auto"/>
            </w:pPr>
            <w:r>
              <w:t>TB-DM</w:t>
            </w:r>
          </w:p>
        </w:tc>
        <w:tc>
          <w:tcPr>
            <w:tcW w:w="2500" w:type="pct"/>
          </w:tcPr>
          <w:p w14:paraId="78E81317">
            <w:pPr>
              <w:spacing w:after="0" w:line="240" w:lineRule="auto"/>
            </w:pPr>
            <w:r>
              <w:t>肺结核合并 2 型糖尿病。</w:t>
            </w:r>
          </w:p>
        </w:tc>
      </w:tr>
      <w:tr w14:paraId="0C2162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tcPr>
          <w:p w14:paraId="07BF46D6">
            <w:pPr>
              <w:spacing w:after="0" w:line="240" w:lineRule="auto"/>
            </w:pPr>
            <w:r>
              <w:t>TB22</w:t>
            </w:r>
          </w:p>
        </w:tc>
        <w:tc>
          <w:tcPr>
            <w:tcW w:w="2500" w:type="pct"/>
          </w:tcPr>
          <w:p w14:paraId="41C1ECF2">
            <w:pPr>
              <w:spacing w:after="0" w:line="240" w:lineRule="auto"/>
            </w:pPr>
            <w:r>
              <w:t>外周血转录组评分（TB22 Score）。</w:t>
            </w:r>
          </w:p>
        </w:tc>
      </w:tr>
      <w:tr w14:paraId="4C067B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tcPr>
          <w:p w14:paraId="29B9DADD">
            <w:pPr>
              <w:spacing w:after="0" w:line="240" w:lineRule="auto"/>
            </w:pPr>
            <w:r>
              <w:t>PK</w:t>
            </w:r>
          </w:p>
        </w:tc>
        <w:tc>
          <w:tcPr>
            <w:tcW w:w="2500" w:type="pct"/>
          </w:tcPr>
          <w:p w14:paraId="7B66FD40">
            <w:pPr>
              <w:spacing w:after="0" w:line="240" w:lineRule="auto"/>
            </w:pPr>
            <w:r>
              <w:t>药代动力学（Pharmacokinetics）。</w:t>
            </w:r>
          </w:p>
        </w:tc>
      </w:tr>
      <w:tr w14:paraId="196F8B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tcPr>
          <w:p w14:paraId="1A12A042">
            <w:pPr>
              <w:spacing w:after="0" w:line="240" w:lineRule="auto"/>
            </w:pPr>
            <w:r>
              <w:t>tNGS</w:t>
            </w:r>
          </w:p>
        </w:tc>
        <w:tc>
          <w:tcPr>
            <w:tcW w:w="2500" w:type="pct"/>
          </w:tcPr>
          <w:p w14:paraId="6A56059C">
            <w:pPr>
              <w:spacing w:after="0" w:line="240" w:lineRule="auto"/>
            </w:pPr>
            <w:r>
              <w:t>靶向/宏基因组测序用于耐药筛查/鉴定（按方案定义）。</w:t>
            </w:r>
          </w:p>
        </w:tc>
      </w:tr>
      <w:tr w14:paraId="5D27CA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tcPr>
          <w:p w14:paraId="38ED046A">
            <w:pPr>
              <w:spacing w:after="0" w:line="240" w:lineRule="auto"/>
            </w:pPr>
            <w:r>
              <w:t>WGS</w:t>
            </w:r>
          </w:p>
        </w:tc>
        <w:tc>
          <w:tcPr>
            <w:tcW w:w="2500" w:type="pct"/>
          </w:tcPr>
          <w:p w14:paraId="3E3DC2C8">
            <w:pPr>
              <w:spacing w:after="0" w:line="240" w:lineRule="auto"/>
            </w:pPr>
            <w:r>
              <w:t>全基因组测序（Whole Genome Sequencing），用于区分复发/再感染等。</w:t>
            </w:r>
          </w:p>
        </w:tc>
      </w:tr>
      <w:tr w14:paraId="6C0FBB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tcPr>
          <w:p w14:paraId="530BB6C1">
            <w:pPr>
              <w:spacing w:after="0" w:line="240" w:lineRule="auto"/>
            </w:pPr>
            <w:r>
              <w:t>Chain of custody</w:t>
            </w:r>
          </w:p>
        </w:tc>
        <w:tc>
          <w:tcPr>
            <w:tcW w:w="2500" w:type="pct"/>
          </w:tcPr>
          <w:p w14:paraId="0F267D4E">
            <w:pPr>
              <w:spacing w:after="0" w:line="240" w:lineRule="auto"/>
            </w:pPr>
            <w:r>
              <w:t>样本流转链（采集-处理-暂存-运输-接收-检测/入库）的可追溯记录。</w:t>
            </w:r>
          </w:p>
        </w:tc>
      </w:tr>
      <w:tr w14:paraId="26212F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tcPr>
          <w:p w14:paraId="3E6FD030">
            <w:pPr>
              <w:spacing w:after="0" w:line="240" w:lineRule="auto"/>
            </w:pPr>
            <w:r>
              <w:t>温度偏离（Temperature excursion）</w:t>
            </w:r>
          </w:p>
        </w:tc>
        <w:tc>
          <w:tcPr>
            <w:tcW w:w="2500" w:type="pct"/>
          </w:tcPr>
          <w:p w14:paraId="061DDCB1">
            <w:pPr>
              <w:spacing w:after="0" w:line="240" w:lineRule="auto"/>
            </w:pPr>
            <w:r>
              <w:t>样本在规定温度范围外的暴露（含运输/暂存）。</w:t>
            </w:r>
          </w:p>
        </w:tc>
      </w:tr>
      <w:tr w14:paraId="72EB7B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tcPr>
          <w:p w14:paraId="76809B3A">
            <w:pPr>
              <w:spacing w:after="0" w:line="240" w:lineRule="auto"/>
            </w:pPr>
            <w:r>
              <w:t>剩余样本（Residual biospecimen）</w:t>
            </w:r>
          </w:p>
        </w:tc>
        <w:tc>
          <w:tcPr>
            <w:tcW w:w="2500" w:type="pct"/>
          </w:tcPr>
          <w:p w14:paraId="4B56F589">
            <w:pPr>
              <w:spacing w:after="0" w:line="240" w:lineRule="auto"/>
            </w:pPr>
            <w:r>
              <w:t>完成方案规定检测后剩余、且受试者同意入库的样本。</w:t>
            </w:r>
          </w:p>
        </w:tc>
      </w:tr>
    </w:tbl>
    <w:p w14:paraId="106177DF">
      <w:pPr>
        <w:pStyle w:val="3"/>
        <w:widowControl/>
        <w:numPr>
          <w:ilvl w:val="0"/>
          <w:numId w:val="7"/>
        </w:numPr>
        <w:ind w:left="0" w:leftChars="0" w:firstLine="0" w:firstLineChars="0"/>
        <w:rPr>
          <w:b/>
          <w:bdr w:val="none" w:sz="0" w:space="0"/>
        </w:rPr>
      </w:pPr>
      <w:r>
        <w:t>职责分工</w:t>
      </w:r>
    </w:p>
    <w:p w14:paraId="2B21FB33">
      <w:pPr>
        <w:pStyle w:val="19"/>
        <w:widowControl/>
        <w:numPr>
          <w:ilvl w:val="0"/>
          <w:numId w:val="9"/>
        </w:numPr>
        <w:ind w:left="360" w:leftChars="0" w:hanging="360" w:firstLineChars="0"/>
      </w:pPr>
      <w:r>
        <w:t>中心 PI / 研究医生：确保受试者同意合规；决定样本采集是否可执行（如临床禁忌）；对关键偏差进行医学判定与签署。</w:t>
      </w:r>
    </w:p>
    <w:p w14:paraId="3A2D294A">
      <w:pPr>
        <w:pStyle w:val="19"/>
        <w:widowControl/>
        <w:numPr>
          <w:ilvl w:val="0"/>
          <w:numId w:val="9"/>
        </w:numPr>
        <w:ind w:left="360" w:leftChars="0" w:hanging="360" w:firstLineChars="0"/>
      </w:pPr>
      <w:r>
        <w:t>研究护士/CRC：按访视时间窗组织采集；核对受试者身份与采集时间；完成标签、表单、EDC 录入与随访补采协调。</w:t>
      </w:r>
    </w:p>
    <w:p w14:paraId="7E1F8156">
      <w:pPr>
        <w:pStyle w:val="19"/>
        <w:widowControl/>
        <w:numPr>
          <w:ilvl w:val="0"/>
          <w:numId w:val="9"/>
        </w:numPr>
        <w:ind w:left="360" w:leftChars="0" w:hanging="360" w:firstLineChars="0"/>
      </w:pPr>
      <w:r>
        <w:t>中心实验室/检验人员：按手册完成样本处理、分装、暂存；确保生物安全；准备运输；维护温度记录。</w:t>
      </w:r>
    </w:p>
    <w:p w14:paraId="2ED139ED">
      <w:pPr>
        <w:pStyle w:val="19"/>
        <w:widowControl/>
        <w:numPr>
          <w:ilvl w:val="0"/>
          <w:numId w:val="9"/>
        </w:numPr>
        <w:ind w:left="360" w:leftChars="0" w:hanging="360" w:firstLineChars="0"/>
      </w:pPr>
      <w:r>
        <w:t>生物样本管理员（可由实验室或 PMO 指定）：管理样本台账、出入库、冷链物流对接、温度记录归档、偏差闭环。</w:t>
      </w:r>
    </w:p>
    <w:p w14:paraId="2C6608CF">
      <w:pPr>
        <w:pStyle w:val="19"/>
        <w:widowControl/>
        <w:numPr>
          <w:ilvl w:val="0"/>
          <w:numId w:val="9"/>
        </w:numPr>
        <w:ind w:left="360" w:leftChars="0" w:hanging="360" w:firstLineChars="0"/>
      </w:pPr>
      <w:r>
        <w:t>中心实验室/指定检测机构（含合作单位）：接收验收样本、反馈不合格原因、完成检测/入库，并维护样本及数据的一致性。</w:t>
      </w:r>
    </w:p>
    <w:p w14:paraId="1FD7B0CF">
      <w:pPr>
        <w:pStyle w:val="19"/>
        <w:widowControl/>
        <w:numPr>
          <w:ilvl w:val="0"/>
          <w:numId w:val="9"/>
        </w:numPr>
        <w:ind w:left="360" w:leftChars="0" w:hanging="360" w:firstLineChars="0"/>
      </w:pPr>
      <w:r>
        <w:t>PMO/质量管理：组织培训与稽查；抽查样本链条与温度记录；推动纠正预防措施（CAPA）。</w:t>
      </w:r>
    </w:p>
    <w:p w14:paraId="2A537496">
      <w:pPr>
        <w:pStyle w:val="3"/>
        <w:widowControl/>
        <w:numPr>
          <w:ilvl w:val="0"/>
          <w:numId w:val="7"/>
        </w:numPr>
        <w:ind w:left="0" w:leftChars="0" w:firstLine="0" w:firstLineChars="0"/>
        <w:rPr>
          <w:b/>
          <w:bdr w:val="none" w:sz="0" w:space="0"/>
        </w:rPr>
      </w:pPr>
      <w:r>
        <w:t>合规前置条件：同意、去标识化与权限</w:t>
      </w:r>
    </w:p>
    <w:p w14:paraId="36A84EDF">
      <w:pPr>
        <w:pStyle w:val="19"/>
        <w:widowControl/>
        <w:numPr>
          <w:ilvl w:val="0"/>
          <w:numId w:val="10"/>
        </w:numPr>
        <w:ind w:left="0" w:leftChars="0" w:firstLine="0" w:firstLineChars="0"/>
        <w:rPr>
          <w:b w:val="0"/>
          <w:bdr w:val="none" w:sz="0" w:space="0"/>
        </w:rPr>
      </w:pPr>
      <w:r>
        <w:t>在任何研究特异性样本采集前，必须完成主研究 ICF 签署。</w:t>
      </w:r>
    </w:p>
    <w:p w14:paraId="659FF38B">
      <w:pPr>
        <w:pStyle w:val="19"/>
        <w:widowControl/>
        <w:numPr>
          <w:ilvl w:val="0"/>
          <w:numId w:val="10"/>
        </w:numPr>
        <w:ind w:left="0" w:leftChars="0" w:firstLine="0" w:firstLineChars="0"/>
        <w:rPr>
          <w:b w:val="0"/>
          <w:bdr w:val="none" w:sz="0" w:space="0"/>
        </w:rPr>
      </w:pPr>
      <w:r>
        <w:t>ICF 中包含“生物样本库同意”独立选项：受试者可选择是否同意将剩余生物样本（如血浆、全血 RNA、菌株）长期存储用于未来研究；拒绝不影响参与主试验。</w:t>
      </w:r>
    </w:p>
    <w:p w14:paraId="3DE26B07">
      <w:pPr>
        <w:pStyle w:val="19"/>
        <w:widowControl/>
        <w:numPr>
          <w:ilvl w:val="0"/>
          <w:numId w:val="10"/>
        </w:numPr>
        <w:ind w:left="0" w:leftChars="0" w:firstLine="0" w:firstLineChars="0"/>
        <w:rPr>
          <w:b w:val="0"/>
          <w:bdr w:val="none" w:sz="0" w:space="0"/>
        </w:rPr>
      </w:pPr>
      <w:r>
        <w:t>所有样本仅使用受试者研究编号（Subject ID）及必要的采集信息进行标识；不得出现姓名、身份证号、电话等直接身份信息。</w:t>
      </w:r>
    </w:p>
    <w:p w14:paraId="2C74170A">
      <w:pPr>
        <w:pStyle w:val="19"/>
        <w:widowControl/>
        <w:numPr>
          <w:ilvl w:val="0"/>
          <w:numId w:val="10"/>
        </w:numPr>
        <w:ind w:left="0" w:leftChars="0" w:firstLine="0" w:firstLineChars="0"/>
        <w:rPr>
          <w:b w:val="0"/>
          <w:bdr w:val="none" w:sz="0" w:space="0"/>
        </w:rPr>
      </w:pPr>
      <w:r>
        <w:t>样本/结果的访问与使用遵循研究方案与项目治理流程（SC/PMO/伦理要求）。涉及未来研究使用的样本，仅限于已同意入库的剩余样本。</w:t>
      </w:r>
    </w:p>
    <w:p w14:paraId="48184613">
      <w:pPr>
        <w:pStyle w:val="19"/>
        <w:widowControl/>
      </w:pPr>
      <w:r>
        <w:t>TB22、呼出气组学等探索性检测结果在研究执行期间默认不向治疗团队披露，不用于随机/停药/Hard Gate等关键决策；如因受试者安全确需受控访问，须按SOP12“受控披露/受控访问”流程执行并留痕。</w:t>
      </w:r>
    </w:p>
    <w:p w14:paraId="4010C187">
      <w:pPr>
        <w:pStyle w:val="3"/>
        <w:widowControl/>
        <w:numPr>
          <w:ilvl w:val="0"/>
          <w:numId w:val="7"/>
        </w:numPr>
        <w:ind w:left="0" w:leftChars="0" w:firstLine="0" w:firstLineChars="0"/>
        <w:rPr>
          <w:b/>
          <w:bdr w:val="none" w:sz="0" w:space="0"/>
        </w:rPr>
      </w:pPr>
      <w:r>
        <w:t>样本类型、关键时间点与流转路径（概览）</w:t>
      </w:r>
    </w:p>
    <w:p w14:paraId="566D92DA">
      <w:pPr>
        <w:pStyle w:val="19"/>
        <w:widowControl/>
      </w:pPr>
      <w:r>
        <w:t>本节用于统一“样本从哪里来、到哪里去”。具体采集时间点以随访表/子研究方案为准；运输目的地以中心实验室或指定检测机构为准。</w:t>
      </w:r>
    </w:p>
    <w:tbl>
      <w:tblPr>
        <w:tblStyle w:val="3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94"/>
        <w:gridCol w:w="2394"/>
        <w:gridCol w:w="2394"/>
        <w:gridCol w:w="2394"/>
      </w:tblGrid>
      <w:tr w14:paraId="1B0ED9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0" w:type="pct"/>
          </w:tcPr>
          <w:p w14:paraId="7BCDEACE">
            <w:pPr>
              <w:spacing w:after="0" w:line="240" w:lineRule="auto"/>
            </w:pPr>
            <w:r>
              <w:t>样本类型</w:t>
            </w:r>
          </w:p>
        </w:tc>
        <w:tc>
          <w:tcPr>
            <w:tcW w:w="1250" w:type="pct"/>
          </w:tcPr>
          <w:p w14:paraId="33C901C6">
            <w:pPr>
              <w:spacing w:after="0" w:line="240" w:lineRule="auto"/>
            </w:pPr>
            <w:r>
              <w:t>主要用途/触发场景</w:t>
            </w:r>
          </w:p>
        </w:tc>
        <w:tc>
          <w:tcPr>
            <w:tcW w:w="1250" w:type="pct"/>
          </w:tcPr>
          <w:p w14:paraId="6B9FBB13">
            <w:pPr>
              <w:spacing w:after="0" w:line="240" w:lineRule="auto"/>
            </w:pPr>
            <w:r>
              <w:t>流转路径（示例）</w:t>
            </w:r>
          </w:p>
        </w:tc>
        <w:tc>
          <w:tcPr>
            <w:tcW w:w="1250" w:type="pct"/>
          </w:tcPr>
          <w:p w14:paraId="11C55637">
            <w:pPr>
              <w:spacing w:after="0" w:line="240" w:lineRule="auto"/>
            </w:pPr>
            <w:r>
              <w:t>备注</w:t>
            </w:r>
          </w:p>
        </w:tc>
      </w:tr>
      <w:tr w14:paraId="5A1CF6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0" w:type="pct"/>
          </w:tcPr>
          <w:p w14:paraId="3EEDE553">
            <w:pPr>
              <w:spacing w:after="0" w:line="240" w:lineRule="auto"/>
            </w:pPr>
            <w:r>
              <w:t>菌株/分离株</w:t>
            </w:r>
          </w:p>
        </w:tc>
        <w:tc>
          <w:tcPr>
            <w:tcW w:w="1250" w:type="pct"/>
          </w:tcPr>
          <w:p w14:paraId="0568AAC0">
            <w:pPr>
              <w:spacing w:after="0" w:line="240" w:lineRule="auto"/>
            </w:pPr>
            <w:r>
              <w:t>培养阳性分离株留存；复发/再阳性事件用于 DST/WGS</w:t>
            </w:r>
          </w:p>
        </w:tc>
        <w:tc>
          <w:tcPr>
            <w:tcW w:w="1250" w:type="pct"/>
          </w:tcPr>
          <w:p w14:paraId="0250C07D">
            <w:pPr>
              <w:spacing w:after="0" w:line="240" w:lineRule="auto"/>
            </w:pPr>
            <w:r>
              <w:t>中心实验室 → 指定分型/测序机构</w:t>
            </w:r>
          </w:p>
        </w:tc>
        <w:tc>
          <w:tcPr>
            <w:tcW w:w="1250" w:type="pct"/>
          </w:tcPr>
          <w:p w14:paraId="7EF6D504">
            <w:pPr>
              <w:spacing w:after="0" w:line="240" w:lineRule="auto"/>
            </w:pPr>
            <w:r>
              <w:t>按培养与生物安全 SOP；运输需合规</w:t>
            </w:r>
          </w:p>
        </w:tc>
      </w:tr>
      <w:tr w14:paraId="20F91A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0" w:type="pct"/>
          </w:tcPr>
          <w:p w14:paraId="04DAC343">
            <w:r>
              <w:t>全血 RNA（TB22）</w:t>
            </w:r>
          </w:p>
        </w:tc>
        <w:tc>
          <w:tcPr>
            <w:tcW w:w="1250" w:type="pct"/>
          </w:tcPr>
          <w:p w14:paraId="311E5392">
            <w:r>
              <w:t>TB22 候选转录组评分样本：用于预设验证/探索性分析（不用于队列B M6资格判定或停药决策）</w:t>
            </w:r>
          </w:p>
        </w:tc>
        <w:tc>
          <w:tcPr>
            <w:tcW w:w="1250" w:type="pct"/>
          </w:tcPr>
          <w:p w14:paraId="75A78089">
            <w:r>
              <w:t>研究中心 → 指定检测机构/中心实验室</w:t>
            </w:r>
          </w:p>
        </w:tc>
        <w:tc>
          <w:tcPr>
            <w:tcW w:w="1250" w:type="pct"/>
          </w:tcPr>
          <w:p w14:paraId="080FF7F7">
            <w:r>
              <w:t>按检测手册/试剂盒要求；研究期间结果不向治疗团队披露（信息隔离/受控访问）</w:t>
            </w:r>
          </w:p>
        </w:tc>
      </w:tr>
      <w:tr w14:paraId="551F29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0" w:type="pct"/>
          </w:tcPr>
          <w:p w14:paraId="68EB222A">
            <w:pPr>
              <w:spacing w:after="0" w:line="240" w:lineRule="auto"/>
            </w:pPr>
            <w:r>
              <w:t>PK 血样</w:t>
            </w:r>
          </w:p>
        </w:tc>
        <w:tc>
          <w:tcPr>
            <w:tcW w:w="1250" w:type="pct"/>
          </w:tcPr>
          <w:p w14:paraId="5A45BB3A">
            <w:pPr>
              <w:spacing w:after="0" w:line="240" w:lineRule="auto"/>
            </w:pPr>
            <w:r>
              <w:t>用于关键药物暴露分析（PK 亚组）</w:t>
            </w:r>
          </w:p>
        </w:tc>
        <w:tc>
          <w:tcPr>
            <w:tcW w:w="1250" w:type="pct"/>
          </w:tcPr>
          <w:p w14:paraId="0BC1205B">
            <w:pPr>
              <w:spacing w:after="0" w:line="240" w:lineRule="auto"/>
            </w:pPr>
            <w:r>
              <w:t>研究中心 → PK 检测实验室</w:t>
            </w:r>
          </w:p>
        </w:tc>
        <w:tc>
          <w:tcPr>
            <w:tcW w:w="1250" w:type="pct"/>
          </w:tcPr>
          <w:p w14:paraId="7DD8FB64">
            <w:pPr>
              <w:spacing w:after="0" w:line="240" w:lineRule="auto"/>
            </w:pPr>
            <w:r>
              <w:t>按 PK 子研究方案执行；需记录给药/采血时间</w:t>
            </w:r>
          </w:p>
        </w:tc>
      </w:tr>
      <w:tr w14:paraId="79876A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0" w:type="pct"/>
          </w:tcPr>
          <w:p w14:paraId="7734B3D9">
            <w:pPr>
              <w:spacing w:after="0" w:line="240" w:lineRule="auto"/>
            </w:pPr>
            <w:r>
              <w:t>其他探索性样本（如适用）</w:t>
            </w:r>
          </w:p>
        </w:tc>
        <w:tc>
          <w:tcPr>
            <w:tcW w:w="1250" w:type="pct"/>
          </w:tcPr>
          <w:p w14:paraId="12D3EB6B">
            <w:r>
              <w:t>VOCs、cfDNA 等预设探索性分析（含呼出气子研究，如适用）</w:t>
            </w:r>
          </w:p>
        </w:tc>
        <w:tc>
          <w:tcPr>
            <w:tcW w:w="1250" w:type="pct"/>
          </w:tcPr>
          <w:p w14:paraId="1CB5FC89">
            <w:pPr>
              <w:spacing w:after="0" w:line="240" w:lineRule="auto"/>
            </w:pPr>
            <w:r>
              <w:t>研究中心 → 指定合作单位</w:t>
            </w:r>
          </w:p>
        </w:tc>
        <w:tc>
          <w:tcPr>
            <w:tcW w:w="1250" w:type="pct"/>
          </w:tcPr>
          <w:p w14:paraId="52A8962C">
            <w:r>
              <w:t>以子研究手册为准；呼出气采样按SOP18；结果披露遵循信息隔离要求</w:t>
            </w:r>
          </w:p>
        </w:tc>
      </w:tr>
    </w:tbl>
    <w:p w14:paraId="7CC92BD1">
      <w:pPr>
        <w:pStyle w:val="3"/>
        <w:widowControl/>
        <w:numPr>
          <w:ilvl w:val="0"/>
          <w:numId w:val="7"/>
        </w:numPr>
        <w:ind w:left="0" w:leftChars="0" w:firstLine="0" w:firstLineChars="0"/>
        <w:rPr>
          <w:b/>
          <w:bdr w:val="none" w:sz="0" w:space="0"/>
        </w:rPr>
      </w:pPr>
      <w:r>
        <w:t>样本采集与标识（通用流程）</w:t>
      </w:r>
    </w:p>
    <w:p w14:paraId="4772E8EE">
      <w:pPr>
        <w:pStyle w:val="19"/>
        <w:widowControl/>
        <w:numPr>
          <w:ilvl w:val="0"/>
          <w:numId w:val="11"/>
        </w:numPr>
        <w:ind w:left="0" w:leftChars="0" w:firstLine="0" w:firstLineChars="0"/>
        <w:rPr>
          <w:b w:val="0"/>
          <w:bdr w:val="none" w:sz="0" w:space="0"/>
        </w:rPr>
      </w:pPr>
      <w:r>
        <w:t>准备：根据访视清单打印/生成标签；准备采集耗材与表单；核对受试者研究编号与访视号。</w:t>
      </w:r>
    </w:p>
    <w:p w14:paraId="5709AD03">
      <w:pPr>
        <w:pStyle w:val="19"/>
        <w:widowControl/>
        <w:numPr>
          <w:ilvl w:val="0"/>
          <w:numId w:val="11"/>
        </w:numPr>
        <w:ind w:left="0" w:leftChars="0" w:firstLine="0" w:firstLineChars="0"/>
        <w:rPr>
          <w:b w:val="0"/>
          <w:bdr w:val="none" w:sz="0" w:space="0"/>
        </w:rPr>
      </w:pPr>
      <w:r>
        <w:t>采集：按对应样本的操作手册/子研究方案执行。对 PK 样本必须同步记录“计划采血时间点”“实际采血时间”以及“当次给药时间”。</w:t>
      </w:r>
    </w:p>
    <w:p w14:paraId="3B342445">
      <w:pPr>
        <w:pStyle w:val="19"/>
        <w:widowControl/>
        <w:numPr>
          <w:ilvl w:val="0"/>
          <w:numId w:val="11"/>
        </w:numPr>
        <w:ind w:left="0" w:leftChars="0" w:firstLine="0" w:firstLineChars="0"/>
        <w:rPr>
          <w:b w:val="0"/>
          <w:bdr w:val="none" w:sz="0" w:space="0"/>
        </w:rPr>
      </w:pPr>
      <w:r>
        <w:t>初检：检查容器完整、标识清晰、是否达到最低采集量（如手册要求）。</w:t>
      </w:r>
    </w:p>
    <w:p w14:paraId="267DED6F">
      <w:pPr>
        <w:pStyle w:val="19"/>
        <w:widowControl/>
        <w:numPr>
          <w:ilvl w:val="0"/>
          <w:numId w:val="11"/>
        </w:numPr>
        <w:ind w:left="0" w:leftChars="0" w:firstLine="0" w:firstLineChars="0"/>
        <w:rPr>
          <w:b w:val="0"/>
          <w:bdr w:val="none" w:sz="0" w:space="0"/>
        </w:rPr>
      </w:pPr>
      <w:r>
        <w:t>标识：标签至少包含 Subject ID、访视号/时间点、样本类型、采集日期与时间、分装序号（如 A1/A2）。</w:t>
      </w:r>
    </w:p>
    <w:p w14:paraId="003E9D5D">
      <w:pPr>
        <w:pStyle w:val="19"/>
        <w:widowControl/>
        <w:numPr>
          <w:ilvl w:val="0"/>
          <w:numId w:val="11"/>
        </w:numPr>
        <w:ind w:left="0" w:leftChars="0" w:firstLine="0" w:firstLineChars="0"/>
        <w:rPr>
          <w:b w:val="0"/>
          <w:bdr w:val="none" w:sz="0" w:space="0"/>
        </w:rPr>
      </w:pPr>
      <w:r>
        <w:t>记录：在《样本采集与流转记录表》中记录采集者、采集时间、样本状态与现场处理开始/结束时间（如适用）。</w:t>
      </w:r>
    </w:p>
    <w:p w14:paraId="1A098153">
      <w:pPr>
        <w:pStyle w:val="3"/>
        <w:widowControl/>
        <w:numPr>
          <w:numId w:val="0"/>
        </w:numPr>
        <w:ind w:leftChars="0"/>
        <w:rPr>
          <w:b/>
          <w:bdr w:val="none" w:sz="0" w:space="0"/>
        </w:rPr>
      </w:pPr>
      <w:r>
        <w:rPr>
          <w:rFonts w:hint="eastAsia"/>
          <w:lang w:val="en-US" w:eastAsia="zh-CN"/>
        </w:rPr>
        <w:t>9.</w:t>
      </w:r>
      <w:r>
        <w:t>现场处理与暂存</w:t>
      </w:r>
    </w:p>
    <w:p w14:paraId="5464FE85">
      <w:pPr>
        <w:pStyle w:val="19"/>
        <w:widowControl/>
        <w:numPr>
          <w:ilvl w:val="0"/>
          <w:numId w:val="12"/>
        </w:numPr>
        <w:ind w:left="360" w:leftChars="0" w:hanging="360" w:firstLineChars="0"/>
      </w:pPr>
      <w:r>
        <w:t>现场处理（如离心、分装、加稳定剂、封存等）必须按对应检测机构手册/子研究方案执行，并记录关键时间戳。</w:t>
      </w:r>
    </w:p>
    <w:p w14:paraId="1487235D">
      <w:pPr>
        <w:pStyle w:val="19"/>
        <w:widowControl/>
        <w:numPr>
          <w:ilvl w:val="0"/>
          <w:numId w:val="12"/>
        </w:numPr>
        <w:ind w:left="360" w:leftChars="0" w:hanging="360" w:firstLineChars="0"/>
      </w:pPr>
      <w:r>
        <w:t>暂存条件（室温/2–8°C/冷冻等）以手册规定为准；暂存期间需记录温度（自动记录或人工日志）。</w:t>
      </w:r>
    </w:p>
    <w:p w14:paraId="628A203A">
      <w:pPr>
        <w:pStyle w:val="19"/>
        <w:widowControl/>
        <w:numPr>
          <w:ilvl w:val="0"/>
          <w:numId w:val="12"/>
        </w:numPr>
        <w:ind w:left="360" w:leftChars="0" w:hanging="360" w:firstLineChars="0"/>
      </w:pPr>
      <w:r>
        <w:t>对需要冷冻运输的样本，建议在运输前确认样本已达到要求的预冻状态，并准备足量冷媒（如干冰/冰袋）与温度记录仪（如适用）。</w:t>
      </w:r>
    </w:p>
    <w:p w14:paraId="26914FDD">
      <w:pPr>
        <w:pStyle w:val="3"/>
        <w:widowControl/>
        <w:numPr>
          <w:numId w:val="0"/>
        </w:numPr>
        <w:ind w:leftChars="0"/>
        <w:rPr>
          <w:b/>
          <w:bdr w:val="none" w:sz="0" w:space="0"/>
        </w:rPr>
      </w:pPr>
      <w:r>
        <w:rPr>
          <w:rFonts w:hint="eastAsia"/>
          <w:lang w:val="en-US" w:eastAsia="zh-CN"/>
        </w:rPr>
        <w:t>10.</w:t>
      </w:r>
      <w:r>
        <w:t>运输与冷链管理</w:t>
      </w:r>
    </w:p>
    <w:p w14:paraId="36F4A0F3">
      <w:pPr>
        <w:pStyle w:val="19"/>
        <w:widowControl/>
      </w:pPr>
      <w:r>
        <w:t>核心样本类型包括：结核分枝杆菌分离株/菌株样本、全血 RNA（TB22 候选转录组评分样本）、药代动力学（PK）血样。</w:t>
      </w:r>
    </w:p>
    <w:p w14:paraId="02923323">
      <w:pPr>
        <w:pStyle w:val="19"/>
        <w:widowControl/>
        <w:numPr>
          <w:ilvl w:val="0"/>
          <w:numId w:val="13"/>
        </w:numPr>
        <w:ind w:left="0" w:leftChars="0" w:firstLine="0" w:firstLineChars="0"/>
        <w:rPr>
          <w:b w:val="0"/>
          <w:bdr w:val="none" w:sz="0" w:space="0"/>
        </w:rPr>
      </w:pPr>
      <w:r>
        <w:t>运输计划：由生物样本管理员与 PMO/中心实验室协调确定批次、频率与目的地（例如牵头单位中心实验室或合作检测单位）。</w:t>
      </w:r>
    </w:p>
    <w:p w14:paraId="7CCB9EE4">
      <w:pPr>
        <w:pStyle w:val="19"/>
        <w:widowControl/>
        <w:numPr>
          <w:ilvl w:val="0"/>
          <w:numId w:val="13"/>
        </w:numPr>
        <w:ind w:left="0" w:leftChars="0" w:firstLine="0" w:firstLineChars="0"/>
        <w:rPr>
          <w:b w:val="0"/>
          <w:bdr w:val="none" w:sz="0" w:space="0"/>
        </w:rPr>
      </w:pPr>
      <w:r>
        <w:t>包装：采用“三级包装”原则（一次容器密封 → 二次防漏容器+吸附材料 → 外包装），并按要求张贴生物危害/温控/方向标签。</w:t>
      </w:r>
    </w:p>
    <w:p w14:paraId="09A48086">
      <w:pPr>
        <w:pStyle w:val="19"/>
        <w:widowControl/>
        <w:numPr>
          <w:ilvl w:val="0"/>
          <w:numId w:val="13"/>
        </w:numPr>
        <w:ind w:left="0" w:leftChars="0" w:firstLine="0" w:firstLineChars="0"/>
        <w:rPr>
          <w:b w:val="0"/>
          <w:bdr w:val="none" w:sz="0" w:space="0"/>
        </w:rPr>
      </w:pPr>
      <w:r>
        <w:t>温控：根据样本要求选择合适冷媒与保温容器；必要时加入温度记录仪并随件回收/拍照存档。</w:t>
      </w:r>
    </w:p>
    <w:p w14:paraId="5535C7AB">
      <w:pPr>
        <w:pStyle w:val="19"/>
        <w:widowControl/>
        <w:numPr>
          <w:ilvl w:val="0"/>
          <w:numId w:val="13"/>
        </w:numPr>
        <w:ind w:left="0" w:leftChars="0" w:firstLine="0" w:firstLineChars="0"/>
        <w:rPr>
          <w:b w:val="0"/>
          <w:bdr w:val="none" w:sz="0" w:space="0"/>
        </w:rPr>
      </w:pPr>
      <w:r>
        <w:t>合规：菌株/培养物等高风险材料的运输分类、申报、承运资质与标识，须由中心生物安全管理员与合规部门审核后执行。</w:t>
      </w:r>
    </w:p>
    <w:p w14:paraId="4C9D4048">
      <w:pPr>
        <w:pStyle w:val="19"/>
        <w:widowControl/>
        <w:numPr>
          <w:ilvl w:val="0"/>
          <w:numId w:val="13"/>
        </w:numPr>
        <w:ind w:left="0" w:leftChars="0" w:firstLine="0" w:firstLineChars="0"/>
        <w:rPr>
          <w:b w:val="0"/>
          <w:bdr w:val="none" w:sz="0" w:space="0"/>
        </w:rPr>
      </w:pPr>
      <w:r>
        <w:t>交接：发出前与承运方完成交接签字；保留运单号与预计到达时间；到达后由接收方回传签收与温度信息。</w:t>
      </w:r>
    </w:p>
    <w:p w14:paraId="5C3E1643">
      <w:pPr>
        <w:pStyle w:val="3"/>
        <w:widowControl/>
        <w:numPr>
          <w:numId w:val="0"/>
        </w:numPr>
        <w:ind w:leftChars="0"/>
        <w:rPr>
          <w:b/>
          <w:bdr w:val="none" w:sz="0" w:space="0"/>
        </w:rPr>
      </w:pPr>
      <w:r>
        <w:rPr>
          <w:rFonts w:hint="eastAsia"/>
          <w:lang w:val="en-US" w:eastAsia="zh-CN"/>
        </w:rPr>
        <w:t>11.</w:t>
      </w:r>
      <w:r>
        <w:t>接收、验收与反馈</w:t>
      </w:r>
    </w:p>
    <w:p w14:paraId="74B050CD">
      <w:pPr>
        <w:pStyle w:val="19"/>
        <w:widowControl/>
        <w:numPr>
          <w:ilvl w:val="0"/>
          <w:numId w:val="14"/>
        </w:numPr>
        <w:ind w:left="360" w:leftChars="0" w:hanging="360" w:firstLineChars="0"/>
      </w:pPr>
      <w:r>
        <w:t>接收方在签收时核对：样本清单、标签、数量、外包装完好性、温度记录（如有）、到达时间。</w:t>
      </w:r>
    </w:p>
    <w:p w14:paraId="33977057">
      <w:pPr>
        <w:pStyle w:val="19"/>
        <w:widowControl/>
        <w:numPr>
          <w:ilvl w:val="0"/>
          <w:numId w:val="14"/>
        </w:numPr>
        <w:ind w:left="360" w:leftChars="0" w:hanging="360" w:firstLineChars="0"/>
      </w:pPr>
      <w:r>
        <w:t>如出现破损、渗漏、标识缺失、温度偏离或超时等情况，接收方应记录并及时反馈至送检中心与 PMO，按偏差流程处理。</w:t>
      </w:r>
    </w:p>
    <w:p w14:paraId="125D483D">
      <w:pPr>
        <w:pStyle w:val="19"/>
        <w:widowControl/>
        <w:numPr>
          <w:ilvl w:val="0"/>
          <w:numId w:val="14"/>
        </w:numPr>
        <w:ind w:left="360" w:leftChars="0" w:hanging="360" w:firstLineChars="0"/>
      </w:pPr>
      <w:r>
        <w:t>验收结论（合格/不合格/条件性可用）需形成书面或电子记录，并回写 EDC/样本台账（如适用）。</w:t>
      </w:r>
    </w:p>
    <w:p w14:paraId="6723BB72">
      <w:pPr>
        <w:pStyle w:val="3"/>
        <w:widowControl/>
        <w:numPr>
          <w:numId w:val="0"/>
        </w:numPr>
        <w:ind w:leftChars="0"/>
        <w:rPr>
          <w:b/>
          <w:bdr w:val="none" w:sz="0" w:space="0"/>
        </w:rPr>
      </w:pPr>
      <w:r>
        <w:rPr>
          <w:rFonts w:hint="eastAsia"/>
          <w:lang w:val="en-US" w:eastAsia="zh-CN"/>
        </w:rPr>
        <w:t>12.</w:t>
      </w:r>
      <w:r>
        <w:t>入库、留样与未来研究使用</w:t>
      </w:r>
    </w:p>
    <w:p w14:paraId="0F168E7E">
      <w:pPr>
        <w:pStyle w:val="19"/>
        <w:widowControl/>
        <w:numPr>
          <w:ilvl w:val="0"/>
          <w:numId w:val="15"/>
        </w:numPr>
        <w:ind w:left="0" w:leftChars="0" w:firstLine="0" w:firstLineChars="0"/>
        <w:rPr>
          <w:b w:val="0"/>
          <w:bdr w:val="none" w:sz="0" w:space="0"/>
        </w:rPr>
      </w:pPr>
      <w:r>
        <w:t>仅对已勾选“生物样本库同意”的受试者，其完成方案规定检测后的剩余样本可进入申办方生物样本库长期存储；未同意者的剩余样本不得入库。</w:t>
      </w:r>
    </w:p>
    <w:p w14:paraId="56FC3768">
      <w:pPr>
        <w:pStyle w:val="19"/>
        <w:widowControl/>
        <w:numPr>
          <w:ilvl w:val="0"/>
          <w:numId w:val="15"/>
        </w:numPr>
        <w:ind w:left="0" w:leftChars="0" w:firstLine="0" w:firstLineChars="0"/>
        <w:rPr>
          <w:b w:val="0"/>
          <w:bdr w:val="none" w:sz="0" w:space="0"/>
        </w:rPr>
      </w:pPr>
      <w:r>
        <w:t>入库样本必须去标识化，并在样本台账中记录存储位置、温度条件、入库时间与可用体积/份数。</w:t>
      </w:r>
    </w:p>
    <w:p w14:paraId="4322DB53">
      <w:pPr>
        <w:pStyle w:val="19"/>
        <w:widowControl/>
        <w:numPr>
          <w:ilvl w:val="0"/>
          <w:numId w:val="15"/>
        </w:numPr>
        <w:ind w:left="0" w:leftChars="0" w:firstLine="0" w:firstLineChars="0"/>
        <w:rPr>
          <w:b w:val="0"/>
          <w:bdr w:val="none" w:sz="0" w:space="0"/>
        </w:rPr>
      </w:pPr>
      <w:r>
        <w:t>未来研究使用须经项目治理流程与伦理审查（如适用），并仅限于已获得相应同意的样本。</w:t>
      </w:r>
    </w:p>
    <w:p w14:paraId="07CF8B16">
      <w:pPr>
        <w:pStyle w:val="3"/>
        <w:widowControl/>
        <w:numPr>
          <w:numId w:val="0"/>
        </w:numPr>
        <w:ind w:leftChars="0"/>
        <w:rPr>
          <w:b/>
          <w:bdr w:val="none" w:sz="0" w:space="0"/>
        </w:rPr>
      </w:pPr>
      <w:r>
        <w:rPr>
          <w:rFonts w:hint="eastAsia"/>
          <w:lang w:val="en-US" w:eastAsia="zh-CN"/>
        </w:rPr>
        <w:t>13.</w:t>
      </w:r>
      <w:r>
        <w:t>偏差管理与纠正预防措施（CAPA）</w:t>
      </w:r>
    </w:p>
    <w:p w14:paraId="3DEFFB0F">
      <w:pPr>
        <w:pStyle w:val="19"/>
        <w:widowControl/>
        <w:numPr>
          <w:ilvl w:val="0"/>
          <w:numId w:val="16"/>
        </w:numPr>
        <w:ind w:left="360" w:leftChars="0" w:hanging="360" w:firstLineChars="0"/>
      </w:pPr>
      <w:r>
        <w:t>温度偏离、超窗、标签错误、漏采/少采、污染/溶血等均属于样本偏差，应在 24 小时内记录并上报 PMO/质量管理。</w:t>
      </w:r>
    </w:p>
    <w:p w14:paraId="7AF7222A">
      <w:pPr>
        <w:pStyle w:val="19"/>
        <w:widowControl/>
      </w:pPr>
      <w:r>
        <w:t>涉及可能影响受试者安全或关键终点可评价性的样本偏差（如菌株/WGS链条断裂、Hard Gate相关培养样本/结果不可追溯、关键时间点PK样本超窗），应同步评估对结局/分析的影响，并按SOP15（CEC材料包）与SOP10（AE/SAE上报）要求进行记录与升级。</w:t>
      </w:r>
    </w:p>
    <w:p w14:paraId="2368766E">
      <w:pPr>
        <w:pStyle w:val="19"/>
        <w:widowControl/>
        <w:numPr>
          <w:ilvl w:val="0"/>
          <w:numId w:val="16"/>
        </w:numPr>
        <w:ind w:left="360" w:leftChars="0" w:hanging="360" w:firstLineChars="0"/>
      </w:pPr>
      <w:r>
        <w:t>研究者评估偏差对检测/结局的潜在影响，并决定是否补采（如仍在访视窗口期且伦理/受试者同意允许）。</w:t>
      </w:r>
    </w:p>
    <w:p w14:paraId="130C1754">
      <w:pPr>
        <w:pStyle w:val="19"/>
        <w:widowControl/>
        <w:numPr>
          <w:ilvl w:val="0"/>
          <w:numId w:val="16"/>
        </w:numPr>
        <w:ind w:left="360" w:leftChars="0" w:hanging="360" w:firstLineChars="0"/>
      </w:pPr>
      <w:r>
        <w:t>对重复发生的偏差需制定 CAPA，包括培训、流程改进或设备维护/更换。</w:t>
      </w:r>
    </w:p>
    <w:p w14:paraId="3E72C0F0">
      <w:pPr>
        <w:pStyle w:val="3"/>
        <w:widowControl/>
        <w:numPr>
          <w:numId w:val="0"/>
        </w:numPr>
        <w:ind w:leftChars="0"/>
        <w:rPr>
          <w:b/>
          <w:bdr w:val="none" w:sz="0" w:space="0"/>
        </w:rPr>
      </w:pPr>
      <w:r>
        <w:rPr>
          <w:rFonts w:hint="eastAsia"/>
          <w:lang w:val="en-US" w:eastAsia="zh-CN"/>
        </w:rPr>
        <w:t>14.</w:t>
      </w:r>
      <w:r>
        <w:t>质量控制与培训</w:t>
      </w:r>
    </w:p>
    <w:p w14:paraId="5C2CA126">
      <w:pPr>
        <w:pStyle w:val="19"/>
        <w:widowControl/>
        <w:numPr>
          <w:ilvl w:val="0"/>
          <w:numId w:val="17"/>
        </w:numPr>
        <w:ind w:left="360" w:leftChars="0" w:hanging="360" w:firstLineChars="0"/>
      </w:pPr>
      <w:r>
        <w:t>所有参与样本采集、处理、运输与接收的人员必须在研究启动前完成培训并通过考核（可采用签到+测试/演练）。</w:t>
      </w:r>
    </w:p>
    <w:p w14:paraId="75325BE4">
      <w:pPr>
        <w:pStyle w:val="19"/>
        <w:widowControl/>
        <w:numPr>
          <w:ilvl w:val="0"/>
          <w:numId w:val="17"/>
        </w:numPr>
        <w:ind w:left="360" w:leftChars="0" w:hanging="360" w:firstLineChars="0"/>
      </w:pPr>
      <w:r>
        <w:t>PMO/质量管理应定期抽查样本链条、温度记录与台账一致性；必要时开展中心间一致性评估。</w:t>
      </w:r>
    </w:p>
    <w:p w14:paraId="2A77F923">
      <w:pPr>
        <w:pStyle w:val="19"/>
        <w:widowControl/>
        <w:numPr>
          <w:ilvl w:val="0"/>
          <w:numId w:val="17"/>
        </w:numPr>
        <w:ind w:left="360" w:leftChars="0" w:hanging="360" w:firstLineChars="0"/>
      </w:pPr>
      <w:r>
        <w:t>涉及新样本类型或检测机构变更时，须发布补充说明/版本更新，并同步更新 EDC 字段与表单。</w:t>
      </w:r>
    </w:p>
    <w:p w14:paraId="4ED00FA6">
      <w:pPr>
        <w:pStyle w:val="3"/>
        <w:widowControl/>
        <w:numPr>
          <w:numId w:val="0"/>
        </w:numPr>
        <w:ind w:leftChars="0"/>
        <w:rPr>
          <w:b/>
          <w:bdr w:val="none" w:sz="0" w:space="0"/>
        </w:rPr>
      </w:pPr>
      <w:r>
        <w:rPr>
          <w:rFonts w:hint="eastAsia"/>
          <w:lang w:val="en-US" w:eastAsia="zh-CN"/>
        </w:rPr>
        <w:t>15.</w:t>
      </w:r>
      <w:r>
        <w:t>附件（表单模板）</w:t>
      </w:r>
    </w:p>
    <w:p w14:paraId="73CFD940">
      <w:pPr>
        <w:pStyle w:val="19"/>
        <w:widowControl/>
        <w:numPr>
          <w:ilvl w:val="0"/>
          <w:numId w:val="18"/>
        </w:numPr>
        <w:ind w:left="360" w:leftChars="0" w:hanging="360" w:firstLineChars="0"/>
      </w:pPr>
      <w:r>
        <w:t>附件A：样本采集与流转记录表（Sample Collection &amp; Chain-of-Custody Log）</w:t>
      </w:r>
    </w:p>
    <w:p w14:paraId="4153A189">
      <w:pPr>
        <w:pStyle w:val="19"/>
        <w:widowControl/>
        <w:numPr>
          <w:ilvl w:val="0"/>
          <w:numId w:val="18"/>
        </w:numPr>
        <w:ind w:left="360" w:leftChars="0" w:hanging="360" w:firstLineChars="0"/>
      </w:pPr>
      <w:r>
        <w:t>附件B：样本标签字段与命名规则（示例）</w:t>
      </w:r>
    </w:p>
    <w:p w14:paraId="53A0951D">
      <w:pPr>
        <w:pStyle w:val="19"/>
        <w:widowControl/>
        <w:numPr>
          <w:ilvl w:val="0"/>
          <w:numId w:val="19"/>
        </w:numPr>
      </w:pPr>
      <w:r>
        <w:t>附件C：运输包装与发运检查清单（Shipping Checklist）</w:t>
      </w:r>
    </w:p>
    <w:p w14:paraId="3DDB9B79">
      <w:pPr>
        <w:pStyle w:val="19"/>
        <w:widowControl/>
        <w:numPr>
          <w:ilvl w:val="0"/>
          <w:numId w:val="19"/>
        </w:numPr>
      </w:pPr>
      <w:r>
        <w:t>附件D：温度监</w:t>
      </w:r>
      <w:bookmarkStart w:id="0" w:name="_GoBack"/>
      <w:bookmarkEnd w:id="0"/>
      <w:r>
        <w:t>测记录表/温度偏离处置记录（Temperature Log &amp; Excursion Form）</w:t>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libri Light">
    <w:panose1 w:val="020F0302020204030204"/>
    <w:charset w:val="00"/>
    <w:family w:val="auto"/>
    <w:pitch w:val="default"/>
    <w:sig w:usb0="E4002EFF" w:usb1="C000247B" w:usb2="00000009" w:usb3="00000000" w:csb0="200001FF" w:csb1="00000000"/>
  </w:font>
  <w:font w:name="Symbol">
    <w:panose1 w:val="05050102010706020507"/>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5676951"/>
    <w:multiLevelType w:val="singleLevel"/>
    <w:tmpl w:val="A5676951"/>
    <w:lvl w:ilvl="0" w:tentative="0">
      <w:start w:val="1"/>
      <w:numFmt w:val="decimal"/>
      <w:suff w:val="space"/>
      <w:lvlText w:val="%1."/>
      <w:lvlJc w:val="left"/>
      <w:pPr>
        <w:ind w:left="0" w:firstLine="0"/>
      </w:pPr>
      <w:rPr>
        <w:rFonts w:hint="default"/>
      </w:rPr>
    </w:lvl>
  </w:abstractNum>
  <w:abstractNum w:abstractNumId="1">
    <w:nsid w:val="A8AFEEE8"/>
    <w:multiLevelType w:val="singleLevel"/>
    <w:tmpl w:val="A8AFEEE8"/>
    <w:lvl w:ilvl="0" w:tentative="0">
      <w:start w:val="1"/>
      <w:numFmt w:val="decimal"/>
      <w:suff w:val="space"/>
      <w:lvlText w:val="%1."/>
      <w:lvlJc w:val="left"/>
      <w:pPr>
        <w:ind w:left="0" w:firstLine="0"/>
      </w:pPr>
      <w:rPr>
        <w:rFonts w:hint="default"/>
      </w:rPr>
    </w:lvl>
  </w:abstractNum>
  <w:abstractNum w:abstractNumId="2">
    <w:nsid w:val="CAB25C73"/>
    <w:multiLevelType w:val="singleLevel"/>
    <w:tmpl w:val="CAB25C73"/>
    <w:lvl w:ilvl="0" w:tentative="0">
      <w:start w:val="1"/>
      <w:numFmt w:val="decimal"/>
      <w:suff w:val="space"/>
      <w:lvlText w:val="%1."/>
      <w:lvlJc w:val="left"/>
      <w:pPr>
        <w:ind w:left="0" w:firstLine="0"/>
      </w:pPr>
      <w:rPr>
        <w:rFonts w:hint="default"/>
      </w:rPr>
    </w:lvl>
  </w:abstractNum>
  <w:abstractNum w:abstractNumId="3">
    <w:nsid w:val="D053CD4C"/>
    <w:multiLevelType w:val="singleLevel"/>
    <w:tmpl w:val="D053CD4C"/>
    <w:lvl w:ilvl="0" w:tentative="0">
      <w:start w:val="0"/>
      <w:numFmt w:val="bullet"/>
      <w:suff w:val="space"/>
      <w:lvlText w:val=""/>
      <w:lvlJc w:val="left"/>
      <w:pPr>
        <w:tabs>
          <w:tab w:val="left" w:pos="360"/>
        </w:tabs>
        <w:ind w:left="360" w:hanging="360"/>
      </w:pPr>
      <w:rPr>
        <w:rFonts w:hint="default" w:ascii="Symbol" w:hAnsi="Symbol"/>
      </w:rPr>
    </w:lvl>
  </w:abstractNum>
  <w:abstractNum w:abstractNumId="4">
    <w:nsid w:val="F506C6EC"/>
    <w:multiLevelType w:val="singleLevel"/>
    <w:tmpl w:val="F506C6EC"/>
    <w:lvl w:ilvl="0" w:tentative="0">
      <w:start w:val="0"/>
      <w:numFmt w:val="bullet"/>
      <w:suff w:val="space"/>
      <w:lvlText w:val=""/>
      <w:lvlJc w:val="left"/>
      <w:pPr>
        <w:tabs>
          <w:tab w:val="left" w:pos="360"/>
        </w:tabs>
        <w:ind w:left="360" w:hanging="360"/>
      </w:pPr>
      <w:rPr>
        <w:rFonts w:hint="default" w:ascii="Symbol" w:hAnsi="Symbol"/>
      </w:rPr>
    </w:lvl>
  </w:abstractNum>
  <w:abstractNum w:abstractNumId="5">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6">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7">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8">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9">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10">
    <w:nsid w:val="FFFFFF89"/>
    <w:multiLevelType w:val="singleLevel"/>
    <w:tmpl w:val="FFFFFF89"/>
    <w:lvl w:ilvl="0" w:tentative="0">
      <w:start w:val="1"/>
      <w:numFmt w:val="bullet"/>
      <w:lvlText w:val=""/>
      <w:lvlJc w:val="left"/>
      <w:pPr>
        <w:tabs>
          <w:tab w:val="left" w:pos="360"/>
        </w:tabs>
        <w:ind w:left="360" w:hanging="360"/>
      </w:pPr>
      <w:rPr>
        <w:rFonts w:hint="default" w:ascii="Symbol" w:hAnsi="Symbol"/>
      </w:rPr>
    </w:lvl>
  </w:abstractNum>
  <w:abstractNum w:abstractNumId="11">
    <w:nsid w:val="035AA8B9"/>
    <w:multiLevelType w:val="singleLevel"/>
    <w:tmpl w:val="035AA8B9"/>
    <w:lvl w:ilvl="0" w:tentative="0">
      <w:start w:val="0"/>
      <w:numFmt w:val="bullet"/>
      <w:suff w:val="space"/>
      <w:lvlText w:val=""/>
      <w:lvlJc w:val="left"/>
      <w:pPr>
        <w:tabs>
          <w:tab w:val="left" w:pos="360"/>
        </w:tabs>
        <w:ind w:left="360" w:hanging="360"/>
      </w:pPr>
      <w:rPr>
        <w:rFonts w:hint="default" w:ascii="Symbol" w:hAnsi="Symbol"/>
      </w:rPr>
    </w:lvl>
  </w:abstractNum>
  <w:abstractNum w:abstractNumId="12">
    <w:nsid w:val="05FD86F0"/>
    <w:multiLevelType w:val="singleLevel"/>
    <w:tmpl w:val="05FD86F0"/>
    <w:lvl w:ilvl="0" w:tentative="0">
      <w:start w:val="1"/>
      <w:numFmt w:val="decimal"/>
      <w:suff w:val="space"/>
      <w:lvlText w:val="%1."/>
      <w:lvlJc w:val="left"/>
      <w:pPr>
        <w:ind w:left="0" w:firstLine="0"/>
      </w:pPr>
      <w:rPr>
        <w:rFonts w:hint="default"/>
      </w:rPr>
    </w:lvl>
  </w:abstractNum>
  <w:abstractNum w:abstractNumId="13">
    <w:nsid w:val="200F2E5A"/>
    <w:multiLevelType w:val="singleLevel"/>
    <w:tmpl w:val="200F2E5A"/>
    <w:lvl w:ilvl="0" w:tentative="0">
      <w:start w:val="0"/>
      <w:numFmt w:val="bullet"/>
      <w:suff w:val="space"/>
      <w:lvlText w:val=""/>
      <w:lvlJc w:val="left"/>
      <w:pPr>
        <w:tabs>
          <w:tab w:val="left" w:pos="360"/>
        </w:tabs>
        <w:ind w:left="360" w:hanging="360"/>
      </w:pPr>
      <w:rPr>
        <w:rFonts w:hint="default" w:ascii="Symbol" w:hAnsi="Symbol"/>
      </w:rPr>
    </w:lvl>
  </w:abstractNum>
  <w:abstractNum w:abstractNumId="14">
    <w:nsid w:val="29BA5066"/>
    <w:multiLevelType w:val="singleLevel"/>
    <w:tmpl w:val="29BA5066"/>
    <w:lvl w:ilvl="0" w:tentative="0">
      <w:start w:val="0"/>
      <w:numFmt w:val="bullet"/>
      <w:suff w:val="space"/>
      <w:lvlText w:val=""/>
      <w:lvlJc w:val="left"/>
      <w:pPr>
        <w:tabs>
          <w:tab w:val="left" w:pos="360"/>
        </w:tabs>
        <w:ind w:left="360" w:hanging="360"/>
      </w:pPr>
      <w:rPr>
        <w:rFonts w:hint="default" w:ascii="Symbol" w:hAnsi="Symbol"/>
      </w:rPr>
    </w:lvl>
  </w:abstractNum>
  <w:abstractNum w:abstractNumId="15">
    <w:nsid w:val="3CFD1263"/>
    <w:multiLevelType w:val="singleLevel"/>
    <w:tmpl w:val="3CFD1263"/>
    <w:lvl w:ilvl="0" w:tentative="0">
      <w:start w:val="0"/>
      <w:numFmt w:val="bullet"/>
      <w:pStyle w:val="16"/>
      <w:suff w:val="space"/>
      <w:lvlText w:val=""/>
      <w:lvlJc w:val="left"/>
      <w:pPr>
        <w:tabs>
          <w:tab w:val="left" w:pos="360"/>
        </w:tabs>
        <w:ind w:left="360" w:hanging="360"/>
      </w:pPr>
      <w:rPr>
        <w:rFonts w:hint="default" w:ascii="Symbol" w:hAnsi="Symbol"/>
      </w:rPr>
    </w:lvl>
  </w:abstractNum>
  <w:abstractNum w:abstractNumId="16">
    <w:nsid w:val="5452FBC0"/>
    <w:multiLevelType w:val="singleLevel"/>
    <w:tmpl w:val="5452FBC0"/>
    <w:lvl w:ilvl="0" w:tentative="0">
      <w:start w:val="0"/>
      <w:numFmt w:val="bullet"/>
      <w:suff w:val="space"/>
      <w:lvlText w:val=""/>
      <w:lvlJc w:val="left"/>
      <w:pPr>
        <w:tabs>
          <w:tab w:val="left" w:pos="360"/>
        </w:tabs>
        <w:ind w:left="360" w:hanging="360"/>
      </w:pPr>
      <w:rPr>
        <w:rFonts w:hint="default" w:ascii="Symbol" w:hAnsi="Symbol"/>
      </w:rPr>
    </w:lvl>
  </w:abstractNum>
  <w:abstractNum w:abstractNumId="17">
    <w:nsid w:val="64C075D1"/>
    <w:multiLevelType w:val="singleLevel"/>
    <w:tmpl w:val="64C075D1"/>
    <w:lvl w:ilvl="0" w:tentative="0">
      <w:start w:val="1"/>
      <w:numFmt w:val="decimal"/>
      <w:suff w:val="space"/>
      <w:lvlText w:val="%1."/>
      <w:lvlJc w:val="left"/>
      <w:pPr>
        <w:ind w:left="0" w:firstLine="0"/>
      </w:pPr>
      <w:rPr>
        <w:rFonts w:hint="default"/>
      </w:rPr>
    </w:lvl>
  </w:abstractNum>
  <w:abstractNum w:abstractNumId="18">
    <w:nsid w:val="7C89ADCF"/>
    <w:multiLevelType w:val="singleLevel"/>
    <w:tmpl w:val="7C89ADCF"/>
    <w:lvl w:ilvl="0" w:tentative="0">
      <w:start w:val="0"/>
      <w:numFmt w:val="bullet"/>
      <w:suff w:val="space"/>
      <w:lvlText w:val=""/>
      <w:lvlJc w:val="left"/>
      <w:pPr>
        <w:tabs>
          <w:tab w:val="left" w:pos="360"/>
        </w:tabs>
        <w:ind w:left="360" w:hanging="360"/>
      </w:pPr>
      <w:rPr>
        <w:rFonts w:hint="default" w:ascii="Symbol" w:hAnsi="Symbol"/>
      </w:rPr>
    </w:lvl>
  </w:abstractNum>
  <w:num w:numId="1">
    <w:abstractNumId w:val="6"/>
  </w:num>
  <w:num w:numId="2">
    <w:abstractNumId w:val="9"/>
  </w:num>
  <w:num w:numId="3">
    <w:abstractNumId w:val="15"/>
  </w:num>
  <w:num w:numId="4">
    <w:abstractNumId w:val="7"/>
  </w:num>
  <w:num w:numId="5">
    <w:abstractNumId w:val="5"/>
  </w:num>
  <w:num w:numId="6">
    <w:abstractNumId w:val="8"/>
  </w:num>
  <w:num w:numId="7">
    <w:abstractNumId w:val="0"/>
  </w:num>
  <w:num w:numId="8">
    <w:abstractNumId w:val="14"/>
  </w:num>
  <w:num w:numId="9">
    <w:abstractNumId w:val="13"/>
  </w:num>
  <w:num w:numId="10">
    <w:abstractNumId w:val="2"/>
  </w:num>
  <w:num w:numId="11">
    <w:abstractNumId w:val="12"/>
  </w:num>
  <w:num w:numId="12">
    <w:abstractNumId w:val="3"/>
  </w:num>
  <w:num w:numId="13">
    <w:abstractNumId w:val="17"/>
  </w:num>
  <w:num w:numId="14">
    <w:abstractNumId w:val="16"/>
  </w:num>
  <w:num w:numId="15">
    <w:abstractNumId w:val="1"/>
  </w:num>
  <w:num w:numId="16">
    <w:abstractNumId w:val="4"/>
  </w:num>
  <w:num w:numId="17">
    <w:abstractNumId w:val="11"/>
  </w:num>
  <w:num w:numId="18">
    <w:abstractNumId w:val="18"/>
  </w:num>
  <w:num w:numId="1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8F41B50"/>
    <w:rsid w:val="6F0E7CBF"/>
    <w:rsid w:val="78B35F19"/>
    <w:rsid w:val="78E5350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宋体"/>
      <w:sz w:val="22"/>
      <w:szCs w:val="22"/>
      <w:lang w:val="en-US" w:eastAsia="en-US" w:bidi="ar-SA"/>
    </w:rPr>
  </w:style>
  <w:style w:type="paragraph" w:styleId="3">
    <w:name w:val="heading 1"/>
    <w:next w:val="1"/>
    <w:link w:val="138"/>
    <w:qFormat/>
    <w:uiPriority w:val="9"/>
    <w:pPr>
      <w:spacing w:before="200" w:after="80" w:line="240" w:lineRule="auto"/>
      <w:jc w:val="left"/>
      <w:outlineLvl w:val="0"/>
    </w:pPr>
    <w:rPr>
      <w:rFonts w:ascii="Times New Roman" w:hAnsi="Times New Roman" w:eastAsia="宋体" w:cs="Times New Roman"/>
      <w:b/>
      <w:sz w:val="28"/>
      <w:szCs w:val="22"/>
      <w:lang w:bidi="ar-SA"/>
    </w:rPr>
  </w:style>
  <w:style w:type="paragraph" w:styleId="4">
    <w:name w:val="heading 2"/>
    <w:next w:val="1"/>
    <w:link w:val="139"/>
    <w:unhideWhenUsed/>
    <w:qFormat/>
    <w:uiPriority w:val="9"/>
    <w:pPr>
      <w:spacing w:before="200" w:after="80" w:line="240" w:lineRule="auto"/>
      <w:jc w:val="left"/>
      <w:outlineLvl w:val="1"/>
    </w:pPr>
    <w:rPr>
      <w:rFonts w:ascii="Times New Roman" w:hAnsi="Times New Roman" w:eastAsia="宋体" w:cs="Times New Roman"/>
      <w:b/>
      <w:sz w:val="28"/>
      <w:szCs w:val="22"/>
      <w:lang w:bidi="ar-SA"/>
    </w:rPr>
  </w:style>
  <w:style w:type="paragraph" w:styleId="5">
    <w:name w:val="heading 3"/>
    <w:next w:val="1"/>
    <w:link w:val="140"/>
    <w:unhideWhenUsed/>
    <w:qFormat/>
    <w:uiPriority w:val="9"/>
    <w:pPr>
      <w:spacing w:before="160" w:after="40" w:line="240" w:lineRule="auto"/>
      <w:jc w:val="left"/>
      <w:outlineLvl w:val="2"/>
    </w:pPr>
    <w:rPr>
      <w:rFonts w:ascii="Times New Roman" w:hAnsi="Times New Roman" w:eastAsia="宋体" w:cs="Times New Roman"/>
      <w:b/>
      <w:sz w:val="24"/>
      <w:szCs w:val="22"/>
      <w:lang w:bidi="ar-SA"/>
    </w:rPr>
  </w:style>
  <w:style w:type="paragraph" w:styleId="6">
    <w:name w:val="heading 4"/>
    <w:next w:val="1"/>
    <w:link w:val="150"/>
    <w:semiHidden/>
    <w:unhideWhenUsed/>
    <w:qFormat/>
    <w:uiPriority w:val="9"/>
    <w:pPr>
      <w:keepNext/>
      <w:keepLines/>
      <w:widowControl w:val="0"/>
      <w:adjustRightInd w:val="0"/>
      <w:spacing w:before="100" w:after="100" w:line="360" w:lineRule="auto"/>
      <w:jc w:val="both"/>
      <w:outlineLvl w:val="3"/>
    </w:pPr>
    <w:rPr>
      <w:rFonts w:ascii="Times New Roman" w:hAnsi="Times New Roman" w:eastAsia="宋体" w:cs="Times New Roman"/>
      <w:b/>
      <w:bCs/>
      <w:kern w:val="2"/>
      <w:sz w:val="28"/>
      <w:szCs w:val="28"/>
      <w:lang w:bidi="ar-SA"/>
    </w:rPr>
  </w:style>
  <w:style w:type="paragraph" w:styleId="7">
    <w:name w:val="heading 5"/>
    <w:next w:val="1"/>
    <w:link w:val="151"/>
    <w:semiHidden/>
    <w:unhideWhenUsed/>
    <w:qFormat/>
    <w:uiPriority w:val="9"/>
    <w:pPr>
      <w:keepNext/>
      <w:keepLines/>
      <w:widowControl w:val="0"/>
      <w:adjustRightInd w:val="0"/>
      <w:spacing w:before="100" w:after="100" w:line="360" w:lineRule="auto"/>
      <w:jc w:val="both"/>
      <w:outlineLvl w:val="4"/>
    </w:pPr>
    <w:rPr>
      <w:rFonts w:ascii="Times New Roman" w:hAnsi="Times New Roman" w:eastAsia="宋体" w:cs="Times New Roman"/>
      <w:b/>
      <w:bCs/>
      <w:kern w:val="2"/>
      <w:sz w:val="28"/>
      <w:szCs w:val="28"/>
      <w:lang w:bidi="ar-SA"/>
    </w:rPr>
  </w:style>
  <w:style w:type="paragraph" w:styleId="8">
    <w:name w:val="heading 6"/>
    <w:next w:val="1"/>
    <w:link w:val="152"/>
    <w:semiHidden/>
    <w:unhideWhenUsed/>
    <w:qFormat/>
    <w:uiPriority w:val="9"/>
    <w:pPr>
      <w:keepNext/>
      <w:keepLines/>
      <w:widowControl w:val="0"/>
      <w:adjustRightInd w:val="0"/>
      <w:spacing w:before="100" w:after="100" w:line="360" w:lineRule="auto"/>
      <w:jc w:val="both"/>
      <w:outlineLvl w:val="5"/>
    </w:pPr>
    <w:rPr>
      <w:rFonts w:ascii="Times New Roman" w:hAnsi="Times New Roman" w:eastAsia="宋体" w:cs="Times New Roman"/>
      <w:b/>
      <w:bCs/>
      <w:kern w:val="2"/>
      <w:sz w:val="28"/>
      <w:szCs w:val="24"/>
      <w:lang w:bidi="ar-SA"/>
    </w:rPr>
  </w:style>
  <w:style w:type="paragraph" w:styleId="9">
    <w:name w:val="heading 7"/>
    <w:next w:val="1"/>
    <w:link w:val="153"/>
    <w:semiHidden/>
    <w:unhideWhenUsed/>
    <w:qFormat/>
    <w:uiPriority w:val="9"/>
    <w:pPr>
      <w:keepNext/>
      <w:keepLines/>
      <w:widowControl w:val="0"/>
      <w:adjustRightInd w:val="0"/>
      <w:spacing w:before="100" w:after="100" w:line="360" w:lineRule="auto"/>
      <w:jc w:val="both"/>
      <w:outlineLvl w:val="6"/>
    </w:pPr>
    <w:rPr>
      <w:rFonts w:ascii="Times New Roman" w:hAnsi="Times New Roman" w:eastAsia="宋体" w:cs="Times New Roman"/>
      <w:b/>
      <w:bCs/>
      <w:kern w:val="2"/>
      <w:sz w:val="24"/>
      <w:szCs w:val="24"/>
      <w:lang w:bidi="ar-SA"/>
    </w:rPr>
  </w:style>
  <w:style w:type="paragraph" w:styleId="10">
    <w:name w:val="heading 8"/>
    <w:next w:val="1"/>
    <w:link w:val="154"/>
    <w:semiHidden/>
    <w:unhideWhenUsed/>
    <w:qFormat/>
    <w:uiPriority w:val="9"/>
    <w:pPr>
      <w:keepNext/>
      <w:keepLines/>
      <w:widowControl w:val="0"/>
      <w:adjustRightInd w:val="0"/>
      <w:spacing w:before="100" w:after="100" w:line="360" w:lineRule="auto"/>
      <w:jc w:val="both"/>
      <w:outlineLvl w:val="7"/>
    </w:pPr>
    <w:rPr>
      <w:rFonts w:ascii="Times New Roman" w:hAnsi="Times New Roman" w:eastAsia="宋体" w:cs="Times New Roman"/>
      <w:b/>
      <w:kern w:val="2"/>
      <w:sz w:val="24"/>
      <w:szCs w:val="24"/>
      <w:lang w:bidi="ar-SA"/>
    </w:rPr>
  </w:style>
  <w:style w:type="paragraph" w:styleId="11">
    <w:name w:val="heading 9"/>
    <w:next w:val="1"/>
    <w:link w:val="155"/>
    <w:semiHidden/>
    <w:unhideWhenUsed/>
    <w:qFormat/>
    <w:uiPriority w:val="9"/>
    <w:pPr>
      <w:keepNext/>
      <w:keepLines/>
      <w:widowControl w:val="0"/>
      <w:adjustRightInd w:val="0"/>
      <w:spacing w:before="100" w:after="100" w:line="360" w:lineRule="auto"/>
      <w:jc w:val="both"/>
      <w:outlineLvl w:val="8"/>
    </w:pPr>
    <w:rPr>
      <w:rFonts w:ascii="Times New Roman" w:hAnsi="Times New Roman" w:eastAsia="宋体" w:cs="Times New Roman"/>
      <w:b/>
      <w:kern w:val="2"/>
      <w:sz w:val="21"/>
      <w:szCs w:val="21"/>
      <w:lang w:bidi="ar-SA"/>
    </w:rPr>
  </w:style>
  <w:style w:type="character" w:default="1" w:styleId="132">
    <w:name w:val="Default Paragraph Font"/>
    <w:semiHidden/>
    <w:unhideWhenUsed/>
    <w:qFormat/>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874CB"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link w:val="144"/>
    <w:unhideWhenUsed/>
    <w:qFormat/>
    <w:uiPriority w:val="99"/>
    <w:pPr>
      <w:spacing w:before="0" w:after="0" w:line="240" w:lineRule="auto"/>
      <w:ind w:firstLine="0"/>
      <w:outlineLvl w:val="9"/>
    </w:pPr>
    <w:rPr>
      <w:rFonts w:ascii="Times New Roman" w:hAnsi="Calibri" w:eastAsia="宋体" w:cs="Times New Roman"/>
      <w:sz w:val="24"/>
    </w:r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next w:val="1"/>
    <w:link w:val="142"/>
    <w:qFormat/>
    <w:uiPriority w:val="11"/>
    <w:pPr>
      <w:widowControl w:val="0"/>
      <w:adjustRightInd w:val="0"/>
      <w:spacing w:before="100" w:after="100" w:line="240" w:lineRule="auto"/>
      <w:jc w:val="center"/>
      <w:outlineLvl w:val="9"/>
    </w:pPr>
    <w:rPr>
      <w:rFonts w:ascii="Times New Roman" w:hAnsi="Times New Roman" w:eastAsia="黑体" w:cs="Times New Roman"/>
      <w:b/>
      <w:kern w:val="28"/>
      <w:sz w:val="32"/>
      <w:szCs w:val="24"/>
      <w:lang w:bidi="ar-SA"/>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next w:val="1"/>
    <w:link w:val="141"/>
    <w:qFormat/>
    <w:uiPriority w:val="10"/>
    <w:pPr>
      <w:spacing w:before="240" w:after="120" w:line="240" w:lineRule="auto"/>
      <w:jc w:val="left"/>
      <w:outlineLvl w:val="9"/>
    </w:pPr>
    <w:rPr>
      <w:rFonts w:ascii="Times New Roman" w:hAnsi="Times New Roman" w:eastAsia="宋体" w:cs="Times New Roman"/>
      <w:b/>
      <w:sz w:val="32"/>
      <w:szCs w:val="22"/>
      <w:lang w:bidi="ar-SA"/>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2E54A1" w:themeColor="accent1" w:themeShade="BF"/>
    </w:rPr>
    <w:tblPr>
      <w:tblBorders>
        <w:top w:val="single" w:color="4874CB" w:themeColor="accent1" w:sz="8" w:space="0"/>
        <w:bottom w:val="single" w:color="4874CB"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874CB" w:themeColor="accent1" w:sz="8" w:space="0"/>
          <w:left w:val="nil"/>
          <w:bottom w:val="single" w:color="4874CB" w:themeColor="accent1" w:sz="8" w:space="0"/>
          <w:right w:val="nil"/>
          <w:insideH w:val="nil"/>
          <w:insideV w:val="nil"/>
        </w:tcBorders>
      </w:tcPr>
    </w:tblStylePr>
    <w:tblStylePr w:type="lastRow">
      <w:pPr>
        <w:spacing w:before="0" w:after="0" w:line="240" w:lineRule="auto"/>
      </w:pPr>
      <w:rPr>
        <w:b/>
        <w:bCs/>
      </w:rPr>
      <w:tblPr/>
      <w:tcPr>
        <w:tcBorders>
          <w:top w:val="single" w:color="4874CB" w:themeColor="accent1" w:sz="8" w:space="0"/>
          <w:left w:val="nil"/>
          <w:bottom w:val="single" w:color="4874CB"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1DCF2" w:themeFill="accent1" w:themeFillTint="3F"/>
      </w:tcPr>
    </w:tblStylePr>
    <w:tblStylePr w:type="band1Horz">
      <w:tblPr/>
      <w:tcPr>
        <w:tcBorders>
          <w:left w:val="nil"/>
          <w:right w:val="nil"/>
          <w:insideH w:val="nil"/>
          <w:insideV w:val="nil"/>
        </w:tcBorders>
        <w:shd w:val="clear" w:color="auto" w:fill="D1DCF2" w:themeFill="accent1" w:themeFillTint="3F"/>
      </w:tcPr>
    </w:tblStylePr>
  </w:style>
  <w:style w:type="table" w:styleId="36">
    <w:name w:val="Light Shading Accent 2"/>
    <w:basedOn w:val="32"/>
    <w:qFormat/>
    <w:uiPriority w:val="60"/>
    <w:pPr>
      <w:spacing w:after="0" w:line="240" w:lineRule="auto"/>
    </w:pPr>
    <w:rPr>
      <w:color w:val="C65F10" w:themeColor="accent2" w:themeShade="BF"/>
    </w:rPr>
    <w:tblPr>
      <w:tblBorders>
        <w:top w:val="single" w:color="EE822F" w:themeColor="accent2" w:sz="8" w:space="0"/>
        <w:bottom w:val="single" w:color="EE822F"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EE822F" w:themeColor="accent2" w:sz="8" w:space="0"/>
          <w:left w:val="nil"/>
          <w:bottom w:val="single" w:color="EE822F" w:themeColor="accent2" w:sz="8" w:space="0"/>
          <w:right w:val="nil"/>
          <w:insideH w:val="nil"/>
          <w:insideV w:val="nil"/>
        </w:tcBorders>
      </w:tcPr>
    </w:tblStylePr>
    <w:tblStylePr w:type="lastRow">
      <w:pPr>
        <w:spacing w:before="0" w:after="0" w:line="240" w:lineRule="auto"/>
      </w:pPr>
      <w:rPr>
        <w:b/>
        <w:bCs/>
      </w:rPr>
      <w:tblPr/>
      <w:tcPr>
        <w:tcBorders>
          <w:top w:val="single" w:color="EE822F" w:themeColor="accent2" w:sz="8" w:space="0"/>
          <w:left w:val="nil"/>
          <w:bottom w:val="single" w:color="EE822F"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E0CB" w:themeFill="accent2" w:themeFillTint="3F"/>
      </w:tcPr>
    </w:tblStylePr>
    <w:tblStylePr w:type="band1Horz">
      <w:tblPr/>
      <w:tcPr>
        <w:tcBorders>
          <w:left w:val="nil"/>
          <w:right w:val="nil"/>
          <w:insideH w:val="nil"/>
          <w:insideV w:val="nil"/>
        </w:tcBorders>
        <w:shd w:val="clear" w:color="auto" w:fill="FAE0CB" w:themeFill="accent2" w:themeFillTint="3F"/>
      </w:tcPr>
    </w:tblStylePr>
  </w:style>
  <w:style w:type="table" w:styleId="37">
    <w:name w:val="Light Shading Accent 3"/>
    <w:basedOn w:val="32"/>
    <w:qFormat/>
    <w:uiPriority w:val="60"/>
    <w:pPr>
      <w:spacing w:after="0" w:line="240" w:lineRule="auto"/>
    </w:pPr>
    <w:rPr>
      <w:color w:val="B68C02" w:themeColor="accent3" w:themeShade="BF"/>
    </w:rPr>
    <w:tblPr>
      <w:tblBorders>
        <w:top w:val="single" w:color="F2BA02" w:themeColor="accent3" w:sz="8" w:space="0"/>
        <w:bottom w:val="single" w:color="F2BA02"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2BA02" w:themeColor="accent3" w:sz="8" w:space="0"/>
          <w:left w:val="nil"/>
          <w:bottom w:val="single" w:color="F2BA02" w:themeColor="accent3" w:sz="8" w:space="0"/>
          <w:right w:val="nil"/>
          <w:insideH w:val="nil"/>
          <w:insideV w:val="nil"/>
        </w:tcBorders>
      </w:tcPr>
    </w:tblStylePr>
    <w:tblStylePr w:type="lastRow">
      <w:pPr>
        <w:spacing w:before="0" w:after="0" w:line="240" w:lineRule="auto"/>
      </w:pPr>
      <w:rPr>
        <w:b/>
        <w:bCs/>
      </w:rPr>
      <w:tblPr/>
      <w:tcPr>
        <w:tcBorders>
          <w:top w:val="single" w:color="F2BA02" w:themeColor="accent3" w:sz="8" w:space="0"/>
          <w:left w:val="nil"/>
          <w:bottom w:val="single" w:color="F2BA02"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EEFBD" w:themeFill="accent3" w:themeFillTint="3F"/>
      </w:tcPr>
    </w:tblStylePr>
    <w:tblStylePr w:type="band1Horz">
      <w:tblPr/>
      <w:tcPr>
        <w:tcBorders>
          <w:left w:val="nil"/>
          <w:right w:val="nil"/>
          <w:insideH w:val="nil"/>
          <w:insideV w:val="nil"/>
        </w:tcBorders>
        <w:shd w:val="clear" w:color="auto" w:fill="FEEFBD" w:themeFill="accent3" w:themeFillTint="3F"/>
      </w:tcPr>
    </w:tblStylePr>
  </w:style>
  <w:style w:type="table" w:styleId="38">
    <w:name w:val="Light Shading Accent 4"/>
    <w:basedOn w:val="32"/>
    <w:qFormat/>
    <w:uiPriority w:val="60"/>
    <w:pPr>
      <w:spacing w:after="0" w:line="240" w:lineRule="auto"/>
    </w:pPr>
    <w:rPr>
      <w:color w:val="588E32" w:themeColor="accent4" w:themeShade="BF"/>
    </w:rPr>
    <w:tblPr>
      <w:tblBorders>
        <w:top w:val="single" w:color="75BD42" w:themeColor="accent4" w:sz="8" w:space="0"/>
        <w:bottom w:val="single" w:color="75BD4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75BD42" w:themeColor="accent4" w:sz="8" w:space="0"/>
          <w:left w:val="nil"/>
          <w:bottom w:val="single" w:color="75BD42" w:themeColor="accent4" w:sz="8" w:space="0"/>
          <w:right w:val="nil"/>
          <w:insideH w:val="nil"/>
          <w:insideV w:val="nil"/>
        </w:tcBorders>
      </w:tcPr>
    </w:tblStylePr>
    <w:tblStylePr w:type="lastRow">
      <w:pPr>
        <w:spacing w:before="0" w:after="0" w:line="240" w:lineRule="auto"/>
      </w:pPr>
      <w:rPr>
        <w:b/>
        <w:bCs/>
      </w:rPr>
      <w:tblPr/>
      <w:tcPr>
        <w:tcBorders>
          <w:top w:val="single" w:color="75BD42" w:themeColor="accent4" w:sz="8" w:space="0"/>
          <w:left w:val="nil"/>
          <w:bottom w:val="single" w:color="75BD4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CEED0" w:themeFill="accent4" w:themeFillTint="3F"/>
      </w:tcPr>
    </w:tblStylePr>
    <w:tblStylePr w:type="band1Horz">
      <w:tblPr/>
      <w:tcPr>
        <w:tcBorders>
          <w:left w:val="nil"/>
          <w:right w:val="nil"/>
          <w:insideH w:val="nil"/>
          <w:insideV w:val="nil"/>
        </w:tcBorders>
        <w:shd w:val="clear" w:color="auto" w:fill="DCEED0" w:themeFill="accent4" w:themeFillTint="3F"/>
      </w:tcPr>
    </w:tblStylePr>
  </w:style>
  <w:style w:type="table" w:styleId="39">
    <w:name w:val="Light Shading Accent 5"/>
    <w:basedOn w:val="32"/>
    <w:qFormat/>
    <w:uiPriority w:val="60"/>
    <w:pPr>
      <w:spacing w:after="0" w:line="240" w:lineRule="auto"/>
    </w:pPr>
    <w:rPr>
      <w:color w:val="249087" w:themeColor="accent5" w:themeShade="BF"/>
    </w:rPr>
    <w:tblPr>
      <w:tblBorders>
        <w:top w:val="single" w:color="30C0B4" w:themeColor="accent5" w:sz="8" w:space="0"/>
        <w:bottom w:val="single" w:color="30C0B4"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30C0B4" w:themeColor="accent5" w:sz="8" w:space="0"/>
          <w:left w:val="nil"/>
          <w:bottom w:val="single" w:color="30C0B4" w:themeColor="accent5" w:sz="8" w:space="0"/>
          <w:right w:val="nil"/>
          <w:insideH w:val="nil"/>
          <w:insideV w:val="nil"/>
        </w:tcBorders>
      </w:tcPr>
    </w:tblStylePr>
    <w:tblStylePr w:type="lastRow">
      <w:pPr>
        <w:spacing w:before="0" w:after="0" w:line="240" w:lineRule="auto"/>
      </w:pPr>
      <w:rPr>
        <w:b/>
        <w:bCs/>
      </w:rPr>
      <w:tblPr/>
      <w:tcPr>
        <w:tcBorders>
          <w:top w:val="single" w:color="30C0B4" w:themeColor="accent5" w:sz="8" w:space="0"/>
          <w:left w:val="nil"/>
          <w:bottom w:val="single" w:color="30C0B4"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9F1EE" w:themeFill="accent5" w:themeFillTint="3F"/>
      </w:tcPr>
    </w:tblStylePr>
    <w:tblStylePr w:type="band1Horz">
      <w:tblPr/>
      <w:tcPr>
        <w:tcBorders>
          <w:left w:val="nil"/>
          <w:right w:val="nil"/>
          <w:insideH w:val="nil"/>
          <w:insideV w:val="nil"/>
        </w:tcBorders>
        <w:shd w:val="clear" w:color="auto" w:fill="C9F1EE" w:themeFill="accent5" w:themeFillTint="3F"/>
      </w:tcPr>
    </w:tblStylePr>
  </w:style>
  <w:style w:type="table" w:styleId="40">
    <w:name w:val="Light Shading Accent 6"/>
    <w:basedOn w:val="32"/>
    <w:qFormat/>
    <w:uiPriority w:val="60"/>
    <w:pPr>
      <w:spacing w:after="0" w:line="240" w:lineRule="auto"/>
    </w:pPr>
    <w:rPr>
      <w:color w:val="C81D31" w:themeColor="accent6" w:themeShade="BF"/>
    </w:rPr>
    <w:tblPr>
      <w:tblBorders>
        <w:top w:val="single" w:color="E54C5E" w:themeColor="accent6" w:sz="8" w:space="0"/>
        <w:bottom w:val="single" w:color="E54C5E"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E54C5E" w:themeColor="accent6" w:sz="8" w:space="0"/>
          <w:left w:val="nil"/>
          <w:bottom w:val="single" w:color="E54C5E" w:themeColor="accent6" w:sz="8" w:space="0"/>
          <w:right w:val="nil"/>
          <w:insideH w:val="nil"/>
          <w:insideV w:val="nil"/>
        </w:tcBorders>
      </w:tcPr>
    </w:tblStylePr>
    <w:tblStylePr w:type="lastRow">
      <w:pPr>
        <w:spacing w:before="0" w:after="0" w:line="240" w:lineRule="auto"/>
      </w:pPr>
      <w:rPr>
        <w:b/>
        <w:bCs/>
      </w:rPr>
      <w:tblPr/>
      <w:tcPr>
        <w:tcBorders>
          <w:top w:val="single" w:color="E54C5E" w:themeColor="accent6" w:sz="8" w:space="0"/>
          <w:left w:val="nil"/>
          <w:bottom w:val="single" w:color="E54C5E"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8D2D7" w:themeFill="accent6" w:themeFillTint="3F"/>
      </w:tcPr>
    </w:tblStylePr>
    <w:tblStylePr w:type="band1Horz">
      <w:tblPr/>
      <w:tcPr>
        <w:tcBorders>
          <w:left w:val="nil"/>
          <w:right w:val="nil"/>
          <w:insideH w:val="nil"/>
          <w:insideV w:val="nil"/>
        </w:tcBorders>
        <w:shd w:val="clear" w:color="auto" w:fill="F8D2D7"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874CB" w:themeColor="accent1" w:sz="8" w:space="0"/>
        <w:left w:val="single" w:color="4874CB" w:themeColor="accent1" w:sz="8" w:space="0"/>
        <w:bottom w:val="single" w:color="4874CB" w:themeColor="accent1" w:sz="8" w:space="0"/>
        <w:right w:val="single" w:color="4874CB"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874CB" w:themeFill="accent1"/>
      </w:tcPr>
    </w:tblStylePr>
    <w:tblStylePr w:type="lastRow">
      <w:pPr>
        <w:spacing w:before="0" w:after="0" w:line="240" w:lineRule="auto"/>
      </w:pPr>
      <w:rPr>
        <w:b/>
        <w:bCs/>
      </w:rPr>
      <w:tblPr/>
      <w:tcPr>
        <w:tcBorders>
          <w:top w:val="double" w:color="4874CB" w:themeColor="accent1" w:sz="6" w:space="0"/>
          <w:left w:val="single" w:color="4874CB" w:themeColor="accent1" w:sz="8" w:space="0"/>
          <w:bottom w:val="single" w:color="4874CB" w:themeColor="accent1" w:sz="8" w:space="0"/>
          <w:right w:val="single" w:color="4874CB" w:themeColor="accent1" w:sz="8" w:space="0"/>
        </w:tcBorders>
      </w:tcPr>
    </w:tblStylePr>
    <w:tblStylePr w:type="firstCol">
      <w:rPr>
        <w:b/>
        <w:bCs/>
      </w:rPr>
    </w:tblStylePr>
    <w:tblStylePr w:type="lastCol">
      <w:rPr>
        <w:b/>
        <w:bCs/>
      </w:rPr>
    </w:tblStylePr>
    <w:tblStylePr w:type="band1Vert">
      <w:tblPr/>
      <w:tcPr>
        <w:tcBorders>
          <w:top w:val="single" w:color="4874CB" w:themeColor="accent1" w:sz="8" w:space="0"/>
          <w:left w:val="single" w:color="4874CB" w:themeColor="accent1" w:sz="8" w:space="0"/>
          <w:bottom w:val="single" w:color="4874CB" w:themeColor="accent1" w:sz="8" w:space="0"/>
          <w:right w:val="single" w:color="4874CB" w:themeColor="accent1" w:sz="8" w:space="0"/>
        </w:tcBorders>
      </w:tcPr>
    </w:tblStylePr>
    <w:tblStylePr w:type="band1Horz">
      <w:tblPr/>
      <w:tcPr>
        <w:tcBorders>
          <w:top w:val="single" w:color="4874CB" w:themeColor="accent1" w:sz="8" w:space="0"/>
          <w:left w:val="single" w:color="4874CB" w:themeColor="accent1" w:sz="8" w:space="0"/>
          <w:bottom w:val="single" w:color="4874CB" w:themeColor="accent1" w:sz="8" w:space="0"/>
          <w:right w:val="single" w:color="4874CB" w:themeColor="accent1" w:sz="8" w:space="0"/>
        </w:tcBorders>
      </w:tcPr>
    </w:tblStylePr>
  </w:style>
  <w:style w:type="table" w:styleId="43">
    <w:name w:val="Light List Accent 2"/>
    <w:basedOn w:val="32"/>
    <w:qFormat/>
    <w:uiPriority w:val="61"/>
    <w:pPr>
      <w:spacing w:after="0" w:line="240" w:lineRule="auto"/>
    </w:pPr>
    <w:tblPr>
      <w:tblBorders>
        <w:top w:val="single" w:color="EE822F" w:themeColor="accent2" w:sz="8" w:space="0"/>
        <w:left w:val="single" w:color="EE822F" w:themeColor="accent2" w:sz="8" w:space="0"/>
        <w:bottom w:val="single" w:color="EE822F" w:themeColor="accent2" w:sz="8" w:space="0"/>
        <w:right w:val="single" w:color="EE822F"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EE822F" w:themeFill="accent2"/>
      </w:tcPr>
    </w:tblStylePr>
    <w:tblStylePr w:type="lastRow">
      <w:pPr>
        <w:spacing w:before="0" w:after="0" w:line="240" w:lineRule="auto"/>
      </w:pPr>
      <w:rPr>
        <w:b/>
        <w:bCs/>
      </w:rPr>
      <w:tblPr/>
      <w:tcPr>
        <w:tcBorders>
          <w:top w:val="double" w:color="EE822F" w:themeColor="accent2" w:sz="6" w:space="0"/>
          <w:left w:val="single" w:color="EE822F" w:themeColor="accent2" w:sz="8" w:space="0"/>
          <w:bottom w:val="single" w:color="EE822F" w:themeColor="accent2" w:sz="8" w:space="0"/>
          <w:right w:val="single" w:color="EE822F" w:themeColor="accent2" w:sz="8" w:space="0"/>
        </w:tcBorders>
      </w:tcPr>
    </w:tblStylePr>
    <w:tblStylePr w:type="firstCol">
      <w:rPr>
        <w:b/>
        <w:bCs/>
      </w:rPr>
    </w:tblStylePr>
    <w:tblStylePr w:type="lastCol">
      <w:rPr>
        <w:b/>
        <w:bCs/>
      </w:rPr>
    </w:tblStylePr>
    <w:tblStylePr w:type="band1Vert">
      <w:tblPr/>
      <w:tcPr>
        <w:tcBorders>
          <w:top w:val="single" w:color="EE822F" w:themeColor="accent2" w:sz="8" w:space="0"/>
          <w:left w:val="single" w:color="EE822F" w:themeColor="accent2" w:sz="8" w:space="0"/>
          <w:bottom w:val="single" w:color="EE822F" w:themeColor="accent2" w:sz="8" w:space="0"/>
          <w:right w:val="single" w:color="EE822F" w:themeColor="accent2" w:sz="8" w:space="0"/>
        </w:tcBorders>
      </w:tcPr>
    </w:tblStylePr>
    <w:tblStylePr w:type="band1Horz">
      <w:tblPr/>
      <w:tcPr>
        <w:tcBorders>
          <w:top w:val="single" w:color="EE822F" w:themeColor="accent2" w:sz="8" w:space="0"/>
          <w:left w:val="single" w:color="EE822F" w:themeColor="accent2" w:sz="8" w:space="0"/>
          <w:bottom w:val="single" w:color="EE822F" w:themeColor="accent2" w:sz="8" w:space="0"/>
          <w:right w:val="single" w:color="EE822F" w:themeColor="accent2" w:sz="8" w:space="0"/>
        </w:tcBorders>
      </w:tcPr>
    </w:tblStylePr>
  </w:style>
  <w:style w:type="table" w:styleId="44">
    <w:name w:val="Light List Accent 3"/>
    <w:basedOn w:val="32"/>
    <w:qFormat/>
    <w:uiPriority w:val="61"/>
    <w:pPr>
      <w:spacing w:after="0" w:line="240" w:lineRule="auto"/>
    </w:pPr>
    <w:tblPr>
      <w:tblBorders>
        <w:top w:val="single" w:color="F2BA02" w:themeColor="accent3" w:sz="8" w:space="0"/>
        <w:left w:val="single" w:color="F2BA02" w:themeColor="accent3" w:sz="8" w:space="0"/>
        <w:bottom w:val="single" w:color="F2BA02" w:themeColor="accent3" w:sz="8" w:space="0"/>
        <w:right w:val="single" w:color="F2BA02"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2BA02" w:themeFill="accent3"/>
      </w:tcPr>
    </w:tblStylePr>
    <w:tblStylePr w:type="lastRow">
      <w:pPr>
        <w:spacing w:before="0" w:after="0" w:line="240" w:lineRule="auto"/>
      </w:pPr>
      <w:rPr>
        <w:b/>
        <w:bCs/>
      </w:rPr>
      <w:tblPr/>
      <w:tcPr>
        <w:tcBorders>
          <w:top w:val="double" w:color="F2BA02" w:themeColor="accent3" w:sz="6" w:space="0"/>
          <w:left w:val="single" w:color="F2BA02" w:themeColor="accent3" w:sz="8" w:space="0"/>
          <w:bottom w:val="single" w:color="F2BA02" w:themeColor="accent3" w:sz="8" w:space="0"/>
          <w:right w:val="single" w:color="F2BA02" w:themeColor="accent3" w:sz="8" w:space="0"/>
        </w:tcBorders>
      </w:tcPr>
    </w:tblStylePr>
    <w:tblStylePr w:type="firstCol">
      <w:rPr>
        <w:b/>
        <w:bCs/>
      </w:rPr>
    </w:tblStylePr>
    <w:tblStylePr w:type="lastCol">
      <w:rPr>
        <w:b/>
        <w:bCs/>
      </w:rPr>
    </w:tblStylePr>
    <w:tblStylePr w:type="band1Vert">
      <w:tblPr/>
      <w:tcPr>
        <w:tcBorders>
          <w:top w:val="single" w:color="F2BA02" w:themeColor="accent3" w:sz="8" w:space="0"/>
          <w:left w:val="single" w:color="F2BA02" w:themeColor="accent3" w:sz="8" w:space="0"/>
          <w:bottom w:val="single" w:color="F2BA02" w:themeColor="accent3" w:sz="8" w:space="0"/>
          <w:right w:val="single" w:color="F2BA02" w:themeColor="accent3" w:sz="8" w:space="0"/>
        </w:tcBorders>
      </w:tcPr>
    </w:tblStylePr>
    <w:tblStylePr w:type="band1Horz">
      <w:tblPr/>
      <w:tcPr>
        <w:tcBorders>
          <w:top w:val="single" w:color="F2BA02" w:themeColor="accent3" w:sz="8" w:space="0"/>
          <w:left w:val="single" w:color="F2BA02" w:themeColor="accent3" w:sz="8" w:space="0"/>
          <w:bottom w:val="single" w:color="F2BA02" w:themeColor="accent3" w:sz="8" w:space="0"/>
          <w:right w:val="single" w:color="F2BA02" w:themeColor="accent3" w:sz="8" w:space="0"/>
        </w:tcBorders>
      </w:tcPr>
    </w:tblStylePr>
  </w:style>
  <w:style w:type="table" w:styleId="45">
    <w:name w:val="Light List Accent 4"/>
    <w:basedOn w:val="32"/>
    <w:qFormat/>
    <w:uiPriority w:val="61"/>
    <w:pPr>
      <w:spacing w:after="0" w:line="240" w:lineRule="auto"/>
    </w:pPr>
    <w:tblPr>
      <w:tblBorders>
        <w:top w:val="single" w:color="75BD42" w:themeColor="accent4" w:sz="8" w:space="0"/>
        <w:left w:val="single" w:color="75BD42" w:themeColor="accent4" w:sz="8" w:space="0"/>
        <w:bottom w:val="single" w:color="75BD42" w:themeColor="accent4" w:sz="8" w:space="0"/>
        <w:right w:val="single" w:color="75BD4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75BD42" w:themeFill="accent4"/>
      </w:tcPr>
    </w:tblStylePr>
    <w:tblStylePr w:type="lastRow">
      <w:pPr>
        <w:spacing w:before="0" w:after="0" w:line="240" w:lineRule="auto"/>
      </w:pPr>
      <w:rPr>
        <w:b/>
        <w:bCs/>
      </w:rPr>
      <w:tblPr/>
      <w:tcPr>
        <w:tcBorders>
          <w:top w:val="double" w:color="75BD42" w:themeColor="accent4" w:sz="6" w:space="0"/>
          <w:left w:val="single" w:color="75BD42" w:themeColor="accent4" w:sz="8" w:space="0"/>
          <w:bottom w:val="single" w:color="75BD42" w:themeColor="accent4" w:sz="8" w:space="0"/>
          <w:right w:val="single" w:color="75BD42" w:themeColor="accent4" w:sz="8" w:space="0"/>
        </w:tcBorders>
      </w:tcPr>
    </w:tblStylePr>
    <w:tblStylePr w:type="firstCol">
      <w:rPr>
        <w:b/>
        <w:bCs/>
      </w:rPr>
    </w:tblStylePr>
    <w:tblStylePr w:type="lastCol">
      <w:rPr>
        <w:b/>
        <w:bCs/>
      </w:rPr>
    </w:tblStylePr>
    <w:tblStylePr w:type="band1Vert">
      <w:tblPr/>
      <w:tcPr>
        <w:tcBorders>
          <w:top w:val="single" w:color="75BD42" w:themeColor="accent4" w:sz="8" w:space="0"/>
          <w:left w:val="single" w:color="75BD42" w:themeColor="accent4" w:sz="8" w:space="0"/>
          <w:bottom w:val="single" w:color="75BD42" w:themeColor="accent4" w:sz="8" w:space="0"/>
          <w:right w:val="single" w:color="75BD42" w:themeColor="accent4" w:sz="8" w:space="0"/>
        </w:tcBorders>
      </w:tcPr>
    </w:tblStylePr>
    <w:tblStylePr w:type="band1Horz">
      <w:tblPr/>
      <w:tcPr>
        <w:tcBorders>
          <w:top w:val="single" w:color="75BD42" w:themeColor="accent4" w:sz="8" w:space="0"/>
          <w:left w:val="single" w:color="75BD42" w:themeColor="accent4" w:sz="8" w:space="0"/>
          <w:bottom w:val="single" w:color="75BD42" w:themeColor="accent4" w:sz="8" w:space="0"/>
          <w:right w:val="single" w:color="75BD42" w:themeColor="accent4" w:sz="8" w:space="0"/>
        </w:tcBorders>
      </w:tcPr>
    </w:tblStylePr>
  </w:style>
  <w:style w:type="table" w:styleId="46">
    <w:name w:val="Light List Accent 5"/>
    <w:basedOn w:val="32"/>
    <w:qFormat/>
    <w:uiPriority w:val="61"/>
    <w:pPr>
      <w:spacing w:after="0" w:line="240" w:lineRule="auto"/>
    </w:pPr>
    <w:tblPr>
      <w:tblBorders>
        <w:top w:val="single" w:color="30C0B4" w:themeColor="accent5" w:sz="8" w:space="0"/>
        <w:left w:val="single" w:color="30C0B4" w:themeColor="accent5" w:sz="8" w:space="0"/>
        <w:bottom w:val="single" w:color="30C0B4" w:themeColor="accent5" w:sz="8" w:space="0"/>
        <w:right w:val="single" w:color="30C0B4"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30C0B4" w:themeFill="accent5"/>
      </w:tcPr>
    </w:tblStylePr>
    <w:tblStylePr w:type="lastRow">
      <w:pPr>
        <w:spacing w:before="0" w:after="0" w:line="240" w:lineRule="auto"/>
      </w:pPr>
      <w:rPr>
        <w:b/>
        <w:bCs/>
      </w:rPr>
      <w:tblPr/>
      <w:tcPr>
        <w:tcBorders>
          <w:top w:val="double" w:color="30C0B4" w:themeColor="accent5" w:sz="6" w:space="0"/>
          <w:left w:val="single" w:color="30C0B4" w:themeColor="accent5" w:sz="8" w:space="0"/>
          <w:bottom w:val="single" w:color="30C0B4" w:themeColor="accent5" w:sz="8" w:space="0"/>
          <w:right w:val="single" w:color="30C0B4" w:themeColor="accent5" w:sz="8" w:space="0"/>
        </w:tcBorders>
      </w:tcPr>
    </w:tblStylePr>
    <w:tblStylePr w:type="firstCol">
      <w:rPr>
        <w:b/>
        <w:bCs/>
      </w:rPr>
    </w:tblStylePr>
    <w:tblStylePr w:type="lastCol">
      <w:rPr>
        <w:b/>
        <w:bCs/>
      </w:rPr>
    </w:tblStylePr>
    <w:tblStylePr w:type="band1Vert">
      <w:tblPr/>
      <w:tcPr>
        <w:tcBorders>
          <w:top w:val="single" w:color="30C0B4" w:themeColor="accent5" w:sz="8" w:space="0"/>
          <w:left w:val="single" w:color="30C0B4" w:themeColor="accent5" w:sz="8" w:space="0"/>
          <w:bottom w:val="single" w:color="30C0B4" w:themeColor="accent5" w:sz="8" w:space="0"/>
          <w:right w:val="single" w:color="30C0B4" w:themeColor="accent5" w:sz="8" w:space="0"/>
        </w:tcBorders>
      </w:tcPr>
    </w:tblStylePr>
    <w:tblStylePr w:type="band1Horz">
      <w:tblPr/>
      <w:tcPr>
        <w:tcBorders>
          <w:top w:val="single" w:color="30C0B4" w:themeColor="accent5" w:sz="8" w:space="0"/>
          <w:left w:val="single" w:color="30C0B4" w:themeColor="accent5" w:sz="8" w:space="0"/>
          <w:bottom w:val="single" w:color="30C0B4" w:themeColor="accent5" w:sz="8" w:space="0"/>
          <w:right w:val="single" w:color="30C0B4" w:themeColor="accent5" w:sz="8" w:space="0"/>
        </w:tcBorders>
      </w:tcPr>
    </w:tblStylePr>
  </w:style>
  <w:style w:type="table" w:styleId="47">
    <w:name w:val="Light List Accent 6"/>
    <w:basedOn w:val="32"/>
    <w:qFormat/>
    <w:uiPriority w:val="61"/>
    <w:pPr>
      <w:spacing w:after="0" w:line="240" w:lineRule="auto"/>
    </w:pPr>
    <w:tblPr>
      <w:tblBorders>
        <w:top w:val="single" w:color="E54C5E" w:themeColor="accent6" w:sz="8" w:space="0"/>
        <w:left w:val="single" w:color="E54C5E" w:themeColor="accent6" w:sz="8" w:space="0"/>
        <w:bottom w:val="single" w:color="E54C5E" w:themeColor="accent6" w:sz="8" w:space="0"/>
        <w:right w:val="single" w:color="E54C5E"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E54C5E" w:themeFill="accent6"/>
      </w:tcPr>
    </w:tblStylePr>
    <w:tblStylePr w:type="lastRow">
      <w:pPr>
        <w:spacing w:before="0" w:after="0" w:line="240" w:lineRule="auto"/>
      </w:pPr>
      <w:rPr>
        <w:b/>
        <w:bCs/>
      </w:rPr>
      <w:tblPr/>
      <w:tcPr>
        <w:tcBorders>
          <w:top w:val="double" w:color="E54C5E" w:themeColor="accent6" w:sz="6" w:space="0"/>
          <w:left w:val="single" w:color="E54C5E" w:themeColor="accent6" w:sz="8" w:space="0"/>
          <w:bottom w:val="single" w:color="E54C5E" w:themeColor="accent6" w:sz="8" w:space="0"/>
          <w:right w:val="single" w:color="E54C5E" w:themeColor="accent6" w:sz="8" w:space="0"/>
        </w:tcBorders>
      </w:tcPr>
    </w:tblStylePr>
    <w:tblStylePr w:type="firstCol">
      <w:rPr>
        <w:b/>
        <w:bCs/>
      </w:rPr>
    </w:tblStylePr>
    <w:tblStylePr w:type="lastCol">
      <w:rPr>
        <w:b/>
        <w:bCs/>
      </w:rPr>
    </w:tblStylePr>
    <w:tblStylePr w:type="band1Vert">
      <w:tblPr/>
      <w:tcPr>
        <w:tcBorders>
          <w:top w:val="single" w:color="E54C5E" w:themeColor="accent6" w:sz="8" w:space="0"/>
          <w:left w:val="single" w:color="E54C5E" w:themeColor="accent6" w:sz="8" w:space="0"/>
          <w:bottom w:val="single" w:color="E54C5E" w:themeColor="accent6" w:sz="8" w:space="0"/>
          <w:right w:val="single" w:color="E54C5E" w:themeColor="accent6" w:sz="8" w:space="0"/>
        </w:tcBorders>
      </w:tcPr>
    </w:tblStylePr>
    <w:tblStylePr w:type="band1Horz">
      <w:tblPr/>
      <w:tcPr>
        <w:tcBorders>
          <w:top w:val="single" w:color="E54C5E" w:themeColor="accent6" w:sz="8" w:space="0"/>
          <w:left w:val="single" w:color="E54C5E" w:themeColor="accent6" w:sz="8" w:space="0"/>
          <w:bottom w:val="single" w:color="E54C5E" w:themeColor="accent6" w:sz="8" w:space="0"/>
          <w:right w:val="single" w:color="E54C5E"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874CB" w:themeColor="accent1" w:sz="8" w:space="0"/>
          <w:left w:val="single" w:color="4874CB" w:themeColor="accent1" w:sz="8" w:space="0"/>
          <w:bottom w:val="single" w:color="4874CB" w:themeColor="accent1" w:sz="18" w:space="0"/>
          <w:right w:val="single" w:color="4874CB"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874CB" w:themeColor="accent1" w:sz="6" w:space="0"/>
          <w:left w:val="single" w:color="4874CB" w:themeColor="accent1" w:sz="8" w:space="0"/>
          <w:bottom w:val="single" w:color="4874CB" w:themeColor="accent1" w:sz="8" w:space="0"/>
          <w:right w:val="single" w:color="4874CB"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874CB" w:themeColor="accent1" w:sz="8" w:space="0"/>
          <w:left w:val="single" w:color="4874CB" w:themeColor="accent1" w:sz="8" w:space="0"/>
          <w:bottom w:val="single" w:color="4874CB" w:themeColor="accent1" w:sz="8" w:space="0"/>
          <w:right w:val="single" w:color="4874CB" w:themeColor="accent1" w:sz="8" w:space="0"/>
        </w:tcBorders>
      </w:tcPr>
    </w:tblStylePr>
    <w:tblStylePr w:type="band1Vert">
      <w:tblPr/>
      <w:tcPr>
        <w:tcBorders>
          <w:top w:val="single" w:color="4874CB" w:themeColor="accent1" w:sz="8" w:space="0"/>
          <w:left w:val="single" w:color="4874CB" w:themeColor="accent1" w:sz="8" w:space="0"/>
          <w:bottom w:val="single" w:color="4874CB" w:themeColor="accent1" w:sz="8" w:space="0"/>
          <w:right w:val="single" w:color="4874CB" w:themeColor="accent1" w:sz="8" w:space="0"/>
        </w:tcBorders>
        <w:shd w:val="clear" w:color="auto" w:fill="D1DCF2" w:themeFill="accent1" w:themeFillTint="3F"/>
      </w:tcPr>
    </w:tblStylePr>
    <w:tblStylePr w:type="band1Horz">
      <w:tblPr/>
      <w:tcPr>
        <w:tcBorders>
          <w:top w:val="single" w:color="4874CB" w:themeColor="accent1" w:sz="8" w:space="0"/>
          <w:left w:val="single" w:color="4874CB" w:themeColor="accent1" w:sz="8" w:space="0"/>
          <w:bottom w:val="single" w:color="4874CB" w:themeColor="accent1" w:sz="8" w:space="0"/>
          <w:right w:val="single" w:color="4874CB" w:themeColor="accent1" w:sz="8" w:space="0"/>
          <w:insideV w:val="single" w:sz="8" w:space="0"/>
        </w:tcBorders>
        <w:shd w:val="clear" w:color="auto" w:fill="D1DCF2" w:themeFill="accent1" w:themeFillTint="3F"/>
      </w:tcPr>
    </w:tblStylePr>
    <w:tblStylePr w:type="band2Horz">
      <w:tblPr/>
      <w:tcPr>
        <w:tcBorders>
          <w:top w:val="single" w:color="4874CB" w:themeColor="accent1" w:sz="8" w:space="0"/>
          <w:left w:val="single" w:color="4874CB" w:themeColor="accent1" w:sz="8" w:space="0"/>
          <w:bottom w:val="single" w:color="4874CB" w:themeColor="accent1" w:sz="8" w:space="0"/>
          <w:right w:val="single" w:color="4874CB"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EE822F" w:themeColor="accent2" w:sz="8" w:space="0"/>
        <w:left w:val="single" w:color="EE822F" w:themeColor="accent2" w:sz="8" w:space="0"/>
        <w:bottom w:val="single" w:color="EE822F" w:themeColor="accent2" w:sz="8" w:space="0"/>
        <w:right w:val="single" w:color="EE822F" w:themeColor="accent2" w:sz="8" w:space="0"/>
        <w:insideH w:val="single" w:color="EE822F" w:themeColor="accent2" w:sz="8" w:space="0"/>
        <w:insideV w:val="single" w:color="EE822F"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EE822F" w:themeColor="accent2" w:sz="8" w:space="0"/>
          <w:left w:val="single" w:color="EE822F" w:themeColor="accent2" w:sz="8" w:space="0"/>
          <w:bottom w:val="single" w:color="EE822F" w:themeColor="accent2" w:sz="18" w:space="0"/>
          <w:right w:val="single" w:color="EE822F"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EE822F" w:themeColor="accent2" w:sz="6" w:space="0"/>
          <w:left w:val="single" w:color="EE822F" w:themeColor="accent2" w:sz="8" w:space="0"/>
          <w:bottom w:val="single" w:color="EE822F" w:themeColor="accent2" w:sz="8" w:space="0"/>
          <w:right w:val="single" w:color="EE822F"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EE822F" w:themeColor="accent2" w:sz="8" w:space="0"/>
          <w:left w:val="single" w:color="EE822F" w:themeColor="accent2" w:sz="8" w:space="0"/>
          <w:bottom w:val="single" w:color="EE822F" w:themeColor="accent2" w:sz="8" w:space="0"/>
          <w:right w:val="single" w:color="EE822F" w:themeColor="accent2" w:sz="8" w:space="0"/>
        </w:tcBorders>
      </w:tcPr>
    </w:tblStylePr>
    <w:tblStylePr w:type="band1Vert">
      <w:tblPr/>
      <w:tcPr>
        <w:tcBorders>
          <w:top w:val="single" w:color="EE822F" w:themeColor="accent2" w:sz="8" w:space="0"/>
          <w:left w:val="single" w:color="EE822F" w:themeColor="accent2" w:sz="8" w:space="0"/>
          <w:bottom w:val="single" w:color="EE822F" w:themeColor="accent2" w:sz="8" w:space="0"/>
          <w:right w:val="single" w:color="EE822F" w:themeColor="accent2" w:sz="8" w:space="0"/>
        </w:tcBorders>
        <w:shd w:val="clear" w:color="auto" w:fill="FAE0CB" w:themeFill="accent2" w:themeFillTint="3F"/>
      </w:tcPr>
    </w:tblStylePr>
    <w:tblStylePr w:type="band1Horz">
      <w:tblPr/>
      <w:tcPr>
        <w:tcBorders>
          <w:top w:val="single" w:color="EE822F" w:themeColor="accent2" w:sz="8" w:space="0"/>
          <w:left w:val="single" w:color="EE822F" w:themeColor="accent2" w:sz="8" w:space="0"/>
          <w:bottom w:val="single" w:color="EE822F" w:themeColor="accent2" w:sz="8" w:space="0"/>
          <w:right w:val="single" w:color="EE822F" w:themeColor="accent2" w:sz="8" w:space="0"/>
          <w:insideV w:val="single" w:sz="8" w:space="0"/>
        </w:tcBorders>
        <w:shd w:val="clear" w:color="auto" w:fill="FAE0CB" w:themeFill="accent2" w:themeFillTint="3F"/>
      </w:tcPr>
    </w:tblStylePr>
    <w:tblStylePr w:type="band2Horz">
      <w:tblPr/>
      <w:tcPr>
        <w:tcBorders>
          <w:top w:val="single" w:color="EE822F" w:themeColor="accent2" w:sz="8" w:space="0"/>
          <w:left w:val="single" w:color="EE822F" w:themeColor="accent2" w:sz="8" w:space="0"/>
          <w:bottom w:val="single" w:color="EE822F" w:themeColor="accent2" w:sz="8" w:space="0"/>
          <w:right w:val="single" w:color="EE822F"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F2BA02" w:themeColor="accent3" w:sz="8" w:space="0"/>
        <w:left w:val="single" w:color="F2BA02" w:themeColor="accent3" w:sz="8" w:space="0"/>
        <w:bottom w:val="single" w:color="F2BA02" w:themeColor="accent3" w:sz="8" w:space="0"/>
        <w:right w:val="single" w:color="F2BA02" w:themeColor="accent3" w:sz="8" w:space="0"/>
        <w:insideH w:val="single" w:color="F2BA02" w:themeColor="accent3" w:sz="8" w:space="0"/>
        <w:insideV w:val="single" w:color="F2BA02"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2BA02" w:themeColor="accent3" w:sz="8" w:space="0"/>
          <w:left w:val="single" w:color="F2BA02" w:themeColor="accent3" w:sz="8" w:space="0"/>
          <w:bottom w:val="single" w:color="F2BA02" w:themeColor="accent3" w:sz="18" w:space="0"/>
          <w:right w:val="single" w:color="F2BA02"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2BA02" w:themeColor="accent3" w:sz="6" w:space="0"/>
          <w:left w:val="single" w:color="F2BA02" w:themeColor="accent3" w:sz="8" w:space="0"/>
          <w:bottom w:val="single" w:color="F2BA02" w:themeColor="accent3" w:sz="8" w:space="0"/>
          <w:right w:val="single" w:color="F2BA02"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2BA02" w:themeColor="accent3" w:sz="8" w:space="0"/>
          <w:left w:val="single" w:color="F2BA02" w:themeColor="accent3" w:sz="8" w:space="0"/>
          <w:bottom w:val="single" w:color="F2BA02" w:themeColor="accent3" w:sz="8" w:space="0"/>
          <w:right w:val="single" w:color="F2BA02" w:themeColor="accent3" w:sz="8" w:space="0"/>
        </w:tcBorders>
      </w:tcPr>
    </w:tblStylePr>
    <w:tblStylePr w:type="band1Vert">
      <w:tblPr/>
      <w:tcPr>
        <w:tcBorders>
          <w:top w:val="single" w:color="F2BA02" w:themeColor="accent3" w:sz="8" w:space="0"/>
          <w:left w:val="single" w:color="F2BA02" w:themeColor="accent3" w:sz="8" w:space="0"/>
          <w:bottom w:val="single" w:color="F2BA02" w:themeColor="accent3" w:sz="8" w:space="0"/>
          <w:right w:val="single" w:color="F2BA02" w:themeColor="accent3" w:sz="8" w:space="0"/>
        </w:tcBorders>
        <w:shd w:val="clear" w:color="auto" w:fill="FEEFBD" w:themeFill="accent3" w:themeFillTint="3F"/>
      </w:tcPr>
    </w:tblStylePr>
    <w:tblStylePr w:type="band1Horz">
      <w:tblPr/>
      <w:tcPr>
        <w:tcBorders>
          <w:top w:val="single" w:color="F2BA02" w:themeColor="accent3" w:sz="8" w:space="0"/>
          <w:left w:val="single" w:color="F2BA02" w:themeColor="accent3" w:sz="8" w:space="0"/>
          <w:bottom w:val="single" w:color="F2BA02" w:themeColor="accent3" w:sz="8" w:space="0"/>
          <w:right w:val="single" w:color="F2BA02" w:themeColor="accent3" w:sz="8" w:space="0"/>
          <w:insideV w:val="single" w:sz="8" w:space="0"/>
        </w:tcBorders>
        <w:shd w:val="clear" w:color="auto" w:fill="FEEFBD" w:themeFill="accent3" w:themeFillTint="3F"/>
      </w:tcPr>
    </w:tblStylePr>
    <w:tblStylePr w:type="band2Horz">
      <w:tblPr/>
      <w:tcPr>
        <w:tcBorders>
          <w:top w:val="single" w:color="F2BA02" w:themeColor="accent3" w:sz="8" w:space="0"/>
          <w:left w:val="single" w:color="F2BA02" w:themeColor="accent3" w:sz="8" w:space="0"/>
          <w:bottom w:val="single" w:color="F2BA02" w:themeColor="accent3" w:sz="8" w:space="0"/>
          <w:right w:val="single" w:color="F2BA02"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75BD42" w:themeColor="accent4" w:sz="8" w:space="0"/>
        <w:left w:val="single" w:color="75BD42" w:themeColor="accent4" w:sz="8" w:space="0"/>
        <w:bottom w:val="single" w:color="75BD42" w:themeColor="accent4" w:sz="8" w:space="0"/>
        <w:right w:val="single" w:color="75BD42" w:themeColor="accent4" w:sz="8" w:space="0"/>
        <w:insideH w:val="single" w:color="75BD42" w:themeColor="accent4" w:sz="8" w:space="0"/>
        <w:insideV w:val="single" w:color="75BD4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75BD42" w:themeColor="accent4" w:sz="8" w:space="0"/>
          <w:left w:val="single" w:color="75BD42" w:themeColor="accent4" w:sz="8" w:space="0"/>
          <w:bottom w:val="single" w:color="75BD42" w:themeColor="accent4" w:sz="18" w:space="0"/>
          <w:right w:val="single" w:color="75BD4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75BD42" w:themeColor="accent4" w:sz="6" w:space="0"/>
          <w:left w:val="single" w:color="75BD42" w:themeColor="accent4" w:sz="8" w:space="0"/>
          <w:bottom w:val="single" w:color="75BD42" w:themeColor="accent4" w:sz="8" w:space="0"/>
          <w:right w:val="single" w:color="75BD4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75BD42" w:themeColor="accent4" w:sz="8" w:space="0"/>
          <w:left w:val="single" w:color="75BD42" w:themeColor="accent4" w:sz="8" w:space="0"/>
          <w:bottom w:val="single" w:color="75BD42" w:themeColor="accent4" w:sz="8" w:space="0"/>
          <w:right w:val="single" w:color="75BD42" w:themeColor="accent4" w:sz="8" w:space="0"/>
        </w:tcBorders>
      </w:tcPr>
    </w:tblStylePr>
    <w:tblStylePr w:type="band1Vert">
      <w:tblPr/>
      <w:tcPr>
        <w:tcBorders>
          <w:top w:val="single" w:color="75BD42" w:themeColor="accent4" w:sz="8" w:space="0"/>
          <w:left w:val="single" w:color="75BD42" w:themeColor="accent4" w:sz="8" w:space="0"/>
          <w:bottom w:val="single" w:color="75BD42" w:themeColor="accent4" w:sz="8" w:space="0"/>
          <w:right w:val="single" w:color="75BD42" w:themeColor="accent4" w:sz="8" w:space="0"/>
        </w:tcBorders>
        <w:shd w:val="clear" w:color="auto" w:fill="DCEED0" w:themeFill="accent4" w:themeFillTint="3F"/>
      </w:tcPr>
    </w:tblStylePr>
    <w:tblStylePr w:type="band1Horz">
      <w:tblPr/>
      <w:tcPr>
        <w:tcBorders>
          <w:top w:val="single" w:color="75BD42" w:themeColor="accent4" w:sz="8" w:space="0"/>
          <w:left w:val="single" w:color="75BD42" w:themeColor="accent4" w:sz="8" w:space="0"/>
          <w:bottom w:val="single" w:color="75BD42" w:themeColor="accent4" w:sz="8" w:space="0"/>
          <w:right w:val="single" w:color="75BD42" w:themeColor="accent4" w:sz="8" w:space="0"/>
          <w:insideV w:val="single" w:sz="8" w:space="0"/>
        </w:tcBorders>
        <w:shd w:val="clear" w:color="auto" w:fill="DCEED0" w:themeFill="accent4" w:themeFillTint="3F"/>
      </w:tcPr>
    </w:tblStylePr>
    <w:tblStylePr w:type="band2Horz">
      <w:tblPr/>
      <w:tcPr>
        <w:tcBorders>
          <w:top w:val="single" w:color="75BD42" w:themeColor="accent4" w:sz="8" w:space="0"/>
          <w:left w:val="single" w:color="75BD42" w:themeColor="accent4" w:sz="8" w:space="0"/>
          <w:bottom w:val="single" w:color="75BD42" w:themeColor="accent4" w:sz="8" w:space="0"/>
          <w:right w:val="single" w:color="75BD4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30C0B4" w:themeColor="accent5" w:sz="8" w:space="0"/>
        <w:left w:val="single" w:color="30C0B4" w:themeColor="accent5" w:sz="8" w:space="0"/>
        <w:bottom w:val="single" w:color="30C0B4" w:themeColor="accent5" w:sz="8" w:space="0"/>
        <w:right w:val="single" w:color="30C0B4" w:themeColor="accent5" w:sz="8" w:space="0"/>
        <w:insideH w:val="single" w:color="30C0B4" w:themeColor="accent5" w:sz="8" w:space="0"/>
        <w:insideV w:val="single" w:color="30C0B4"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30C0B4" w:themeColor="accent5" w:sz="8" w:space="0"/>
          <w:left w:val="single" w:color="30C0B4" w:themeColor="accent5" w:sz="8" w:space="0"/>
          <w:bottom w:val="single" w:color="30C0B4" w:themeColor="accent5" w:sz="18" w:space="0"/>
          <w:right w:val="single" w:color="30C0B4"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30C0B4" w:themeColor="accent5" w:sz="6" w:space="0"/>
          <w:left w:val="single" w:color="30C0B4" w:themeColor="accent5" w:sz="8" w:space="0"/>
          <w:bottom w:val="single" w:color="30C0B4" w:themeColor="accent5" w:sz="8" w:space="0"/>
          <w:right w:val="single" w:color="30C0B4"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30C0B4" w:themeColor="accent5" w:sz="8" w:space="0"/>
          <w:left w:val="single" w:color="30C0B4" w:themeColor="accent5" w:sz="8" w:space="0"/>
          <w:bottom w:val="single" w:color="30C0B4" w:themeColor="accent5" w:sz="8" w:space="0"/>
          <w:right w:val="single" w:color="30C0B4" w:themeColor="accent5" w:sz="8" w:space="0"/>
        </w:tcBorders>
      </w:tcPr>
    </w:tblStylePr>
    <w:tblStylePr w:type="band1Vert">
      <w:tblPr/>
      <w:tcPr>
        <w:tcBorders>
          <w:top w:val="single" w:color="30C0B4" w:themeColor="accent5" w:sz="8" w:space="0"/>
          <w:left w:val="single" w:color="30C0B4" w:themeColor="accent5" w:sz="8" w:space="0"/>
          <w:bottom w:val="single" w:color="30C0B4" w:themeColor="accent5" w:sz="8" w:space="0"/>
          <w:right w:val="single" w:color="30C0B4" w:themeColor="accent5" w:sz="8" w:space="0"/>
        </w:tcBorders>
        <w:shd w:val="clear" w:color="auto" w:fill="C9F1EE" w:themeFill="accent5" w:themeFillTint="3F"/>
      </w:tcPr>
    </w:tblStylePr>
    <w:tblStylePr w:type="band1Horz">
      <w:tblPr/>
      <w:tcPr>
        <w:tcBorders>
          <w:top w:val="single" w:color="30C0B4" w:themeColor="accent5" w:sz="8" w:space="0"/>
          <w:left w:val="single" w:color="30C0B4" w:themeColor="accent5" w:sz="8" w:space="0"/>
          <w:bottom w:val="single" w:color="30C0B4" w:themeColor="accent5" w:sz="8" w:space="0"/>
          <w:right w:val="single" w:color="30C0B4" w:themeColor="accent5" w:sz="8" w:space="0"/>
          <w:insideV w:val="single" w:sz="8" w:space="0"/>
        </w:tcBorders>
        <w:shd w:val="clear" w:color="auto" w:fill="C9F1EE" w:themeFill="accent5" w:themeFillTint="3F"/>
      </w:tcPr>
    </w:tblStylePr>
    <w:tblStylePr w:type="band2Horz">
      <w:tblPr/>
      <w:tcPr>
        <w:tcBorders>
          <w:top w:val="single" w:color="30C0B4" w:themeColor="accent5" w:sz="8" w:space="0"/>
          <w:left w:val="single" w:color="30C0B4" w:themeColor="accent5" w:sz="8" w:space="0"/>
          <w:bottom w:val="single" w:color="30C0B4" w:themeColor="accent5" w:sz="8" w:space="0"/>
          <w:right w:val="single" w:color="30C0B4"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E54C5E" w:themeColor="accent6" w:sz="8" w:space="0"/>
        <w:left w:val="single" w:color="E54C5E" w:themeColor="accent6" w:sz="8" w:space="0"/>
        <w:bottom w:val="single" w:color="E54C5E" w:themeColor="accent6" w:sz="8" w:space="0"/>
        <w:right w:val="single" w:color="E54C5E" w:themeColor="accent6" w:sz="8" w:space="0"/>
        <w:insideH w:val="single" w:color="E54C5E" w:themeColor="accent6" w:sz="8" w:space="0"/>
        <w:insideV w:val="single" w:color="E54C5E"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E54C5E" w:themeColor="accent6" w:sz="8" w:space="0"/>
          <w:left w:val="single" w:color="E54C5E" w:themeColor="accent6" w:sz="8" w:space="0"/>
          <w:bottom w:val="single" w:color="E54C5E" w:themeColor="accent6" w:sz="18" w:space="0"/>
          <w:right w:val="single" w:color="E54C5E"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E54C5E" w:themeColor="accent6" w:sz="6" w:space="0"/>
          <w:left w:val="single" w:color="E54C5E" w:themeColor="accent6" w:sz="8" w:space="0"/>
          <w:bottom w:val="single" w:color="E54C5E" w:themeColor="accent6" w:sz="8" w:space="0"/>
          <w:right w:val="single" w:color="E54C5E"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E54C5E" w:themeColor="accent6" w:sz="8" w:space="0"/>
          <w:left w:val="single" w:color="E54C5E" w:themeColor="accent6" w:sz="8" w:space="0"/>
          <w:bottom w:val="single" w:color="E54C5E" w:themeColor="accent6" w:sz="8" w:space="0"/>
          <w:right w:val="single" w:color="E54C5E" w:themeColor="accent6" w:sz="8" w:space="0"/>
        </w:tcBorders>
      </w:tcPr>
    </w:tblStylePr>
    <w:tblStylePr w:type="band1Vert">
      <w:tblPr/>
      <w:tcPr>
        <w:tcBorders>
          <w:top w:val="single" w:color="E54C5E" w:themeColor="accent6" w:sz="8" w:space="0"/>
          <w:left w:val="single" w:color="E54C5E" w:themeColor="accent6" w:sz="8" w:space="0"/>
          <w:bottom w:val="single" w:color="E54C5E" w:themeColor="accent6" w:sz="8" w:space="0"/>
          <w:right w:val="single" w:color="E54C5E" w:themeColor="accent6" w:sz="8" w:space="0"/>
        </w:tcBorders>
        <w:shd w:val="clear" w:color="auto" w:fill="F8D2D7" w:themeFill="accent6" w:themeFillTint="3F"/>
      </w:tcPr>
    </w:tblStylePr>
    <w:tblStylePr w:type="band1Horz">
      <w:tblPr/>
      <w:tcPr>
        <w:tcBorders>
          <w:top w:val="single" w:color="E54C5E" w:themeColor="accent6" w:sz="8" w:space="0"/>
          <w:left w:val="single" w:color="E54C5E" w:themeColor="accent6" w:sz="8" w:space="0"/>
          <w:bottom w:val="single" w:color="E54C5E" w:themeColor="accent6" w:sz="8" w:space="0"/>
          <w:right w:val="single" w:color="E54C5E" w:themeColor="accent6" w:sz="8" w:space="0"/>
          <w:insideV w:val="single" w:sz="8" w:space="0"/>
        </w:tcBorders>
        <w:shd w:val="clear" w:color="auto" w:fill="F8D2D7" w:themeFill="accent6" w:themeFillTint="3F"/>
      </w:tcPr>
    </w:tblStylePr>
    <w:tblStylePr w:type="band2Horz">
      <w:tblPr/>
      <w:tcPr>
        <w:tcBorders>
          <w:top w:val="single" w:color="E54C5E" w:themeColor="accent6" w:sz="8" w:space="0"/>
          <w:left w:val="single" w:color="E54C5E" w:themeColor="accent6" w:sz="8" w:space="0"/>
          <w:bottom w:val="single" w:color="E54C5E" w:themeColor="accent6" w:sz="8" w:space="0"/>
          <w:right w:val="single" w:color="E54C5E"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596D8" w:themeColor="accent1" w:themeTint="BF" w:sz="8" w:space="0"/>
        <w:left w:val="single" w:color="7596D8" w:themeColor="accent1" w:themeTint="BF" w:sz="8" w:space="0"/>
        <w:bottom w:val="single" w:color="7596D8" w:themeColor="accent1" w:themeTint="BF" w:sz="8" w:space="0"/>
        <w:right w:val="single" w:color="7596D8" w:themeColor="accent1" w:themeTint="BF" w:sz="8" w:space="0"/>
        <w:insideH w:val="single" w:color="7596D8"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596D8" w:themeColor="accent1" w:themeTint="BF" w:sz="8" w:space="0"/>
          <w:left w:val="single" w:color="7596D8" w:themeColor="accent1" w:themeTint="BF" w:sz="8" w:space="0"/>
          <w:bottom w:val="single" w:color="7596D8" w:themeColor="accent1" w:themeTint="BF" w:sz="8" w:space="0"/>
          <w:right w:val="single" w:color="7596D8" w:themeColor="accent1" w:themeTint="BF" w:sz="8" w:space="0"/>
          <w:insideH w:val="nil"/>
          <w:insideV w:val="nil"/>
        </w:tcBorders>
        <w:shd w:val="clear" w:color="auto" w:fill="4874CB" w:themeFill="accent1"/>
      </w:tcPr>
    </w:tblStylePr>
    <w:tblStylePr w:type="lastRow">
      <w:pPr>
        <w:spacing w:before="0" w:after="0" w:line="240" w:lineRule="auto"/>
      </w:pPr>
      <w:rPr>
        <w:b/>
        <w:bCs/>
      </w:rPr>
      <w:tblPr/>
      <w:tcPr>
        <w:tcBorders>
          <w:top w:val="double" w:color="7596D8" w:themeColor="accent1" w:themeTint="BF" w:sz="6" w:space="0"/>
          <w:left w:val="single" w:color="7596D8" w:themeColor="accent1" w:themeTint="BF" w:sz="8" w:space="0"/>
          <w:bottom w:val="single" w:color="7596D8" w:themeColor="accent1" w:themeTint="BF" w:sz="8" w:space="0"/>
          <w:right w:val="single" w:color="7596D8"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1DCF2" w:themeFill="accent1" w:themeFillTint="3F"/>
      </w:tcPr>
    </w:tblStylePr>
    <w:tblStylePr w:type="band1Horz">
      <w:tblPr/>
      <w:tcPr>
        <w:tcBorders>
          <w:insideH w:val="nil"/>
          <w:insideV w:val="nil"/>
        </w:tcBorders>
        <w:shd w:val="clear" w:color="auto" w:fill="D1DCF2"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F2A163" w:themeColor="accent2" w:themeTint="BF" w:sz="8" w:space="0"/>
        <w:left w:val="single" w:color="F2A163" w:themeColor="accent2" w:themeTint="BF" w:sz="8" w:space="0"/>
        <w:bottom w:val="single" w:color="F2A163" w:themeColor="accent2" w:themeTint="BF" w:sz="8" w:space="0"/>
        <w:right w:val="single" w:color="F2A163" w:themeColor="accent2" w:themeTint="BF" w:sz="8" w:space="0"/>
        <w:insideH w:val="single" w:color="F2A163"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2A163" w:themeColor="accent2" w:themeTint="BF" w:sz="8" w:space="0"/>
          <w:left w:val="single" w:color="F2A163" w:themeColor="accent2" w:themeTint="BF" w:sz="8" w:space="0"/>
          <w:bottom w:val="single" w:color="F2A163" w:themeColor="accent2" w:themeTint="BF" w:sz="8" w:space="0"/>
          <w:right w:val="single" w:color="F2A163" w:themeColor="accent2" w:themeTint="BF" w:sz="8" w:space="0"/>
          <w:insideH w:val="nil"/>
          <w:insideV w:val="nil"/>
        </w:tcBorders>
        <w:shd w:val="clear" w:color="auto" w:fill="EE822F" w:themeFill="accent2"/>
      </w:tcPr>
    </w:tblStylePr>
    <w:tblStylePr w:type="lastRow">
      <w:pPr>
        <w:spacing w:before="0" w:after="0" w:line="240" w:lineRule="auto"/>
      </w:pPr>
      <w:rPr>
        <w:b/>
        <w:bCs/>
      </w:rPr>
      <w:tblPr/>
      <w:tcPr>
        <w:tcBorders>
          <w:top w:val="double" w:color="F2A163" w:themeColor="accent2" w:themeTint="BF" w:sz="6" w:space="0"/>
          <w:left w:val="single" w:color="F2A163" w:themeColor="accent2" w:themeTint="BF" w:sz="8" w:space="0"/>
          <w:bottom w:val="single" w:color="F2A163" w:themeColor="accent2" w:themeTint="BF" w:sz="8" w:space="0"/>
          <w:right w:val="single" w:color="F2A163"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FAE0CB" w:themeFill="accent2" w:themeFillTint="3F"/>
      </w:tcPr>
    </w:tblStylePr>
    <w:tblStylePr w:type="band1Horz">
      <w:tblPr/>
      <w:tcPr>
        <w:tcBorders>
          <w:insideH w:val="nil"/>
          <w:insideV w:val="nil"/>
        </w:tcBorders>
        <w:shd w:val="clear" w:color="auto" w:fill="FAE0CB"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FDCF39" w:themeColor="accent3" w:themeTint="BF" w:sz="8" w:space="0"/>
        <w:left w:val="single" w:color="FDCF39" w:themeColor="accent3" w:themeTint="BF" w:sz="8" w:space="0"/>
        <w:bottom w:val="single" w:color="FDCF39" w:themeColor="accent3" w:themeTint="BF" w:sz="8" w:space="0"/>
        <w:right w:val="single" w:color="FDCF39" w:themeColor="accent3" w:themeTint="BF" w:sz="8" w:space="0"/>
        <w:insideH w:val="single" w:color="FDCF39"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DCF39" w:themeColor="accent3" w:themeTint="BF" w:sz="8" w:space="0"/>
          <w:left w:val="single" w:color="FDCF39" w:themeColor="accent3" w:themeTint="BF" w:sz="8" w:space="0"/>
          <w:bottom w:val="single" w:color="FDCF39" w:themeColor="accent3" w:themeTint="BF" w:sz="8" w:space="0"/>
          <w:right w:val="single" w:color="FDCF39" w:themeColor="accent3" w:themeTint="BF" w:sz="8" w:space="0"/>
          <w:insideH w:val="nil"/>
          <w:insideV w:val="nil"/>
        </w:tcBorders>
        <w:shd w:val="clear" w:color="auto" w:fill="F2BA02" w:themeFill="accent3"/>
      </w:tcPr>
    </w:tblStylePr>
    <w:tblStylePr w:type="lastRow">
      <w:pPr>
        <w:spacing w:before="0" w:after="0" w:line="240" w:lineRule="auto"/>
      </w:pPr>
      <w:rPr>
        <w:b/>
        <w:bCs/>
      </w:rPr>
      <w:tblPr/>
      <w:tcPr>
        <w:tcBorders>
          <w:top w:val="double" w:color="FDCF39" w:themeColor="accent3" w:themeTint="BF" w:sz="6" w:space="0"/>
          <w:left w:val="single" w:color="FDCF39" w:themeColor="accent3" w:themeTint="BF" w:sz="8" w:space="0"/>
          <w:bottom w:val="single" w:color="FDCF39" w:themeColor="accent3" w:themeTint="BF" w:sz="8" w:space="0"/>
          <w:right w:val="single" w:color="FDCF39"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FEEFBD" w:themeFill="accent3" w:themeFillTint="3F"/>
      </w:tcPr>
    </w:tblStylePr>
    <w:tblStylePr w:type="band1Horz">
      <w:tblPr/>
      <w:tcPr>
        <w:tcBorders>
          <w:insideH w:val="nil"/>
          <w:insideV w:val="nil"/>
        </w:tcBorders>
        <w:shd w:val="clear" w:color="auto" w:fill="FEEFBD"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7CD71" w:themeColor="accent4" w:themeTint="BF" w:sz="8" w:space="0"/>
        <w:left w:val="single" w:color="97CD71" w:themeColor="accent4" w:themeTint="BF" w:sz="8" w:space="0"/>
        <w:bottom w:val="single" w:color="97CD71" w:themeColor="accent4" w:themeTint="BF" w:sz="8" w:space="0"/>
        <w:right w:val="single" w:color="97CD71" w:themeColor="accent4" w:themeTint="BF" w:sz="8" w:space="0"/>
        <w:insideH w:val="single" w:color="97CD71"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7CD71" w:themeColor="accent4" w:themeTint="BF" w:sz="8" w:space="0"/>
          <w:left w:val="single" w:color="97CD71" w:themeColor="accent4" w:themeTint="BF" w:sz="8" w:space="0"/>
          <w:bottom w:val="single" w:color="97CD71" w:themeColor="accent4" w:themeTint="BF" w:sz="8" w:space="0"/>
          <w:right w:val="single" w:color="97CD71" w:themeColor="accent4" w:themeTint="BF" w:sz="8" w:space="0"/>
          <w:insideH w:val="nil"/>
          <w:insideV w:val="nil"/>
        </w:tcBorders>
        <w:shd w:val="clear" w:color="auto" w:fill="75BD42" w:themeFill="accent4"/>
      </w:tcPr>
    </w:tblStylePr>
    <w:tblStylePr w:type="lastRow">
      <w:pPr>
        <w:spacing w:before="0" w:after="0" w:line="240" w:lineRule="auto"/>
      </w:pPr>
      <w:rPr>
        <w:b/>
        <w:bCs/>
      </w:rPr>
      <w:tblPr/>
      <w:tcPr>
        <w:tcBorders>
          <w:top w:val="double" w:color="97CD71" w:themeColor="accent4" w:themeTint="BF" w:sz="6" w:space="0"/>
          <w:left w:val="single" w:color="97CD71" w:themeColor="accent4" w:themeTint="BF" w:sz="8" w:space="0"/>
          <w:bottom w:val="single" w:color="97CD71" w:themeColor="accent4" w:themeTint="BF" w:sz="8" w:space="0"/>
          <w:right w:val="single" w:color="97CD71"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CEED0" w:themeFill="accent4" w:themeFillTint="3F"/>
      </w:tcPr>
    </w:tblStylePr>
    <w:tblStylePr w:type="band1Horz">
      <w:tblPr/>
      <w:tcPr>
        <w:tcBorders>
          <w:insideH w:val="nil"/>
          <w:insideV w:val="nil"/>
        </w:tcBorders>
        <w:shd w:val="clear" w:color="auto" w:fill="DCEED0"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5DD6CC" w:themeColor="accent5" w:themeTint="BF" w:sz="8" w:space="0"/>
        <w:left w:val="single" w:color="5DD6CC" w:themeColor="accent5" w:themeTint="BF" w:sz="8" w:space="0"/>
        <w:bottom w:val="single" w:color="5DD6CC" w:themeColor="accent5" w:themeTint="BF" w:sz="8" w:space="0"/>
        <w:right w:val="single" w:color="5DD6CC" w:themeColor="accent5" w:themeTint="BF" w:sz="8" w:space="0"/>
        <w:insideH w:val="single" w:color="5DD6CC"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5DD6CC" w:themeColor="accent5" w:themeTint="BF" w:sz="8" w:space="0"/>
          <w:left w:val="single" w:color="5DD6CC" w:themeColor="accent5" w:themeTint="BF" w:sz="8" w:space="0"/>
          <w:bottom w:val="single" w:color="5DD6CC" w:themeColor="accent5" w:themeTint="BF" w:sz="8" w:space="0"/>
          <w:right w:val="single" w:color="5DD6CC" w:themeColor="accent5" w:themeTint="BF" w:sz="8" w:space="0"/>
          <w:insideH w:val="nil"/>
          <w:insideV w:val="nil"/>
        </w:tcBorders>
        <w:shd w:val="clear" w:color="auto" w:fill="30C0B4" w:themeFill="accent5"/>
      </w:tcPr>
    </w:tblStylePr>
    <w:tblStylePr w:type="lastRow">
      <w:pPr>
        <w:spacing w:before="0" w:after="0" w:line="240" w:lineRule="auto"/>
      </w:pPr>
      <w:rPr>
        <w:b/>
        <w:bCs/>
      </w:rPr>
      <w:tblPr/>
      <w:tcPr>
        <w:tcBorders>
          <w:top w:val="double" w:color="5DD6CC" w:themeColor="accent5" w:themeTint="BF" w:sz="6" w:space="0"/>
          <w:left w:val="single" w:color="5DD6CC" w:themeColor="accent5" w:themeTint="BF" w:sz="8" w:space="0"/>
          <w:bottom w:val="single" w:color="5DD6CC" w:themeColor="accent5" w:themeTint="BF" w:sz="8" w:space="0"/>
          <w:right w:val="single" w:color="5DD6CC"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C9F1EE" w:themeFill="accent5" w:themeFillTint="3F"/>
      </w:tcPr>
    </w:tblStylePr>
    <w:tblStylePr w:type="band1Horz">
      <w:tblPr/>
      <w:tcPr>
        <w:tcBorders>
          <w:insideH w:val="nil"/>
          <w:insideV w:val="nil"/>
        </w:tcBorders>
        <w:shd w:val="clear" w:color="auto" w:fill="C9F1EE"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EB7886" w:themeColor="accent6" w:themeTint="BF" w:sz="8" w:space="0"/>
        <w:left w:val="single" w:color="EB7886" w:themeColor="accent6" w:themeTint="BF" w:sz="8" w:space="0"/>
        <w:bottom w:val="single" w:color="EB7886" w:themeColor="accent6" w:themeTint="BF" w:sz="8" w:space="0"/>
        <w:right w:val="single" w:color="EB7886" w:themeColor="accent6" w:themeTint="BF" w:sz="8" w:space="0"/>
        <w:insideH w:val="single" w:color="EB7886"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EB7886" w:themeColor="accent6" w:themeTint="BF" w:sz="8" w:space="0"/>
          <w:left w:val="single" w:color="EB7886" w:themeColor="accent6" w:themeTint="BF" w:sz="8" w:space="0"/>
          <w:bottom w:val="single" w:color="EB7886" w:themeColor="accent6" w:themeTint="BF" w:sz="8" w:space="0"/>
          <w:right w:val="single" w:color="EB7886" w:themeColor="accent6" w:themeTint="BF" w:sz="8" w:space="0"/>
          <w:insideH w:val="nil"/>
          <w:insideV w:val="nil"/>
        </w:tcBorders>
        <w:shd w:val="clear" w:color="auto" w:fill="E54C5E" w:themeFill="accent6"/>
      </w:tcPr>
    </w:tblStylePr>
    <w:tblStylePr w:type="lastRow">
      <w:pPr>
        <w:spacing w:before="0" w:after="0" w:line="240" w:lineRule="auto"/>
      </w:pPr>
      <w:rPr>
        <w:b/>
        <w:bCs/>
      </w:rPr>
      <w:tblPr/>
      <w:tcPr>
        <w:tcBorders>
          <w:top w:val="double" w:color="EB7886" w:themeColor="accent6" w:themeTint="BF" w:sz="6" w:space="0"/>
          <w:left w:val="single" w:color="EB7886" w:themeColor="accent6" w:themeTint="BF" w:sz="8" w:space="0"/>
          <w:bottom w:val="single" w:color="EB7886" w:themeColor="accent6" w:themeTint="BF" w:sz="8" w:space="0"/>
          <w:right w:val="single" w:color="EB7886"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8D2D7" w:themeFill="accent6" w:themeFillTint="3F"/>
      </w:tcPr>
    </w:tblStylePr>
    <w:tblStylePr w:type="band1Horz">
      <w:tblPr/>
      <w:tcPr>
        <w:tcBorders>
          <w:insideH w:val="nil"/>
          <w:insideV w:val="nil"/>
        </w:tcBorders>
        <w:shd w:val="clear" w:color="auto" w:fill="F8D2D7"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874CB"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874CB"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874CB"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EE822F"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EE822F"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EE822F"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2BA02"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2BA02"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2BA02"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75BD4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75BD4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75BD4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30C0B4"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30C0B4"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30C0B4"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E54C5E"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E54C5E"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E54C5E"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44546A"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874CB" w:themeColor="accent1" w:sz="8" w:space="0"/>
        <w:bottom w:val="single" w:color="4874CB"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874CB" w:themeColor="accent1" w:sz="8" w:space="0"/>
        </w:tcBorders>
      </w:tcPr>
    </w:tblStylePr>
    <w:tblStylePr w:type="lastRow">
      <w:rPr>
        <w:b/>
        <w:bCs/>
        <w:color w:val="44546A" w:themeColor="text2"/>
        <w14:textFill>
          <w14:solidFill>
            <w14:schemeClr w14:val="tx2"/>
          </w14:solidFill>
        </w14:textFill>
      </w:rPr>
      <w:tblPr/>
      <w:tcPr>
        <w:tcBorders>
          <w:top w:val="single" w:color="4874CB" w:themeColor="accent1" w:sz="8" w:space="0"/>
          <w:bottom w:val="single" w:color="4874CB" w:themeColor="accent1" w:sz="8" w:space="0"/>
        </w:tcBorders>
      </w:tcPr>
    </w:tblStylePr>
    <w:tblStylePr w:type="firstCol">
      <w:rPr>
        <w:b/>
        <w:bCs/>
      </w:rPr>
    </w:tblStylePr>
    <w:tblStylePr w:type="lastCol">
      <w:rPr>
        <w:b/>
        <w:bCs/>
      </w:rPr>
      <w:tblPr/>
      <w:tcPr>
        <w:tcBorders>
          <w:top w:val="single" w:color="4874CB" w:themeColor="accent1" w:sz="8" w:space="0"/>
          <w:bottom w:val="single" w:color="4874CB" w:themeColor="accent1" w:sz="8" w:space="0"/>
        </w:tcBorders>
      </w:tcPr>
    </w:tblStylePr>
    <w:tblStylePr w:type="band1Vert">
      <w:tblPr/>
      <w:tcPr>
        <w:shd w:val="clear" w:color="auto" w:fill="D1DCF2" w:themeFill="accent1" w:themeFillTint="3F"/>
      </w:tcPr>
    </w:tblStylePr>
    <w:tblStylePr w:type="band1Horz">
      <w:tblPr/>
      <w:tcPr>
        <w:shd w:val="clear" w:color="auto" w:fill="D1DCF2"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EE822F" w:themeColor="accent2" w:sz="8" w:space="0"/>
        <w:bottom w:val="single" w:color="EE822F"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EE822F" w:themeColor="accent2" w:sz="8" w:space="0"/>
        </w:tcBorders>
      </w:tcPr>
    </w:tblStylePr>
    <w:tblStylePr w:type="lastRow">
      <w:rPr>
        <w:b/>
        <w:bCs/>
        <w:color w:val="44546A" w:themeColor="text2"/>
        <w14:textFill>
          <w14:solidFill>
            <w14:schemeClr w14:val="tx2"/>
          </w14:solidFill>
        </w14:textFill>
      </w:rPr>
      <w:tblPr/>
      <w:tcPr>
        <w:tcBorders>
          <w:top w:val="single" w:color="EE822F" w:themeColor="accent2" w:sz="8" w:space="0"/>
          <w:bottom w:val="single" w:color="EE822F" w:themeColor="accent2" w:sz="8" w:space="0"/>
        </w:tcBorders>
      </w:tcPr>
    </w:tblStylePr>
    <w:tblStylePr w:type="firstCol">
      <w:rPr>
        <w:b/>
        <w:bCs/>
      </w:rPr>
    </w:tblStylePr>
    <w:tblStylePr w:type="lastCol">
      <w:rPr>
        <w:b/>
        <w:bCs/>
      </w:rPr>
      <w:tblPr/>
      <w:tcPr>
        <w:tcBorders>
          <w:top w:val="single" w:color="EE822F" w:themeColor="accent2" w:sz="8" w:space="0"/>
          <w:bottom w:val="single" w:color="EE822F" w:themeColor="accent2" w:sz="8" w:space="0"/>
        </w:tcBorders>
      </w:tcPr>
    </w:tblStylePr>
    <w:tblStylePr w:type="band1Vert">
      <w:tblPr/>
      <w:tcPr>
        <w:shd w:val="clear" w:color="auto" w:fill="FAE0CB" w:themeFill="accent2" w:themeFillTint="3F"/>
      </w:tcPr>
    </w:tblStylePr>
    <w:tblStylePr w:type="band1Horz">
      <w:tblPr/>
      <w:tcPr>
        <w:shd w:val="clear" w:color="auto" w:fill="FAE0CB"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F2BA02" w:themeColor="accent3" w:sz="8" w:space="0"/>
        <w:bottom w:val="single" w:color="F2BA02"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2BA02" w:themeColor="accent3" w:sz="8" w:space="0"/>
        </w:tcBorders>
      </w:tcPr>
    </w:tblStylePr>
    <w:tblStylePr w:type="lastRow">
      <w:rPr>
        <w:b/>
        <w:bCs/>
        <w:color w:val="44546A" w:themeColor="text2"/>
        <w14:textFill>
          <w14:solidFill>
            <w14:schemeClr w14:val="tx2"/>
          </w14:solidFill>
        </w14:textFill>
      </w:rPr>
      <w:tblPr/>
      <w:tcPr>
        <w:tcBorders>
          <w:top w:val="single" w:color="F2BA02" w:themeColor="accent3" w:sz="8" w:space="0"/>
          <w:bottom w:val="single" w:color="F2BA02" w:themeColor="accent3" w:sz="8" w:space="0"/>
        </w:tcBorders>
      </w:tcPr>
    </w:tblStylePr>
    <w:tblStylePr w:type="firstCol">
      <w:rPr>
        <w:b/>
        <w:bCs/>
      </w:rPr>
    </w:tblStylePr>
    <w:tblStylePr w:type="lastCol">
      <w:rPr>
        <w:b/>
        <w:bCs/>
      </w:rPr>
      <w:tblPr/>
      <w:tcPr>
        <w:tcBorders>
          <w:top w:val="single" w:color="F2BA02" w:themeColor="accent3" w:sz="8" w:space="0"/>
          <w:bottom w:val="single" w:color="F2BA02" w:themeColor="accent3" w:sz="8" w:space="0"/>
        </w:tcBorders>
      </w:tcPr>
    </w:tblStylePr>
    <w:tblStylePr w:type="band1Vert">
      <w:tblPr/>
      <w:tcPr>
        <w:shd w:val="clear" w:color="auto" w:fill="FEEFBD" w:themeFill="accent3" w:themeFillTint="3F"/>
      </w:tcPr>
    </w:tblStylePr>
    <w:tblStylePr w:type="band1Horz">
      <w:tblPr/>
      <w:tcPr>
        <w:shd w:val="clear" w:color="auto" w:fill="FEEFBD"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75BD42" w:themeColor="accent4" w:sz="8" w:space="0"/>
        <w:bottom w:val="single" w:color="75BD4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75BD42" w:themeColor="accent4" w:sz="8" w:space="0"/>
        </w:tcBorders>
      </w:tcPr>
    </w:tblStylePr>
    <w:tblStylePr w:type="lastRow">
      <w:rPr>
        <w:b/>
        <w:bCs/>
        <w:color w:val="44546A" w:themeColor="text2"/>
        <w14:textFill>
          <w14:solidFill>
            <w14:schemeClr w14:val="tx2"/>
          </w14:solidFill>
        </w14:textFill>
      </w:rPr>
      <w:tblPr/>
      <w:tcPr>
        <w:tcBorders>
          <w:top w:val="single" w:color="75BD42" w:themeColor="accent4" w:sz="8" w:space="0"/>
          <w:bottom w:val="single" w:color="75BD42" w:themeColor="accent4" w:sz="8" w:space="0"/>
        </w:tcBorders>
      </w:tcPr>
    </w:tblStylePr>
    <w:tblStylePr w:type="firstCol">
      <w:rPr>
        <w:b/>
        <w:bCs/>
      </w:rPr>
    </w:tblStylePr>
    <w:tblStylePr w:type="lastCol">
      <w:rPr>
        <w:b/>
        <w:bCs/>
      </w:rPr>
      <w:tblPr/>
      <w:tcPr>
        <w:tcBorders>
          <w:top w:val="single" w:color="75BD42" w:themeColor="accent4" w:sz="8" w:space="0"/>
          <w:bottom w:val="single" w:color="75BD42" w:themeColor="accent4" w:sz="8" w:space="0"/>
        </w:tcBorders>
      </w:tcPr>
    </w:tblStylePr>
    <w:tblStylePr w:type="band1Vert">
      <w:tblPr/>
      <w:tcPr>
        <w:shd w:val="clear" w:color="auto" w:fill="DCEED0" w:themeFill="accent4" w:themeFillTint="3F"/>
      </w:tcPr>
    </w:tblStylePr>
    <w:tblStylePr w:type="band1Horz">
      <w:tblPr/>
      <w:tcPr>
        <w:shd w:val="clear" w:color="auto" w:fill="DCEED0"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30C0B4" w:themeColor="accent5" w:sz="8" w:space="0"/>
        <w:bottom w:val="single" w:color="30C0B4"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30C0B4" w:themeColor="accent5" w:sz="8" w:space="0"/>
        </w:tcBorders>
      </w:tcPr>
    </w:tblStylePr>
    <w:tblStylePr w:type="lastRow">
      <w:rPr>
        <w:b/>
        <w:bCs/>
        <w:color w:val="44546A" w:themeColor="text2"/>
        <w14:textFill>
          <w14:solidFill>
            <w14:schemeClr w14:val="tx2"/>
          </w14:solidFill>
        </w14:textFill>
      </w:rPr>
      <w:tblPr/>
      <w:tcPr>
        <w:tcBorders>
          <w:top w:val="single" w:color="30C0B4" w:themeColor="accent5" w:sz="8" w:space="0"/>
          <w:bottom w:val="single" w:color="30C0B4" w:themeColor="accent5" w:sz="8" w:space="0"/>
        </w:tcBorders>
      </w:tcPr>
    </w:tblStylePr>
    <w:tblStylePr w:type="firstCol">
      <w:rPr>
        <w:b/>
        <w:bCs/>
      </w:rPr>
    </w:tblStylePr>
    <w:tblStylePr w:type="lastCol">
      <w:rPr>
        <w:b/>
        <w:bCs/>
      </w:rPr>
      <w:tblPr/>
      <w:tcPr>
        <w:tcBorders>
          <w:top w:val="single" w:color="30C0B4" w:themeColor="accent5" w:sz="8" w:space="0"/>
          <w:bottom w:val="single" w:color="30C0B4" w:themeColor="accent5" w:sz="8" w:space="0"/>
        </w:tcBorders>
      </w:tcPr>
    </w:tblStylePr>
    <w:tblStylePr w:type="band1Vert">
      <w:tblPr/>
      <w:tcPr>
        <w:shd w:val="clear" w:color="auto" w:fill="C9F1EE" w:themeFill="accent5" w:themeFillTint="3F"/>
      </w:tcPr>
    </w:tblStylePr>
    <w:tblStylePr w:type="band1Horz">
      <w:tblPr/>
      <w:tcPr>
        <w:shd w:val="clear" w:color="auto" w:fill="C9F1EE"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E54C5E" w:themeColor="accent6" w:sz="8" w:space="0"/>
        <w:bottom w:val="single" w:color="E54C5E"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E54C5E" w:themeColor="accent6" w:sz="8" w:space="0"/>
        </w:tcBorders>
      </w:tcPr>
    </w:tblStylePr>
    <w:tblStylePr w:type="lastRow">
      <w:rPr>
        <w:b/>
        <w:bCs/>
        <w:color w:val="44546A" w:themeColor="text2"/>
        <w14:textFill>
          <w14:solidFill>
            <w14:schemeClr w14:val="tx2"/>
          </w14:solidFill>
        </w14:textFill>
      </w:rPr>
      <w:tblPr/>
      <w:tcPr>
        <w:tcBorders>
          <w:top w:val="single" w:color="E54C5E" w:themeColor="accent6" w:sz="8" w:space="0"/>
          <w:bottom w:val="single" w:color="E54C5E" w:themeColor="accent6" w:sz="8" w:space="0"/>
        </w:tcBorders>
      </w:tcPr>
    </w:tblStylePr>
    <w:tblStylePr w:type="firstCol">
      <w:rPr>
        <w:b/>
        <w:bCs/>
      </w:rPr>
    </w:tblStylePr>
    <w:tblStylePr w:type="lastCol">
      <w:rPr>
        <w:b/>
        <w:bCs/>
      </w:rPr>
      <w:tblPr/>
      <w:tcPr>
        <w:tcBorders>
          <w:top w:val="single" w:color="E54C5E" w:themeColor="accent6" w:sz="8" w:space="0"/>
          <w:bottom w:val="single" w:color="E54C5E" w:themeColor="accent6" w:sz="8" w:space="0"/>
        </w:tcBorders>
      </w:tcPr>
    </w:tblStylePr>
    <w:tblStylePr w:type="band1Vert">
      <w:tblPr/>
      <w:tcPr>
        <w:shd w:val="clear" w:color="auto" w:fill="F8D2D7" w:themeFill="accent6" w:themeFillTint="3F"/>
      </w:tcPr>
    </w:tblStylePr>
    <w:tblStylePr w:type="band1Horz">
      <w:tblPr/>
      <w:tcPr>
        <w:shd w:val="clear" w:color="auto" w:fill="F8D2D7"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874CB" w:themeColor="accent1" w:sz="8" w:space="0"/>
        <w:left w:val="single" w:color="4874CB" w:themeColor="accent1" w:sz="8" w:space="0"/>
        <w:bottom w:val="single" w:color="4874CB" w:themeColor="accent1" w:sz="8" w:space="0"/>
        <w:right w:val="single" w:color="4874CB"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874CB" w:themeColor="accent1" w:sz="24" w:space="0"/>
          <w:right w:val="nil"/>
          <w:insideH w:val="nil"/>
          <w:insideV w:val="nil"/>
        </w:tcBorders>
        <w:shd w:val="clear" w:color="auto" w:fill="FFFFFF" w:themeFill="background1"/>
      </w:tcPr>
    </w:tblStylePr>
    <w:tblStylePr w:type="lastRow">
      <w:tblPr/>
      <w:tcPr>
        <w:tcBorders>
          <w:top w:val="single" w:color="4874CB"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874CB" w:themeColor="accent1" w:sz="8" w:space="0"/>
          <w:insideH w:val="nil"/>
          <w:insideV w:val="nil"/>
        </w:tcBorders>
        <w:shd w:val="clear" w:color="auto" w:fill="FFFFFF" w:themeFill="background1"/>
      </w:tcPr>
    </w:tblStylePr>
    <w:tblStylePr w:type="lastCol">
      <w:tblPr/>
      <w:tcPr>
        <w:tcBorders>
          <w:top w:val="nil"/>
          <w:left w:val="single" w:color="4874CB"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1DCF2" w:themeFill="accent1" w:themeFillTint="3F"/>
      </w:tcPr>
    </w:tblStylePr>
    <w:tblStylePr w:type="band1Horz">
      <w:tblPr/>
      <w:tcPr>
        <w:tcBorders>
          <w:top w:val="nil"/>
          <w:bottom w:val="nil"/>
          <w:insideH w:val="nil"/>
          <w:insideV w:val="nil"/>
        </w:tcBorders>
        <w:shd w:val="clear" w:color="auto" w:fill="D1DC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EE822F" w:themeColor="accent2" w:sz="8" w:space="0"/>
        <w:left w:val="single" w:color="EE822F" w:themeColor="accent2" w:sz="8" w:space="0"/>
        <w:bottom w:val="single" w:color="EE822F" w:themeColor="accent2" w:sz="8" w:space="0"/>
        <w:right w:val="single" w:color="EE822F"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EE822F" w:themeColor="accent2" w:sz="24" w:space="0"/>
          <w:right w:val="nil"/>
          <w:insideH w:val="nil"/>
          <w:insideV w:val="nil"/>
        </w:tcBorders>
        <w:shd w:val="clear" w:color="auto" w:fill="FFFFFF" w:themeFill="background1"/>
      </w:tcPr>
    </w:tblStylePr>
    <w:tblStylePr w:type="lastRow">
      <w:tblPr/>
      <w:tcPr>
        <w:tcBorders>
          <w:top w:val="single" w:color="EE822F"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EE822F" w:themeColor="accent2" w:sz="8" w:space="0"/>
          <w:insideH w:val="nil"/>
          <w:insideV w:val="nil"/>
        </w:tcBorders>
        <w:shd w:val="clear" w:color="auto" w:fill="FFFFFF" w:themeFill="background1"/>
      </w:tcPr>
    </w:tblStylePr>
    <w:tblStylePr w:type="lastCol">
      <w:tblPr/>
      <w:tcPr>
        <w:tcBorders>
          <w:top w:val="nil"/>
          <w:left w:val="single" w:color="EE822F"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E0CB" w:themeFill="accent2" w:themeFillTint="3F"/>
      </w:tcPr>
    </w:tblStylePr>
    <w:tblStylePr w:type="band1Horz">
      <w:tblPr/>
      <w:tcPr>
        <w:tcBorders>
          <w:top w:val="nil"/>
          <w:bottom w:val="nil"/>
          <w:insideH w:val="nil"/>
          <w:insideV w:val="nil"/>
        </w:tcBorders>
        <w:shd w:val="clear" w:color="auto" w:fill="FAE0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2BA02" w:themeColor="accent3" w:sz="8" w:space="0"/>
        <w:left w:val="single" w:color="F2BA02" w:themeColor="accent3" w:sz="8" w:space="0"/>
        <w:bottom w:val="single" w:color="F2BA02" w:themeColor="accent3" w:sz="8" w:space="0"/>
        <w:right w:val="single" w:color="F2BA02"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F2BA02" w:themeColor="accent3" w:sz="24" w:space="0"/>
          <w:right w:val="nil"/>
          <w:insideH w:val="nil"/>
          <w:insideV w:val="nil"/>
        </w:tcBorders>
        <w:shd w:val="clear" w:color="auto" w:fill="FFFFFF" w:themeFill="background1"/>
      </w:tcPr>
    </w:tblStylePr>
    <w:tblStylePr w:type="lastRow">
      <w:tblPr/>
      <w:tcPr>
        <w:tcBorders>
          <w:top w:val="single" w:color="F2BA02"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2BA02" w:themeColor="accent3" w:sz="8" w:space="0"/>
          <w:insideH w:val="nil"/>
          <w:insideV w:val="nil"/>
        </w:tcBorders>
        <w:shd w:val="clear" w:color="auto" w:fill="FFFFFF" w:themeFill="background1"/>
      </w:tcPr>
    </w:tblStylePr>
    <w:tblStylePr w:type="lastCol">
      <w:tblPr/>
      <w:tcPr>
        <w:tcBorders>
          <w:top w:val="nil"/>
          <w:left w:val="single" w:color="F2BA02"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EEFBD" w:themeFill="accent3" w:themeFillTint="3F"/>
      </w:tcPr>
    </w:tblStylePr>
    <w:tblStylePr w:type="band1Horz">
      <w:tblPr/>
      <w:tcPr>
        <w:tcBorders>
          <w:top w:val="nil"/>
          <w:bottom w:val="nil"/>
          <w:insideH w:val="nil"/>
          <w:insideV w:val="nil"/>
        </w:tcBorders>
        <w:shd w:val="clear" w:color="auto" w:fill="FEEFBD"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75BD42" w:themeColor="accent4" w:sz="8" w:space="0"/>
        <w:left w:val="single" w:color="75BD42" w:themeColor="accent4" w:sz="8" w:space="0"/>
        <w:bottom w:val="single" w:color="75BD42" w:themeColor="accent4" w:sz="8" w:space="0"/>
        <w:right w:val="single" w:color="75BD4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75BD42" w:themeColor="accent4" w:sz="24" w:space="0"/>
          <w:right w:val="nil"/>
          <w:insideH w:val="nil"/>
          <w:insideV w:val="nil"/>
        </w:tcBorders>
        <w:shd w:val="clear" w:color="auto" w:fill="FFFFFF" w:themeFill="background1"/>
      </w:tcPr>
    </w:tblStylePr>
    <w:tblStylePr w:type="lastRow">
      <w:tblPr/>
      <w:tcPr>
        <w:tcBorders>
          <w:top w:val="single" w:color="75BD4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75BD42" w:themeColor="accent4" w:sz="8" w:space="0"/>
          <w:insideH w:val="nil"/>
          <w:insideV w:val="nil"/>
        </w:tcBorders>
        <w:shd w:val="clear" w:color="auto" w:fill="FFFFFF" w:themeFill="background1"/>
      </w:tcPr>
    </w:tblStylePr>
    <w:tblStylePr w:type="lastCol">
      <w:tblPr/>
      <w:tcPr>
        <w:tcBorders>
          <w:top w:val="nil"/>
          <w:left w:val="single" w:color="75BD4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CEED0" w:themeFill="accent4" w:themeFillTint="3F"/>
      </w:tcPr>
    </w:tblStylePr>
    <w:tblStylePr w:type="band1Horz">
      <w:tblPr/>
      <w:tcPr>
        <w:tcBorders>
          <w:top w:val="nil"/>
          <w:bottom w:val="nil"/>
          <w:insideH w:val="nil"/>
          <w:insideV w:val="nil"/>
        </w:tcBorders>
        <w:shd w:val="clear" w:color="auto" w:fill="DCEED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30C0B4" w:themeColor="accent5" w:sz="8" w:space="0"/>
        <w:left w:val="single" w:color="30C0B4" w:themeColor="accent5" w:sz="8" w:space="0"/>
        <w:bottom w:val="single" w:color="30C0B4" w:themeColor="accent5" w:sz="8" w:space="0"/>
        <w:right w:val="single" w:color="30C0B4"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30C0B4" w:themeColor="accent5" w:sz="24" w:space="0"/>
          <w:right w:val="nil"/>
          <w:insideH w:val="nil"/>
          <w:insideV w:val="nil"/>
        </w:tcBorders>
        <w:shd w:val="clear" w:color="auto" w:fill="FFFFFF" w:themeFill="background1"/>
      </w:tcPr>
    </w:tblStylePr>
    <w:tblStylePr w:type="lastRow">
      <w:tblPr/>
      <w:tcPr>
        <w:tcBorders>
          <w:top w:val="single" w:color="30C0B4"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30C0B4" w:themeColor="accent5" w:sz="8" w:space="0"/>
          <w:insideH w:val="nil"/>
          <w:insideV w:val="nil"/>
        </w:tcBorders>
        <w:shd w:val="clear" w:color="auto" w:fill="FFFFFF" w:themeFill="background1"/>
      </w:tcPr>
    </w:tblStylePr>
    <w:tblStylePr w:type="lastCol">
      <w:tblPr/>
      <w:tcPr>
        <w:tcBorders>
          <w:top w:val="nil"/>
          <w:left w:val="single" w:color="30C0B4"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9F1EE" w:themeFill="accent5" w:themeFillTint="3F"/>
      </w:tcPr>
    </w:tblStylePr>
    <w:tblStylePr w:type="band1Horz">
      <w:tblPr/>
      <w:tcPr>
        <w:tcBorders>
          <w:top w:val="nil"/>
          <w:bottom w:val="nil"/>
          <w:insideH w:val="nil"/>
          <w:insideV w:val="nil"/>
        </w:tcBorders>
        <w:shd w:val="clear" w:color="auto" w:fill="C9F1EE"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E54C5E" w:themeColor="accent6" w:sz="8" w:space="0"/>
        <w:left w:val="single" w:color="E54C5E" w:themeColor="accent6" w:sz="8" w:space="0"/>
        <w:bottom w:val="single" w:color="E54C5E" w:themeColor="accent6" w:sz="8" w:space="0"/>
        <w:right w:val="single" w:color="E54C5E"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E54C5E" w:themeColor="accent6" w:sz="24" w:space="0"/>
          <w:right w:val="nil"/>
          <w:insideH w:val="nil"/>
          <w:insideV w:val="nil"/>
        </w:tcBorders>
        <w:shd w:val="clear" w:color="auto" w:fill="FFFFFF" w:themeFill="background1"/>
      </w:tcPr>
    </w:tblStylePr>
    <w:tblStylePr w:type="lastRow">
      <w:tblPr/>
      <w:tcPr>
        <w:tcBorders>
          <w:top w:val="single" w:color="E54C5E"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E54C5E" w:themeColor="accent6" w:sz="8" w:space="0"/>
          <w:insideH w:val="nil"/>
          <w:insideV w:val="nil"/>
        </w:tcBorders>
        <w:shd w:val="clear" w:color="auto" w:fill="FFFFFF" w:themeFill="background1"/>
      </w:tcPr>
    </w:tblStylePr>
    <w:tblStylePr w:type="lastCol">
      <w:tblPr/>
      <w:tcPr>
        <w:tcBorders>
          <w:top w:val="nil"/>
          <w:left w:val="single" w:color="E54C5E"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8D2D7" w:themeFill="accent6" w:themeFillTint="3F"/>
      </w:tcPr>
    </w:tblStylePr>
    <w:tblStylePr w:type="band1Horz">
      <w:tblPr/>
      <w:tcPr>
        <w:tcBorders>
          <w:top w:val="nil"/>
          <w:bottom w:val="nil"/>
          <w:insideH w:val="nil"/>
          <w:insideV w:val="nil"/>
        </w:tcBorders>
        <w:shd w:val="clear" w:color="auto" w:fill="F8D2D7"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596D8" w:themeColor="accent1" w:themeTint="BF" w:sz="8" w:space="0"/>
        <w:left w:val="single" w:color="7596D8" w:themeColor="accent1" w:themeTint="BF" w:sz="8" w:space="0"/>
        <w:bottom w:val="single" w:color="7596D8" w:themeColor="accent1" w:themeTint="BF" w:sz="8" w:space="0"/>
        <w:right w:val="single" w:color="7596D8" w:themeColor="accent1" w:themeTint="BF" w:sz="8" w:space="0"/>
        <w:insideH w:val="single" w:color="7596D8" w:themeColor="accent1" w:themeTint="BF" w:sz="8" w:space="0"/>
        <w:insideV w:val="single" w:color="7596D8" w:themeColor="accent1" w:themeTint="BF" w:sz="8" w:space="0"/>
      </w:tblBorders>
      <w:tblCellMar>
        <w:top w:w="0" w:type="dxa"/>
        <w:left w:w="108" w:type="dxa"/>
        <w:bottom w:w="0" w:type="dxa"/>
        <w:right w:w="108" w:type="dxa"/>
      </w:tblCellMar>
    </w:tblPr>
    <w:tcPr>
      <w:shd w:val="clear" w:color="auto" w:fill="D1DCF2" w:themeFill="accent1" w:themeFillTint="3F"/>
    </w:tcPr>
    <w:tblStylePr w:type="firstRow">
      <w:rPr>
        <w:b/>
        <w:bCs/>
      </w:rPr>
    </w:tblStylePr>
    <w:tblStylePr w:type="lastRow">
      <w:rPr>
        <w:b/>
        <w:bCs/>
      </w:rPr>
      <w:tblPr/>
      <w:tcPr>
        <w:tcBorders>
          <w:top w:val="single" w:color="7596D8" w:themeColor="accent1" w:themeTint="BF" w:sz="18" w:space="0"/>
        </w:tcBorders>
      </w:tcPr>
    </w:tblStylePr>
    <w:tblStylePr w:type="firstCol">
      <w:rPr>
        <w:b/>
        <w:bCs/>
      </w:rPr>
    </w:tblStylePr>
    <w:tblStylePr w:type="lastCol">
      <w:rPr>
        <w:b/>
        <w:bCs/>
      </w:rPr>
    </w:tblStylePr>
    <w:tblStylePr w:type="band1Vert">
      <w:tblPr/>
      <w:tcPr>
        <w:shd w:val="clear" w:color="auto" w:fill="A3B9E5" w:themeFill="accent1" w:themeFillTint="7F"/>
      </w:tcPr>
    </w:tblStylePr>
    <w:tblStylePr w:type="band1Horz">
      <w:tblPr/>
      <w:tcPr>
        <w:shd w:val="clear" w:color="auto" w:fill="A3B9E5" w:themeFill="accent1" w:themeFillTint="7F"/>
      </w:tcPr>
    </w:tblStylePr>
  </w:style>
  <w:style w:type="table" w:styleId="85">
    <w:name w:val="Medium Grid 1 Accent 2"/>
    <w:basedOn w:val="32"/>
    <w:qFormat/>
    <w:uiPriority w:val="67"/>
    <w:pPr>
      <w:spacing w:after="0" w:line="240" w:lineRule="auto"/>
    </w:pPr>
    <w:tblPr>
      <w:tblBorders>
        <w:top w:val="single" w:color="F2A163" w:themeColor="accent2" w:themeTint="BF" w:sz="8" w:space="0"/>
        <w:left w:val="single" w:color="F2A163" w:themeColor="accent2" w:themeTint="BF" w:sz="8" w:space="0"/>
        <w:bottom w:val="single" w:color="F2A163" w:themeColor="accent2" w:themeTint="BF" w:sz="8" w:space="0"/>
        <w:right w:val="single" w:color="F2A163" w:themeColor="accent2" w:themeTint="BF" w:sz="8" w:space="0"/>
        <w:insideH w:val="single" w:color="F2A163" w:themeColor="accent2" w:themeTint="BF" w:sz="8" w:space="0"/>
        <w:insideV w:val="single" w:color="F2A163" w:themeColor="accent2" w:themeTint="BF" w:sz="8" w:space="0"/>
      </w:tblBorders>
      <w:tblCellMar>
        <w:top w:w="0" w:type="dxa"/>
        <w:left w:w="108" w:type="dxa"/>
        <w:bottom w:w="0" w:type="dxa"/>
        <w:right w:w="108" w:type="dxa"/>
      </w:tblCellMar>
    </w:tblPr>
    <w:tcPr>
      <w:shd w:val="clear" w:color="auto" w:fill="FAE0CB" w:themeFill="accent2" w:themeFillTint="3F"/>
    </w:tcPr>
    <w:tblStylePr w:type="firstRow">
      <w:rPr>
        <w:b/>
        <w:bCs/>
      </w:rPr>
    </w:tblStylePr>
    <w:tblStylePr w:type="lastRow">
      <w:rPr>
        <w:b/>
        <w:bCs/>
      </w:rPr>
      <w:tblPr/>
      <w:tcPr>
        <w:tcBorders>
          <w:top w:val="single" w:color="F2A163" w:themeColor="accent2" w:themeTint="BF" w:sz="18" w:space="0"/>
        </w:tcBorders>
      </w:tcPr>
    </w:tblStylePr>
    <w:tblStylePr w:type="firstCol">
      <w:rPr>
        <w:b/>
        <w:bCs/>
      </w:rPr>
    </w:tblStylePr>
    <w:tblStylePr w:type="lastCol">
      <w:rPr>
        <w:b/>
        <w:bCs/>
      </w:rPr>
    </w:tblStylePr>
    <w:tblStylePr w:type="band1Vert">
      <w:tblPr/>
      <w:tcPr>
        <w:shd w:val="clear" w:color="auto" w:fill="F6C097" w:themeFill="accent2" w:themeFillTint="7F"/>
      </w:tcPr>
    </w:tblStylePr>
    <w:tblStylePr w:type="band1Horz">
      <w:tblPr/>
      <w:tcPr>
        <w:shd w:val="clear" w:color="auto" w:fill="F6C097" w:themeFill="accent2" w:themeFillTint="7F"/>
      </w:tcPr>
    </w:tblStylePr>
  </w:style>
  <w:style w:type="table" w:styleId="86">
    <w:name w:val="Medium Grid 1 Accent 3"/>
    <w:basedOn w:val="32"/>
    <w:qFormat/>
    <w:uiPriority w:val="67"/>
    <w:pPr>
      <w:spacing w:after="0" w:line="240" w:lineRule="auto"/>
    </w:pPr>
    <w:tblPr>
      <w:tblBorders>
        <w:top w:val="single" w:color="FDCF39" w:themeColor="accent3" w:themeTint="BF" w:sz="8" w:space="0"/>
        <w:left w:val="single" w:color="FDCF39" w:themeColor="accent3" w:themeTint="BF" w:sz="8" w:space="0"/>
        <w:bottom w:val="single" w:color="FDCF39" w:themeColor="accent3" w:themeTint="BF" w:sz="8" w:space="0"/>
        <w:right w:val="single" w:color="FDCF39" w:themeColor="accent3" w:themeTint="BF" w:sz="8" w:space="0"/>
        <w:insideH w:val="single" w:color="FDCF39" w:themeColor="accent3" w:themeTint="BF" w:sz="8" w:space="0"/>
        <w:insideV w:val="single" w:color="FDCF39" w:themeColor="accent3" w:themeTint="BF" w:sz="8" w:space="0"/>
      </w:tblBorders>
      <w:tblCellMar>
        <w:top w:w="0" w:type="dxa"/>
        <w:left w:w="108" w:type="dxa"/>
        <w:bottom w:w="0" w:type="dxa"/>
        <w:right w:w="108" w:type="dxa"/>
      </w:tblCellMar>
    </w:tblPr>
    <w:tcPr>
      <w:shd w:val="clear" w:color="auto" w:fill="FEEFBD" w:themeFill="accent3" w:themeFillTint="3F"/>
    </w:tcPr>
    <w:tblStylePr w:type="firstRow">
      <w:rPr>
        <w:b/>
        <w:bCs/>
      </w:rPr>
    </w:tblStylePr>
    <w:tblStylePr w:type="lastRow">
      <w:rPr>
        <w:b/>
        <w:bCs/>
      </w:rPr>
      <w:tblPr/>
      <w:tcPr>
        <w:tcBorders>
          <w:top w:val="single" w:color="FDCF39" w:themeColor="accent3" w:themeTint="BF" w:sz="18" w:space="0"/>
        </w:tcBorders>
      </w:tcPr>
    </w:tblStylePr>
    <w:tblStylePr w:type="firstCol">
      <w:rPr>
        <w:b/>
        <w:bCs/>
      </w:rPr>
    </w:tblStylePr>
    <w:tblStylePr w:type="lastCol">
      <w:rPr>
        <w:b/>
        <w:bCs/>
      </w:rPr>
    </w:tblStylePr>
    <w:tblStylePr w:type="band1Vert">
      <w:tblPr/>
      <w:tcPr>
        <w:shd w:val="clear" w:color="auto" w:fill="FDDF7B" w:themeFill="accent3" w:themeFillTint="7F"/>
      </w:tcPr>
    </w:tblStylePr>
    <w:tblStylePr w:type="band1Horz">
      <w:tblPr/>
      <w:tcPr>
        <w:shd w:val="clear" w:color="auto" w:fill="FDDF7B" w:themeFill="accent3" w:themeFillTint="7F"/>
      </w:tcPr>
    </w:tblStylePr>
  </w:style>
  <w:style w:type="table" w:styleId="87">
    <w:name w:val="Medium Grid 1 Accent 4"/>
    <w:basedOn w:val="32"/>
    <w:qFormat/>
    <w:uiPriority w:val="67"/>
    <w:pPr>
      <w:spacing w:after="0" w:line="240" w:lineRule="auto"/>
    </w:pPr>
    <w:tblPr>
      <w:tblBorders>
        <w:top w:val="single" w:color="97CD71" w:themeColor="accent4" w:themeTint="BF" w:sz="8" w:space="0"/>
        <w:left w:val="single" w:color="97CD71" w:themeColor="accent4" w:themeTint="BF" w:sz="8" w:space="0"/>
        <w:bottom w:val="single" w:color="97CD71" w:themeColor="accent4" w:themeTint="BF" w:sz="8" w:space="0"/>
        <w:right w:val="single" w:color="97CD71" w:themeColor="accent4" w:themeTint="BF" w:sz="8" w:space="0"/>
        <w:insideH w:val="single" w:color="97CD71" w:themeColor="accent4" w:themeTint="BF" w:sz="8" w:space="0"/>
        <w:insideV w:val="single" w:color="97CD71" w:themeColor="accent4" w:themeTint="BF" w:sz="8" w:space="0"/>
      </w:tblBorders>
      <w:tblCellMar>
        <w:top w:w="0" w:type="dxa"/>
        <w:left w:w="108" w:type="dxa"/>
        <w:bottom w:w="0" w:type="dxa"/>
        <w:right w:w="108" w:type="dxa"/>
      </w:tblCellMar>
    </w:tblPr>
    <w:tcPr>
      <w:shd w:val="clear" w:color="auto" w:fill="DCEED0" w:themeFill="accent4" w:themeFillTint="3F"/>
    </w:tcPr>
    <w:tblStylePr w:type="firstRow">
      <w:rPr>
        <w:b/>
        <w:bCs/>
      </w:rPr>
    </w:tblStylePr>
    <w:tblStylePr w:type="lastRow">
      <w:rPr>
        <w:b/>
        <w:bCs/>
      </w:rPr>
      <w:tblPr/>
      <w:tcPr>
        <w:tcBorders>
          <w:top w:val="single" w:color="97CD71" w:themeColor="accent4" w:themeTint="BF" w:sz="18" w:space="0"/>
        </w:tcBorders>
      </w:tcPr>
    </w:tblStylePr>
    <w:tblStylePr w:type="firstCol">
      <w:rPr>
        <w:b/>
        <w:bCs/>
      </w:rPr>
    </w:tblStylePr>
    <w:tblStylePr w:type="lastCol">
      <w:rPr>
        <w:b/>
        <w:bCs/>
      </w:rPr>
    </w:tblStylePr>
    <w:tblStylePr w:type="band1Vert">
      <w:tblPr/>
      <w:tcPr>
        <w:shd w:val="clear" w:color="auto" w:fill="BADEA0" w:themeFill="accent4" w:themeFillTint="7F"/>
      </w:tcPr>
    </w:tblStylePr>
    <w:tblStylePr w:type="band1Horz">
      <w:tblPr/>
      <w:tcPr>
        <w:shd w:val="clear" w:color="auto" w:fill="BADEA0" w:themeFill="accent4" w:themeFillTint="7F"/>
      </w:tcPr>
    </w:tblStylePr>
  </w:style>
  <w:style w:type="table" w:styleId="88">
    <w:name w:val="Medium Grid 1 Accent 5"/>
    <w:basedOn w:val="32"/>
    <w:qFormat/>
    <w:uiPriority w:val="67"/>
    <w:pPr>
      <w:spacing w:after="0" w:line="240" w:lineRule="auto"/>
    </w:pPr>
    <w:tblPr>
      <w:tblBorders>
        <w:top w:val="single" w:color="5DD6CC" w:themeColor="accent5" w:themeTint="BF" w:sz="8" w:space="0"/>
        <w:left w:val="single" w:color="5DD6CC" w:themeColor="accent5" w:themeTint="BF" w:sz="8" w:space="0"/>
        <w:bottom w:val="single" w:color="5DD6CC" w:themeColor="accent5" w:themeTint="BF" w:sz="8" w:space="0"/>
        <w:right w:val="single" w:color="5DD6CC" w:themeColor="accent5" w:themeTint="BF" w:sz="8" w:space="0"/>
        <w:insideH w:val="single" w:color="5DD6CC" w:themeColor="accent5" w:themeTint="BF" w:sz="8" w:space="0"/>
        <w:insideV w:val="single" w:color="5DD6CC" w:themeColor="accent5" w:themeTint="BF" w:sz="8" w:space="0"/>
      </w:tblBorders>
      <w:tblCellMar>
        <w:top w:w="0" w:type="dxa"/>
        <w:left w:w="108" w:type="dxa"/>
        <w:bottom w:w="0" w:type="dxa"/>
        <w:right w:w="108" w:type="dxa"/>
      </w:tblCellMar>
    </w:tblPr>
    <w:tcPr>
      <w:shd w:val="clear" w:color="auto" w:fill="C9F1EE" w:themeFill="accent5" w:themeFillTint="3F"/>
    </w:tcPr>
    <w:tblStylePr w:type="firstRow">
      <w:rPr>
        <w:b/>
        <w:bCs/>
      </w:rPr>
    </w:tblStylePr>
    <w:tblStylePr w:type="lastRow">
      <w:rPr>
        <w:b/>
        <w:bCs/>
      </w:rPr>
      <w:tblPr/>
      <w:tcPr>
        <w:tcBorders>
          <w:top w:val="single" w:color="5DD6CC" w:themeColor="accent5" w:themeTint="BF" w:sz="18" w:space="0"/>
        </w:tcBorders>
      </w:tcPr>
    </w:tblStylePr>
    <w:tblStylePr w:type="firstCol">
      <w:rPr>
        <w:b/>
        <w:bCs/>
      </w:rPr>
    </w:tblStylePr>
    <w:tblStylePr w:type="lastCol">
      <w:rPr>
        <w:b/>
        <w:bCs/>
      </w:rPr>
    </w:tblStylePr>
    <w:tblStylePr w:type="band1Vert">
      <w:tblPr/>
      <w:tcPr>
        <w:shd w:val="clear" w:color="auto" w:fill="93E4DD" w:themeFill="accent5" w:themeFillTint="7F"/>
      </w:tcPr>
    </w:tblStylePr>
    <w:tblStylePr w:type="band1Horz">
      <w:tblPr/>
      <w:tcPr>
        <w:shd w:val="clear" w:color="auto" w:fill="93E4DD" w:themeFill="accent5" w:themeFillTint="7F"/>
      </w:tcPr>
    </w:tblStylePr>
  </w:style>
  <w:style w:type="table" w:styleId="89">
    <w:name w:val="Medium Grid 1 Accent 6"/>
    <w:basedOn w:val="32"/>
    <w:qFormat/>
    <w:uiPriority w:val="67"/>
    <w:pPr>
      <w:spacing w:after="0" w:line="240" w:lineRule="auto"/>
    </w:pPr>
    <w:tblPr>
      <w:tblBorders>
        <w:top w:val="single" w:color="EB7886" w:themeColor="accent6" w:themeTint="BF" w:sz="8" w:space="0"/>
        <w:left w:val="single" w:color="EB7886" w:themeColor="accent6" w:themeTint="BF" w:sz="8" w:space="0"/>
        <w:bottom w:val="single" w:color="EB7886" w:themeColor="accent6" w:themeTint="BF" w:sz="8" w:space="0"/>
        <w:right w:val="single" w:color="EB7886" w:themeColor="accent6" w:themeTint="BF" w:sz="8" w:space="0"/>
        <w:insideH w:val="single" w:color="EB7886" w:themeColor="accent6" w:themeTint="BF" w:sz="8" w:space="0"/>
        <w:insideV w:val="single" w:color="EB7886" w:themeColor="accent6" w:themeTint="BF" w:sz="8" w:space="0"/>
      </w:tblBorders>
      <w:tblCellMar>
        <w:top w:w="0" w:type="dxa"/>
        <w:left w:w="108" w:type="dxa"/>
        <w:bottom w:w="0" w:type="dxa"/>
        <w:right w:w="108" w:type="dxa"/>
      </w:tblCellMar>
    </w:tblPr>
    <w:tcPr>
      <w:shd w:val="clear" w:color="auto" w:fill="F8D2D7" w:themeFill="accent6" w:themeFillTint="3F"/>
    </w:tcPr>
    <w:tblStylePr w:type="firstRow">
      <w:rPr>
        <w:b/>
        <w:bCs/>
      </w:rPr>
    </w:tblStylePr>
    <w:tblStylePr w:type="lastRow">
      <w:rPr>
        <w:b/>
        <w:bCs/>
      </w:rPr>
      <w:tblPr/>
      <w:tcPr>
        <w:tcBorders>
          <w:top w:val="single" w:color="EB7886" w:themeColor="accent6" w:themeTint="BF" w:sz="18" w:space="0"/>
        </w:tcBorders>
      </w:tcPr>
    </w:tblStylePr>
    <w:tblStylePr w:type="firstCol">
      <w:rPr>
        <w:b/>
        <w:bCs/>
      </w:rPr>
    </w:tblStylePr>
    <w:tblStylePr w:type="lastCol">
      <w:rPr>
        <w:b/>
        <w:bCs/>
      </w:rPr>
    </w:tblStylePr>
    <w:tblStylePr w:type="band1Vert">
      <w:tblPr/>
      <w:tcPr>
        <w:shd w:val="clear" w:color="auto" w:fill="F2A5AE" w:themeFill="accent6" w:themeFillTint="7F"/>
      </w:tcPr>
    </w:tblStylePr>
    <w:tblStylePr w:type="band1Horz">
      <w:tblPr/>
      <w:tcPr>
        <w:shd w:val="clear" w:color="auto" w:fill="F2A5AE"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
    <w:tcPr>
      <w:shd w:val="clear" w:color="auto" w:fill="D1DCF2" w:themeFill="accent1" w:themeFillTint="3F"/>
    </w:tcPr>
    <w:tblStylePr w:type="firstRow">
      <w:rPr>
        <w:b/>
        <w:bCs/>
        <w:color w:val="000000" w:themeColor="text1"/>
        <w14:textFill>
          <w14:solidFill>
            <w14:schemeClr w14:val="tx1"/>
          </w14:solidFill>
        </w14:textFill>
      </w:rPr>
      <w:tblPr/>
      <w:tcPr>
        <w:shd w:val="clear" w:color="auto" w:fill="EDF1F9"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3F4" w:themeFill="accent1" w:themeFillTint="33"/>
      </w:tcPr>
    </w:tblStylePr>
    <w:tblStylePr w:type="band1Vert">
      <w:tblPr/>
      <w:tcPr>
        <w:shd w:val="clear" w:color="auto" w:fill="A3B9E5" w:themeFill="accent1" w:themeFillTint="7F"/>
      </w:tcPr>
    </w:tblStylePr>
    <w:tblStylePr w:type="band1Horz">
      <w:tblPr/>
      <w:tcPr>
        <w:tcBorders>
          <w:insideH w:val="single" w:sz="6" w:space="0"/>
          <w:insideV w:val="single" w:sz="6" w:space="0"/>
        </w:tcBorders>
        <w:shd w:val="clear" w:color="auto" w:fill="A3B9E5"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EE822F" w:themeColor="accent2" w:sz="8" w:space="0"/>
        <w:left w:val="single" w:color="EE822F" w:themeColor="accent2" w:sz="8" w:space="0"/>
        <w:bottom w:val="single" w:color="EE822F" w:themeColor="accent2" w:sz="8" w:space="0"/>
        <w:right w:val="single" w:color="EE822F" w:themeColor="accent2" w:sz="8" w:space="0"/>
        <w:insideH w:val="single" w:color="EE822F" w:themeColor="accent2" w:sz="8" w:space="0"/>
        <w:insideV w:val="single" w:color="EE822F" w:themeColor="accent2" w:sz="8" w:space="0"/>
      </w:tblBorders>
      <w:tblCellMar>
        <w:top w:w="0" w:type="dxa"/>
        <w:left w:w="108" w:type="dxa"/>
        <w:bottom w:w="0" w:type="dxa"/>
        <w:right w:w="108" w:type="dxa"/>
      </w:tblCellMar>
    </w:tblPr>
    <w:tcPr>
      <w:shd w:val="clear" w:color="auto" w:fill="FAE0CB" w:themeFill="accent2" w:themeFillTint="3F"/>
    </w:tcPr>
    <w:tblStylePr w:type="firstRow">
      <w:rPr>
        <w:b/>
        <w:bCs/>
        <w:color w:val="000000" w:themeColor="text1"/>
        <w14:textFill>
          <w14:solidFill>
            <w14:schemeClr w14:val="tx1"/>
          </w14:solidFill>
        </w14:textFill>
      </w:rPr>
      <w:tblPr/>
      <w:tcPr>
        <w:shd w:val="clear" w:color="auto" w:fill="FDF2EA"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BE5D5" w:themeFill="accent2" w:themeFillTint="33"/>
      </w:tcPr>
    </w:tblStylePr>
    <w:tblStylePr w:type="band1Vert">
      <w:tblPr/>
      <w:tcPr>
        <w:shd w:val="clear" w:color="auto" w:fill="F6C097" w:themeFill="accent2" w:themeFillTint="7F"/>
      </w:tcPr>
    </w:tblStylePr>
    <w:tblStylePr w:type="band1Horz">
      <w:tblPr/>
      <w:tcPr>
        <w:tcBorders>
          <w:insideH w:val="single" w:sz="6" w:space="0"/>
          <w:insideV w:val="single" w:sz="6" w:space="0"/>
        </w:tcBorders>
        <w:shd w:val="clear" w:color="auto" w:fill="F6C097"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2BA02" w:themeColor="accent3" w:sz="8" w:space="0"/>
        <w:left w:val="single" w:color="F2BA02" w:themeColor="accent3" w:sz="8" w:space="0"/>
        <w:bottom w:val="single" w:color="F2BA02" w:themeColor="accent3" w:sz="8" w:space="0"/>
        <w:right w:val="single" w:color="F2BA02" w:themeColor="accent3" w:sz="8" w:space="0"/>
        <w:insideH w:val="single" w:color="F2BA02" w:themeColor="accent3" w:sz="8" w:space="0"/>
        <w:insideV w:val="single" w:color="F2BA02" w:themeColor="accent3" w:sz="8" w:space="0"/>
      </w:tblBorders>
      <w:tblCellMar>
        <w:top w:w="0" w:type="dxa"/>
        <w:left w:w="108" w:type="dxa"/>
        <w:bottom w:w="0" w:type="dxa"/>
        <w:right w:w="108" w:type="dxa"/>
      </w:tblCellMar>
    </w:tblPr>
    <w:tcPr>
      <w:shd w:val="clear" w:color="auto" w:fill="FEEFBD" w:themeFill="accent3" w:themeFillTint="3F"/>
    </w:tcPr>
    <w:tblStylePr w:type="firstRow">
      <w:rPr>
        <w:b/>
        <w:bCs/>
        <w:color w:val="000000" w:themeColor="text1"/>
        <w14:textFill>
          <w14:solidFill>
            <w14:schemeClr w14:val="tx1"/>
          </w14:solidFill>
        </w14:textFill>
      </w:rPr>
      <w:tblPr/>
      <w:tcPr>
        <w:shd w:val="clear" w:color="auto" w:fill="FEF8E5"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EF2CA" w:themeFill="accent3" w:themeFillTint="33"/>
      </w:tcPr>
    </w:tblStylePr>
    <w:tblStylePr w:type="band1Vert">
      <w:tblPr/>
      <w:tcPr>
        <w:shd w:val="clear" w:color="auto" w:fill="FDDF7B" w:themeFill="accent3" w:themeFillTint="7F"/>
      </w:tcPr>
    </w:tblStylePr>
    <w:tblStylePr w:type="band1Horz">
      <w:tblPr/>
      <w:tcPr>
        <w:tcBorders>
          <w:insideH w:val="single" w:sz="6" w:space="0"/>
          <w:insideV w:val="single" w:sz="6" w:space="0"/>
        </w:tcBorders>
        <w:shd w:val="clear" w:color="auto" w:fill="FDDF7B"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75BD42" w:themeColor="accent4" w:sz="8" w:space="0"/>
        <w:left w:val="single" w:color="75BD42" w:themeColor="accent4" w:sz="8" w:space="0"/>
        <w:bottom w:val="single" w:color="75BD42" w:themeColor="accent4" w:sz="8" w:space="0"/>
        <w:right w:val="single" w:color="75BD42" w:themeColor="accent4" w:sz="8" w:space="0"/>
        <w:insideH w:val="single" w:color="75BD42" w:themeColor="accent4" w:sz="8" w:space="0"/>
        <w:insideV w:val="single" w:color="75BD42" w:themeColor="accent4" w:sz="8" w:space="0"/>
      </w:tblBorders>
      <w:tblCellMar>
        <w:top w:w="0" w:type="dxa"/>
        <w:left w:w="108" w:type="dxa"/>
        <w:bottom w:w="0" w:type="dxa"/>
        <w:right w:w="108" w:type="dxa"/>
      </w:tblCellMar>
    </w:tblPr>
    <w:tcPr>
      <w:shd w:val="clear" w:color="auto" w:fill="DCEED0" w:themeFill="accent4" w:themeFillTint="3F"/>
    </w:tcPr>
    <w:tblStylePr w:type="firstRow">
      <w:rPr>
        <w:b/>
        <w:bCs/>
        <w:color w:val="000000" w:themeColor="text1"/>
        <w14:textFill>
          <w14:solidFill>
            <w14:schemeClr w14:val="tx1"/>
          </w14:solidFill>
        </w14:textFill>
      </w:rPr>
      <w:tblPr/>
      <w:tcPr>
        <w:shd w:val="clear" w:color="auto" w:fill="F1F8EC"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3F1D9" w:themeFill="accent4" w:themeFillTint="33"/>
      </w:tcPr>
    </w:tblStylePr>
    <w:tblStylePr w:type="band1Vert">
      <w:tblPr/>
      <w:tcPr>
        <w:shd w:val="clear" w:color="auto" w:fill="BADEA0" w:themeFill="accent4" w:themeFillTint="7F"/>
      </w:tcPr>
    </w:tblStylePr>
    <w:tblStylePr w:type="band1Horz">
      <w:tblPr/>
      <w:tcPr>
        <w:tcBorders>
          <w:insideH w:val="single" w:sz="6" w:space="0"/>
          <w:insideV w:val="single" w:sz="6" w:space="0"/>
        </w:tcBorders>
        <w:shd w:val="clear" w:color="auto" w:fill="BADEA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30C0B4" w:themeColor="accent5" w:sz="8" w:space="0"/>
        <w:left w:val="single" w:color="30C0B4" w:themeColor="accent5" w:sz="8" w:space="0"/>
        <w:bottom w:val="single" w:color="30C0B4" w:themeColor="accent5" w:sz="8" w:space="0"/>
        <w:right w:val="single" w:color="30C0B4" w:themeColor="accent5" w:sz="8" w:space="0"/>
        <w:insideH w:val="single" w:color="30C0B4" w:themeColor="accent5" w:sz="8" w:space="0"/>
        <w:insideV w:val="single" w:color="30C0B4" w:themeColor="accent5" w:sz="8" w:space="0"/>
      </w:tblBorders>
      <w:tblCellMar>
        <w:top w:w="0" w:type="dxa"/>
        <w:left w:w="108" w:type="dxa"/>
        <w:bottom w:w="0" w:type="dxa"/>
        <w:right w:w="108" w:type="dxa"/>
      </w:tblCellMar>
    </w:tblPr>
    <w:tcPr>
      <w:shd w:val="clear" w:color="auto" w:fill="C9F1EE" w:themeFill="accent5" w:themeFillTint="3F"/>
    </w:tcPr>
    <w:tblStylePr w:type="firstRow">
      <w:rPr>
        <w:b/>
        <w:bCs/>
        <w:color w:val="000000" w:themeColor="text1"/>
        <w14:textFill>
          <w14:solidFill>
            <w14:schemeClr w14:val="tx1"/>
          </w14:solidFill>
        </w14:textFill>
      </w:rPr>
      <w:tblPr/>
      <w:tcPr>
        <w:shd w:val="clear" w:color="auto" w:fill="E9F9F8"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3F4F1" w:themeFill="accent5" w:themeFillTint="33"/>
      </w:tcPr>
    </w:tblStylePr>
    <w:tblStylePr w:type="band1Vert">
      <w:tblPr/>
      <w:tcPr>
        <w:shd w:val="clear" w:color="auto" w:fill="93E4DD" w:themeFill="accent5" w:themeFillTint="7F"/>
      </w:tcPr>
    </w:tblStylePr>
    <w:tblStylePr w:type="band1Horz">
      <w:tblPr/>
      <w:tcPr>
        <w:tcBorders>
          <w:insideH w:val="single" w:sz="6" w:space="0"/>
          <w:insideV w:val="single" w:sz="6" w:space="0"/>
        </w:tcBorders>
        <w:shd w:val="clear" w:color="auto" w:fill="93E4DD"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E54C5E" w:themeColor="accent6" w:sz="8" w:space="0"/>
        <w:left w:val="single" w:color="E54C5E" w:themeColor="accent6" w:sz="8" w:space="0"/>
        <w:bottom w:val="single" w:color="E54C5E" w:themeColor="accent6" w:sz="8" w:space="0"/>
        <w:right w:val="single" w:color="E54C5E" w:themeColor="accent6" w:sz="8" w:space="0"/>
        <w:insideH w:val="single" w:color="E54C5E" w:themeColor="accent6" w:sz="8" w:space="0"/>
        <w:insideV w:val="single" w:color="E54C5E" w:themeColor="accent6" w:sz="8" w:space="0"/>
      </w:tblBorders>
      <w:tblCellMar>
        <w:top w:w="0" w:type="dxa"/>
        <w:left w:w="108" w:type="dxa"/>
        <w:bottom w:w="0" w:type="dxa"/>
        <w:right w:w="108" w:type="dxa"/>
      </w:tblCellMar>
    </w:tblPr>
    <w:tcPr>
      <w:shd w:val="clear" w:color="auto" w:fill="F8D2D7" w:themeFill="accent6" w:themeFillTint="3F"/>
    </w:tcPr>
    <w:tblStylePr w:type="firstRow">
      <w:rPr>
        <w:b/>
        <w:bCs/>
        <w:color w:val="000000" w:themeColor="text1"/>
        <w14:textFill>
          <w14:solidFill>
            <w14:schemeClr w14:val="tx1"/>
          </w14:solidFill>
        </w14:textFill>
      </w:rPr>
      <w:tblPr/>
      <w:tcPr>
        <w:shd w:val="clear" w:color="auto" w:fill="FCEDEF"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9DBDE" w:themeFill="accent6" w:themeFillTint="33"/>
      </w:tcPr>
    </w:tblStylePr>
    <w:tblStylePr w:type="band1Vert">
      <w:tblPr/>
      <w:tcPr>
        <w:shd w:val="clear" w:color="auto" w:fill="F2A5AE" w:themeFill="accent6" w:themeFillTint="7F"/>
      </w:tcPr>
    </w:tblStylePr>
    <w:tblStylePr w:type="band1Horz">
      <w:tblPr/>
      <w:tcPr>
        <w:tcBorders>
          <w:insideH w:val="single" w:sz="6" w:space="0"/>
          <w:insideV w:val="single" w:sz="6" w:space="0"/>
        </w:tcBorders>
        <w:shd w:val="clear" w:color="auto" w:fill="F2A5AE"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1DCF2"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874CB"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874CB"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874CB"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874CB"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3B9E5"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3B9E5"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AE0CB"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EE822F"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EE822F"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EE822F"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EE822F"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6C097"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6C097"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EEFBD"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2BA02"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2BA02"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2BA02"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2BA02"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DDF7B"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DDF7B"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CEED0"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75BD4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75BD4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75BD4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75BD4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ADEA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ADEA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9F1EE"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30C0B4"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30C0B4"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30C0B4"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30C0B4"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93E4DD"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93E4DD"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8D2D7"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E54C5E"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E54C5E"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E54C5E"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E54C5E"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2A5AE"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2A5AE"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874CB"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1E376A"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2D54A0"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2D54A0" w:themeFill="accent1" w:themeFillShade="BF"/>
      </w:tcPr>
    </w:tblStylePr>
    <w:tblStylePr w:type="band1Vert">
      <w:tblPr/>
      <w:tcPr>
        <w:tcBorders>
          <w:top w:val="nil"/>
          <w:left w:val="nil"/>
          <w:bottom w:val="nil"/>
          <w:right w:val="nil"/>
          <w:insideH w:val="nil"/>
          <w:insideV w:val="nil"/>
        </w:tcBorders>
        <w:shd w:val="clear" w:color="auto" w:fill="2D54A0" w:themeFill="accent1" w:themeFillShade="BF"/>
      </w:tcPr>
    </w:tblStylePr>
    <w:tblStylePr w:type="band1Horz">
      <w:tblPr/>
      <w:tcPr>
        <w:tcBorders>
          <w:top w:val="nil"/>
          <w:left w:val="nil"/>
          <w:bottom w:val="nil"/>
          <w:right w:val="nil"/>
          <w:insideH w:val="nil"/>
          <w:insideV w:val="nil"/>
        </w:tcBorders>
        <w:shd w:val="clear" w:color="auto" w:fill="2D54A0"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EE822F"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833F0A"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C55E10"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C55E10" w:themeFill="accent2" w:themeFillShade="BF"/>
      </w:tcPr>
    </w:tblStylePr>
    <w:tblStylePr w:type="band1Vert">
      <w:tblPr/>
      <w:tcPr>
        <w:tcBorders>
          <w:top w:val="nil"/>
          <w:left w:val="nil"/>
          <w:bottom w:val="nil"/>
          <w:right w:val="nil"/>
          <w:insideH w:val="nil"/>
          <w:insideV w:val="nil"/>
        </w:tcBorders>
        <w:shd w:val="clear" w:color="auto" w:fill="C55E10" w:themeFill="accent2" w:themeFillShade="BF"/>
      </w:tcPr>
    </w:tblStylePr>
    <w:tblStylePr w:type="band1Horz">
      <w:tblPr/>
      <w:tcPr>
        <w:tcBorders>
          <w:top w:val="nil"/>
          <w:left w:val="nil"/>
          <w:bottom w:val="nil"/>
          <w:right w:val="nil"/>
          <w:insideH w:val="nil"/>
          <w:insideV w:val="nil"/>
        </w:tcBorders>
        <w:shd w:val="clear" w:color="auto" w:fill="C55E10"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2BA02"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785C00"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B58B01"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B58B01" w:themeFill="accent3" w:themeFillShade="BF"/>
      </w:tcPr>
    </w:tblStylePr>
    <w:tblStylePr w:type="band1Vert">
      <w:tblPr/>
      <w:tcPr>
        <w:tcBorders>
          <w:top w:val="nil"/>
          <w:left w:val="nil"/>
          <w:bottom w:val="nil"/>
          <w:right w:val="nil"/>
          <w:insideH w:val="nil"/>
          <w:insideV w:val="nil"/>
        </w:tcBorders>
        <w:shd w:val="clear" w:color="auto" w:fill="B58B01" w:themeFill="accent3" w:themeFillShade="BF"/>
      </w:tcPr>
    </w:tblStylePr>
    <w:tblStylePr w:type="band1Horz">
      <w:tblPr/>
      <w:tcPr>
        <w:tcBorders>
          <w:top w:val="nil"/>
          <w:left w:val="nil"/>
          <w:bottom w:val="nil"/>
          <w:right w:val="nil"/>
          <w:insideH w:val="nil"/>
          <w:insideV w:val="nil"/>
        </w:tcBorders>
        <w:shd w:val="clear" w:color="auto" w:fill="B58B01"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75BD4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A5E20"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78D31"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78D31" w:themeFill="accent4" w:themeFillShade="BF"/>
      </w:tcPr>
    </w:tblStylePr>
    <w:tblStylePr w:type="band1Vert">
      <w:tblPr/>
      <w:tcPr>
        <w:tcBorders>
          <w:top w:val="nil"/>
          <w:left w:val="nil"/>
          <w:bottom w:val="nil"/>
          <w:right w:val="nil"/>
          <w:insideH w:val="nil"/>
          <w:insideV w:val="nil"/>
        </w:tcBorders>
        <w:shd w:val="clear" w:color="auto" w:fill="578D31" w:themeFill="accent4" w:themeFillShade="BF"/>
      </w:tcPr>
    </w:tblStylePr>
    <w:tblStylePr w:type="band1Horz">
      <w:tblPr/>
      <w:tcPr>
        <w:tcBorders>
          <w:top w:val="nil"/>
          <w:left w:val="nil"/>
          <w:bottom w:val="nil"/>
          <w:right w:val="nil"/>
          <w:insideH w:val="nil"/>
          <w:insideV w:val="nil"/>
        </w:tcBorders>
        <w:shd w:val="clear" w:color="auto" w:fill="578D31"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30C0B4"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175F59"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238F86"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238F86" w:themeFill="accent5" w:themeFillShade="BF"/>
      </w:tcPr>
    </w:tblStylePr>
    <w:tblStylePr w:type="band1Vert">
      <w:tblPr/>
      <w:tcPr>
        <w:tcBorders>
          <w:top w:val="nil"/>
          <w:left w:val="nil"/>
          <w:bottom w:val="nil"/>
          <w:right w:val="nil"/>
          <w:insideH w:val="nil"/>
          <w:insideV w:val="nil"/>
        </w:tcBorders>
        <w:shd w:val="clear" w:color="auto" w:fill="238F86" w:themeFill="accent5" w:themeFillShade="BF"/>
      </w:tcPr>
    </w:tblStylePr>
    <w:tblStylePr w:type="band1Horz">
      <w:tblPr/>
      <w:tcPr>
        <w:tcBorders>
          <w:top w:val="nil"/>
          <w:left w:val="nil"/>
          <w:bottom w:val="nil"/>
          <w:right w:val="nil"/>
          <w:insideH w:val="nil"/>
          <w:insideV w:val="nil"/>
        </w:tcBorders>
        <w:shd w:val="clear" w:color="auto" w:fill="238F86"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E54C5E"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841320"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C71C31"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C71C31" w:themeFill="accent6" w:themeFillShade="BF"/>
      </w:tcPr>
    </w:tblStylePr>
    <w:tblStylePr w:type="band1Vert">
      <w:tblPr/>
      <w:tcPr>
        <w:tcBorders>
          <w:top w:val="nil"/>
          <w:left w:val="nil"/>
          <w:bottom w:val="nil"/>
          <w:right w:val="nil"/>
          <w:insideH w:val="nil"/>
          <w:insideV w:val="nil"/>
        </w:tcBorders>
        <w:shd w:val="clear" w:color="auto" w:fill="C71C31" w:themeFill="accent6" w:themeFillShade="BF"/>
      </w:tcPr>
    </w:tblStylePr>
    <w:tblStylePr w:type="band1Horz">
      <w:tblPr/>
      <w:tcPr>
        <w:tcBorders>
          <w:top w:val="nil"/>
          <w:left w:val="nil"/>
          <w:bottom w:val="nil"/>
          <w:right w:val="nil"/>
          <w:insideH w:val="nil"/>
          <w:insideV w:val="nil"/>
        </w:tcBorders>
        <w:shd w:val="clear" w:color="auto" w:fill="C71C31"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EE822F"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EE822F"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EE822F" w:themeColor="accent2" w:sz="24" w:space="0"/>
        <w:left w:val="single" w:color="4874CB" w:themeColor="accent1" w:sz="4" w:space="0"/>
        <w:bottom w:val="single" w:color="4874CB" w:themeColor="accent1" w:sz="4" w:space="0"/>
        <w:right w:val="single" w:color="4874CB"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1F9" w:themeFill="accent1" w:themeFillTint="19"/>
    </w:tcPr>
    <w:tblStylePr w:type="firstRow">
      <w:rPr>
        <w:b/>
        <w:bCs/>
      </w:rPr>
      <w:tblPr/>
      <w:tcPr>
        <w:tcBorders>
          <w:top w:val="nil"/>
          <w:left w:val="nil"/>
          <w:bottom w:val="single" w:color="EE822F"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44380"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44380"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44380" w:themeFill="accent1" w:themeFillShade="99"/>
      </w:tcPr>
    </w:tblStylePr>
    <w:tblStylePr w:type="band1Vert">
      <w:tblPr/>
      <w:tcPr>
        <w:shd w:val="clear" w:color="auto" w:fill="B5C7EA" w:themeFill="accent1" w:themeFillTint="66"/>
      </w:tcPr>
    </w:tblStylePr>
    <w:tblStylePr w:type="band1Horz">
      <w:tblPr/>
      <w:tcPr>
        <w:shd w:val="clear" w:color="auto" w:fill="A3B9E5"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EE822F" w:themeColor="accent2" w:sz="24" w:space="0"/>
        <w:left w:val="single" w:color="EE822F" w:themeColor="accent2" w:sz="4" w:space="0"/>
        <w:bottom w:val="single" w:color="EE822F" w:themeColor="accent2" w:sz="4" w:space="0"/>
        <w:right w:val="single" w:color="EE822F"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DF2EA" w:themeFill="accent2" w:themeFillTint="19"/>
    </w:tcPr>
    <w:tblStylePr w:type="firstRow">
      <w:rPr>
        <w:b/>
        <w:bCs/>
      </w:rPr>
      <w:tblPr/>
      <w:tcPr>
        <w:tcBorders>
          <w:top w:val="nil"/>
          <w:left w:val="nil"/>
          <w:bottom w:val="single" w:color="EE822F"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9E4B0C"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9E4B0C"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9E4B0C" w:themeFill="accent2" w:themeFillShade="99"/>
      </w:tcPr>
    </w:tblStylePr>
    <w:tblStylePr w:type="band1Vert">
      <w:tblPr/>
      <w:tcPr>
        <w:shd w:val="clear" w:color="auto" w:fill="F8CCAB" w:themeFill="accent2" w:themeFillTint="66"/>
      </w:tcPr>
    </w:tblStylePr>
    <w:tblStylePr w:type="band1Horz">
      <w:tblPr/>
      <w:tcPr>
        <w:shd w:val="clear" w:color="auto" w:fill="F6C097"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75BD42" w:themeColor="accent4" w:sz="24" w:space="0"/>
        <w:left w:val="single" w:color="F2BA02" w:themeColor="accent3" w:sz="4" w:space="0"/>
        <w:bottom w:val="single" w:color="F2BA02" w:themeColor="accent3" w:sz="4" w:space="0"/>
        <w:right w:val="single" w:color="F2BA02"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8E5" w:themeFill="accent3" w:themeFillTint="19"/>
    </w:tcPr>
    <w:tblStylePr w:type="firstRow">
      <w:rPr>
        <w:b/>
        <w:bCs/>
      </w:rPr>
      <w:tblPr/>
      <w:tcPr>
        <w:tcBorders>
          <w:top w:val="nil"/>
          <w:left w:val="nil"/>
          <w:bottom w:val="single" w:color="75BD4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916F01"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916F01"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916F01" w:themeFill="accent3" w:themeFillShade="99"/>
      </w:tcPr>
    </w:tblStylePr>
    <w:tblStylePr w:type="band1Vert">
      <w:tblPr/>
      <w:tcPr>
        <w:shd w:val="clear" w:color="auto" w:fill="FEE595" w:themeFill="accent3" w:themeFillTint="66"/>
      </w:tcPr>
    </w:tblStylePr>
    <w:tblStylePr w:type="band1Horz">
      <w:tblPr/>
      <w:tcPr>
        <w:shd w:val="clear" w:color="auto" w:fill="FDDF7B"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F2BA02" w:themeColor="accent3" w:sz="24" w:space="0"/>
        <w:left w:val="single" w:color="75BD42" w:themeColor="accent4" w:sz="4" w:space="0"/>
        <w:bottom w:val="single" w:color="75BD42" w:themeColor="accent4" w:sz="4" w:space="0"/>
        <w:right w:val="single" w:color="75BD4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1F8EC" w:themeFill="accent4" w:themeFillTint="19"/>
    </w:tcPr>
    <w:tblStylePr w:type="firstRow">
      <w:rPr>
        <w:b/>
        <w:bCs/>
      </w:rPr>
      <w:tblPr/>
      <w:tcPr>
        <w:tcBorders>
          <w:top w:val="nil"/>
          <w:left w:val="nil"/>
          <w:bottom w:val="single" w:color="F2BA02"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67127"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67127"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67127" w:themeFill="accent4" w:themeFillShade="99"/>
      </w:tcPr>
    </w:tblStylePr>
    <w:tblStylePr w:type="band1Vert">
      <w:tblPr/>
      <w:tcPr>
        <w:shd w:val="clear" w:color="auto" w:fill="C7E4B3" w:themeFill="accent4" w:themeFillTint="66"/>
      </w:tcPr>
    </w:tblStylePr>
    <w:tblStylePr w:type="band1Horz">
      <w:tblPr/>
      <w:tcPr>
        <w:shd w:val="clear" w:color="auto" w:fill="BADEA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E54C5E" w:themeColor="accent6" w:sz="24" w:space="0"/>
        <w:left w:val="single" w:color="30C0B4" w:themeColor="accent5" w:sz="4" w:space="0"/>
        <w:bottom w:val="single" w:color="30C0B4" w:themeColor="accent5" w:sz="4" w:space="0"/>
        <w:right w:val="single" w:color="30C0B4"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9F9F8" w:themeFill="accent5" w:themeFillTint="19"/>
    </w:tcPr>
    <w:tblStylePr w:type="firstRow">
      <w:rPr>
        <w:b/>
        <w:bCs/>
      </w:rPr>
      <w:tblPr/>
      <w:tcPr>
        <w:tcBorders>
          <w:top w:val="nil"/>
          <w:left w:val="nil"/>
          <w:bottom w:val="single" w:color="E54C5E"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1C736B"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1C736B"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1C736B" w:themeFill="accent5" w:themeFillShade="99"/>
      </w:tcPr>
    </w:tblStylePr>
    <w:tblStylePr w:type="band1Vert">
      <w:tblPr/>
      <w:tcPr>
        <w:shd w:val="clear" w:color="auto" w:fill="A8E9E3" w:themeFill="accent5" w:themeFillTint="66"/>
      </w:tcPr>
    </w:tblStylePr>
    <w:tblStylePr w:type="band1Horz">
      <w:tblPr/>
      <w:tcPr>
        <w:shd w:val="clear" w:color="auto" w:fill="93E4DD"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30C0B4" w:themeColor="accent5" w:sz="24" w:space="0"/>
        <w:left w:val="single" w:color="E54C5E" w:themeColor="accent6" w:sz="4" w:space="0"/>
        <w:bottom w:val="single" w:color="E54C5E" w:themeColor="accent6" w:sz="4" w:space="0"/>
        <w:right w:val="single" w:color="E54C5E"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CEDEF" w:themeFill="accent6" w:themeFillTint="19"/>
    </w:tcPr>
    <w:tblStylePr w:type="firstRow">
      <w:rPr>
        <w:b/>
        <w:bCs/>
      </w:rPr>
      <w:tblPr/>
      <w:tcPr>
        <w:tcBorders>
          <w:top w:val="nil"/>
          <w:left w:val="nil"/>
          <w:bottom w:val="single" w:color="30C0B4"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9F172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9F172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9F1727" w:themeFill="accent6" w:themeFillShade="99"/>
      </w:tcPr>
    </w:tblStylePr>
    <w:tblStylePr w:type="band1Vert">
      <w:tblPr/>
      <w:tcPr>
        <w:shd w:val="clear" w:color="auto" w:fill="F4B7BE" w:themeFill="accent6" w:themeFillTint="66"/>
      </w:tcPr>
    </w:tblStylePr>
    <w:tblStylePr w:type="band1Horz">
      <w:tblPr/>
      <w:tcPr>
        <w:shd w:val="clear" w:color="auto" w:fill="F2A5AE"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26511" w:themeFill="accent2" w:themeFillShade="CC"/>
      </w:tcPr>
    </w:tblStylePr>
    <w:tblStylePr w:type="lastRow">
      <w:rPr>
        <w:b/>
        <w:bCs/>
        <w:color w:val="D36511"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1F9"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26511" w:themeFill="accent2" w:themeFillShade="CC"/>
      </w:tcPr>
    </w:tblStylePr>
    <w:tblStylePr w:type="lastRow">
      <w:rPr>
        <w:b/>
        <w:bCs/>
        <w:color w:val="D36511"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1DCF2" w:themeFill="accent1" w:themeFillTint="3F"/>
      </w:tcPr>
    </w:tblStylePr>
    <w:tblStylePr w:type="band1Horz">
      <w:tblPr/>
      <w:tcPr>
        <w:shd w:val="clear" w:color="auto" w:fill="DAE3F4"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DF2EA"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26511" w:themeFill="accent2" w:themeFillShade="CC"/>
      </w:tcPr>
    </w:tblStylePr>
    <w:tblStylePr w:type="lastRow">
      <w:rPr>
        <w:b/>
        <w:bCs/>
        <w:color w:val="D36511"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E0CB" w:themeFill="accent2" w:themeFillTint="3F"/>
      </w:tcPr>
    </w:tblStylePr>
    <w:tblStylePr w:type="band1Horz">
      <w:tblPr/>
      <w:tcPr>
        <w:shd w:val="clear" w:color="auto" w:fill="FBE5D5"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8E5"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5D9734" w:themeFill="accent4" w:themeFillShade="CC"/>
      </w:tcPr>
    </w:tblStylePr>
    <w:tblStylePr w:type="lastRow">
      <w:rPr>
        <w:b/>
        <w:bCs/>
        <w:color w:val="5E9735"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EEFBD" w:themeFill="accent3" w:themeFillTint="3F"/>
      </w:tcPr>
    </w:tblStylePr>
    <w:tblStylePr w:type="band1Horz">
      <w:tblPr/>
      <w:tcPr>
        <w:shd w:val="clear" w:color="auto" w:fill="FEF2CA"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1F8EC"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C19401" w:themeFill="accent3" w:themeFillShade="CC"/>
      </w:tcPr>
    </w:tblStylePr>
    <w:tblStylePr w:type="lastRow">
      <w:rPr>
        <w:b/>
        <w:bCs/>
        <w:color w:val="C29502"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CEED0" w:themeFill="accent4" w:themeFillTint="3F"/>
      </w:tcPr>
    </w:tblStylePr>
    <w:tblStylePr w:type="band1Horz">
      <w:tblPr/>
      <w:tcPr>
        <w:shd w:val="clear" w:color="auto" w:fill="E3F1D9"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9F9F8"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51E34" w:themeFill="accent6" w:themeFillShade="CC"/>
      </w:tcPr>
    </w:tblStylePr>
    <w:tblStylePr w:type="lastRow">
      <w:rPr>
        <w:b/>
        <w:bCs/>
        <w:color w:val="D51F34"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9F1EE" w:themeFill="accent5" w:themeFillTint="3F"/>
      </w:tcPr>
    </w:tblStylePr>
    <w:tblStylePr w:type="band1Horz">
      <w:tblPr/>
      <w:tcPr>
        <w:shd w:val="clear" w:color="auto" w:fill="D3F4F1"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CEDEF"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26998F" w:themeFill="accent5" w:themeFillShade="CC"/>
      </w:tcPr>
    </w:tblStylePr>
    <w:tblStylePr w:type="lastRow">
      <w:rPr>
        <w:b/>
        <w:bCs/>
        <w:color w:val="269A90"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8D2D7" w:themeFill="accent6" w:themeFillTint="3F"/>
      </w:tcPr>
    </w:tblStylePr>
    <w:tblStylePr w:type="band1Horz">
      <w:tblPr/>
      <w:tcPr>
        <w:shd w:val="clear" w:color="auto" w:fill="F9DBDE"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3F4" w:themeFill="accent1" w:themeFillTint="33"/>
    </w:tcPr>
    <w:tblStylePr w:type="firstRow">
      <w:rPr>
        <w:b/>
        <w:bCs/>
      </w:rPr>
      <w:tblPr/>
      <w:tcPr>
        <w:shd w:val="clear" w:color="auto" w:fill="B5C7EA" w:themeFill="accent1" w:themeFillTint="66"/>
      </w:tcPr>
    </w:tblStylePr>
    <w:tblStylePr w:type="lastRow">
      <w:rPr>
        <w:b/>
        <w:bCs/>
        <w:color w:val="000000" w:themeColor="text1"/>
        <w14:textFill>
          <w14:solidFill>
            <w14:schemeClr w14:val="tx1"/>
          </w14:solidFill>
        </w14:textFill>
      </w:rPr>
      <w:tblPr/>
      <w:tcPr>
        <w:shd w:val="clear" w:color="auto" w:fill="B5C7EA" w:themeFill="accent1" w:themeFillTint="66"/>
      </w:tcPr>
    </w:tblStylePr>
    <w:tblStylePr w:type="firstCol">
      <w:rPr>
        <w:color w:val="FFFFFF" w:themeColor="background1"/>
        <w14:textFill>
          <w14:solidFill>
            <w14:schemeClr w14:val="bg1"/>
          </w14:solidFill>
        </w14:textFill>
      </w:rPr>
      <w:tblPr/>
      <w:tcPr>
        <w:shd w:val="clear" w:color="auto" w:fill="2D54A0" w:themeFill="accent1" w:themeFillShade="BF"/>
      </w:tcPr>
    </w:tblStylePr>
    <w:tblStylePr w:type="lastCol">
      <w:rPr>
        <w:color w:val="FFFFFF" w:themeColor="background1"/>
        <w14:textFill>
          <w14:solidFill>
            <w14:schemeClr w14:val="bg1"/>
          </w14:solidFill>
        </w14:textFill>
      </w:rPr>
      <w:tblPr/>
      <w:tcPr>
        <w:shd w:val="clear" w:color="auto" w:fill="2D54A0" w:themeFill="accent1" w:themeFillShade="BF"/>
      </w:tcPr>
    </w:tblStylePr>
    <w:tblStylePr w:type="band1Vert">
      <w:tblPr/>
      <w:tcPr>
        <w:shd w:val="clear" w:color="auto" w:fill="A3B9E5" w:themeFill="accent1" w:themeFillTint="7F"/>
      </w:tcPr>
    </w:tblStylePr>
    <w:tblStylePr w:type="band1Horz">
      <w:tblPr/>
      <w:tcPr>
        <w:shd w:val="clear" w:color="auto" w:fill="A3B9E5"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BE5D5" w:themeFill="accent2" w:themeFillTint="33"/>
    </w:tcPr>
    <w:tblStylePr w:type="firstRow">
      <w:rPr>
        <w:b/>
        <w:bCs/>
      </w:rPr>
      <w:tblPr/>
      <w:tcPr>
        <w:shd w:val="clear" w:color="auto" w:fill="F8CCAB" w:themeFill="accent2" w:themeFillTint="66"/>
      </w:tcPr>
    </w:tblStylePr>
    <w:tblStylePr w:type="lastRow">
      <w:rPr>
        <w:b/>
        <w:bCs/>
        <w:color w:val="000000" w:themeColor="text1"/>
        <w14:textFill>
          <w14:solidFill>
            <w14:schemeClr w14:val="tx1"/>
          </w14:solidFill>
        </w14:textFill>
      </w:rPr>
      <w:tblPr/>
      <w:tcPr>
        <w:shd w:val="clear" w:color="auto" w:fill="F8CCAB" w:themeFill="accent2" w:themeFillTint="66"/>
      </w:tcPr>
    </w:tblStylePr>
    <w:tblStylePr w:type="firstCol">
      <w:rPr>
        <w:color w:val="FFFFFF" w:themeColor="background1"/>
        <w14:textFill>
          <w14:solidFill>
            <w14:schemeClr w14:val="bg1"/>
          </w14:solidFill>
        </w14:textFill>
      </w:rPr>
      <w:tblPr/>
      <w:tcPr>
        <w:shd w:val="clear" w:color="auto" w:fill="C55E10" w:themeFill="accent2" w:themeFillShade="BF"/>
      </w:tcPr>
    </w:tblStylePr>
    <w:tblStylePr w:type="lastCol">
      <w:rPr>
        <w:color w:val="FFFFFF" w:themeColor="background1"/>
        <w14:textFill>
          <w14:solidFill>
            <w14:schemeClr w14:val="bg1"/>
          </w14:solidFill>
        </w14:textFill>
      </w:rPr>
      <w:tblPr/>
      <w:tcPr>
        <w:shd w:val="clear" w:color="auto" w:fill="C55E10" w:themeFill="accent2" w:themeFillShade="BF"/>
      </w:tcPr>
    </w:tblStylePr>
    <w:tblStylePr w:type="band1Vert">
      <w:tblPr/>
      <w:tcPr>
        <w:shd w:val="clear" w:color="auto" w:fill="F6C097" w:themeFill="accent2" w:themeFillTint="7F"/>
      </w:tcPr>
    </w:tblStylePr>
    <w:tblStylePr w:type="band1Horz">
      <w:tblPr/>
      <w:tcPr>
        <w:shd w:val="clear" w:color="auto" w:fill="F6C097"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EF2CA" w:themeFill="accent3" w:themeFillTint="33"/>
    </w:tcPr>
    <w:tblStylePr w:type="firstRow">
      <w:rPr>
        <w:b/>
        <w:bCs/>
      </w:rPr>
      <w:tblPr/>
      <w:tcPr>
        <w:shd w:val="clear" w:color="auto" w:fill="FEE595" w:themeFill="accent3" w:themeFillTint="66"/>
      </w:tcPr>
    </w:tblStylePr>
    <w:tblStylePr w:type="lastRow">
      <w:rPr>
        <w:b/>
        <w:bCs/>
        <w:color w:val="000000" w:themeColor="text1"/>
        <w14:textFill>
          <w14:solidFill>
            <w14:schemeClr w14:val="tx1"/>
          </w14:solidFill>
        </w14:textFill>
      </w:rPr>
      <w:tblPr/>
      <w:tcPr>
        <w:shd w:val="clear" w:color="auto" w:fill="FEE595" w:themeFill="accent3" w:themeFillTint="66"/>
      </w:tcPr>
    </w:tblStylePr>
    <w:tblStylePr w:type="firstCol">
      <w:rPr>
        <w:color w:val="FFFFFF" w:themeColor="background1"/>
        <w14:textFill>
          <w14:solidFill>
            <w14:schemeClr w14:val="bg1"/>
          </w14:solidFill>
        </w14:textFill>
      </w:rPr>
      <w:tblPr/>
      <w:tcPr>
        <w:shd w:val="clear" w:color="auto" w:fill="B58B01" w:themeFill="accent3" w:themeFillShade="BF"/>
      </w:tcPr>
    </w:tblStylePr>
    <w:tblStylePr w:type="lastCol">
      <w:rPr>
        <w:color w:val="FFFFFF" w:themeColor="background1"/>
        <w14:textFill>
          <w14:solidFill>
            <w14:schemeClr w14:val="bg1"/>
          </w14:solidFill>
        </w14:textFill>
      </w:rPr>
      <w:tblPr/>
      <w:tcPr>
        <w:shd w:val="clear" w:color="auto" w:fill="B58B01" w:themeFill="accent3" w:themeFillShade="BF"/>
      </w:tcPr>
    </w:tblStylePr>
    <w:tblStylePr w:type="band1Vert">
      <w:tblPr/>
      <w:tcPr>
        <w:shd w:val="clear" w:color="auto" w:fill="FDDF7B" w:themeFill="accent3" w:themeFillTint="7F"/>
      </w:tcPr>
    </w:tblStylePr>
    <w:tblStylePr w:type="band1Horz">
      <w:tblPr/>
      <w:tcPr>
        <w:shd w:val="clear" w:color="auto" w:fill="FDDF7B"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3F1D9" w:themeFill="accent4" w:themeFillTint="33"/>
    </w:tcPr>
    <w:tblStylePr w:type="firstRow">
      <w:rPr>
        <w:b/>
        <w:bCs/>
      </w:rPr>
      <w:tblPr/>
      <w:tcPr>
        <w:shd w:val="clear" w:color="auto" w:fill="C7E4B3" w:themeFill="accent4" w:themeFillTint="66"/>
      </w:tcPr>
    </w:tblStylePr>
    <w:tblStylePr w:type="lastRow">
      <w:rPr>
        <w:b/>
        <w:bCs/>
        <w:color w:val="000000" w:themeColor="text1"/>
        <w14:textFill>
          <w14:solidFill>
            <w14:schemeClr w14:val="tx1"/>
          </w14:solidFill>
        </w14:textFill>
      </w:rPr>
      <w:tblPr/>
      <w:tcPr>
        <w:shd w:val="clear" w:color="auto" w:fill="C7E4B3" w:themeFill="accent4" w:themeFillTint="66"/>
      </w:tcPr>
    </w:tblStylePr>
    <w:tblStylePr w:type="firstCol">
      <w:rPr>
        <w:color w:val="FFFFFF" w:themeColor="background1"/>
        <w14:textFill>
          <w14:solidFill>
            <w14:schemeClr w14:val="bg1"/>
          </w14:solidFill>
        </w14:textFill>
      </w:rPr>
      <w:tblPr/>
      <w:tcPr>
        <w:shd w:val="clear" w:color="auto" w:fill="578D31" w:themeFill="accent4" w:themeFillShade="BF"/>
      </w:tcPr>
    </w:tblStylePr>
    <w:tblStylePr w:type="lastCol">
      <w:rPr>
        <w:color w:val="FFFFFF" w:themeColor="background1"/>
        <w14:textFill>
          <w14:solidFill>
            <w14:schemeClr w14:val="bg1"/>
          </w14:solidFill>
        </w14:textFill>
      </w:rPr>
      <w:tblPr/>
      <w:tcPr>
        <w:shd w:val="clear" w:color="auto" w:fill="578D31" w:themeFill="accent4" w:themeFillShade="BF"/>
      </w:tcPr>
    </w:tblStylePr>
    <w:tblStylePr w:type="band1Vert">
      <w:tblPr/>
      <w:tcPr>
        <w:shd w:val="clear" w:color="auto" w:fill="BADEA0" w:themeFill="accent4" w:themeFillTint="7F"/>
      </w:tcPr>
    </w:tblStylePr>
    <w:tblStylePr w:type="band1Horz">
      <w:tblPr/>
      <w:tcPr>
        <w:shd w:val="clear" w:color="auto" w:fill="BADEA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3F4F1" w:themeFill="accent5" w:themeFillTint="33"/>
    </w:tcPr>
    <w:tblStylePr w:type="firstRow">
      <w:rPr>
        <w:b/>
        <w:bCs/>
      </w:rPr>
      <w:tblPr/>
      <w:tcPr>
        <w:shd w:val="clear" w:color="auto" w:fill="A8E9E3" w:themeFill="accent5" w:themeFillTint="66"/>
      </w:tcPr>
    </w:tblStylePr>
    <w:tblStylePr w:type="lastRow">
      <w:rPr>
        <w:b/>
        <w:bCs/>
        <w:color w:val="000000" w:themeColor="text1"/>
        <w14:textFill>
          <w14:solidFill>
            <w14:schemeClr w14:val="tx1"/>
          </w14:solidFill>
        </w14:textFill>
      </w:rPr>
      <w:tblPr/>
      <w:tcPr>
        <w:shd w:val="clear" w:color="auto" w:fill="A8E9E3" w:themeFill="accent5" w:themeFillTint="66"/>
      </w:tcPr>
    </w:tblStylePr>
    <w:tblStylePr w:type="firstCol">
      <w:rPr>
        <w:color w:val="FFFFFF" w:themeColor="background1"/>
        <w14:textFill>
          <w14:solidFill>
            <w14:schemeClr w14:val="bg1"/>
          </w14:solidFill>
        </w14:textFill>
      </w:rPr>
      <w:tblPr/>
      <w:tcPr>
        <w:shd w:val="clear" w:color="auto" w:fill="238F86" w:themeFill="accent5" w:themeFillShade="BF"/>
      </w:tcPr>
    </w:tblStylePr>
    <w:tblStylePr w:type="lastCol">
      <w:rPr>
        <w:color w:val="FFFFFF" w:themeColor="background1"/>
        <w14:textFill>
          <w14:solidFill>
            <w14:schemeClr w14:val="bg1"/>
          </w14:solidFill>
        </w14:textFill>
      </w:rPr>
      <w:tblPr/>
      <w:tcPr>
        <w:shd w:val="clear" w:color="auto" w:fill="238F86" w:themeFill="accent5" w:themeFillShade="BF"/>
      </w:tcPr>
    </w:tblStylePr>
    <w:tblStylePr w:type="band1Vert">
      <w:tblPr/>
      <w:tcPr>
        <w:shd w:val="clear" w:color="auto" w:fill="93E4DD" w:themeFill="accent5" w:themeFillTint="7F"/>
      </w:tcPr>
    </w:tblStylePr>
    <w:tblStylePr w:type="band1Horz">
      <w:tblPr/>
      <w:tcPr>
        <w:shd w:val="clear" w:color="auto" w:fill="93E4DD"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9DBDE" w:themeFill="accent6" w:themeFillTint="33"/>
    </w:tcPr>
    <w:tblStylePr w:type="firstRow">
      <w:rPr>
        <w:b/>
        <w:bCs/>
      </w:rPr>
      <w:tblPr/>
      <w:tcPr>
        <w:shd w:val="clear" w:color="auto" w:fill="F4B7BE" w:themeFill="accent6" w:themeFillTint="66"/>
      </w:tcPr>
    </w:tblStylePr>
    <w:tblStylePr w:type="lastRow">
      <w:rPr>
        <w:b/>
        <w:bCs/>
        <w:color w:val="000000" w:themeColor="text1"/>
        <w14:textFill>
          <w14:solidFill>
            <w14:schemeClr w14:val="tx1"/>
          </w14:solidFill>
        </w14:textFill>
      </w:rPr>
      <w:tblPr/>
      <w:tcPr>
        <w:shd w:val="clear" w:color="auto" w:fill="F4B7BE" w:themeFill="accent6" w:themeFillTint="66"/>
      </w:tcPr>
    </w:tblStylePr>
    <w:tblStylePr w:type="firstCol">
      <w:rPr>
        <w:color w:val="FFFFFF" w:themeColor="background1"/>
        <w14:textFill>
          <w14:solidFill>
            <w14:schemeClr w14:val="bg1"/>
          </w14:solidFill>
        </w14:textFill>
      </w:rPr>
      <w:tblPr/>
      <w:tcPr>
        <w:shd w:val="clear" w:color="auto" w:fill="C71C31" w:themeFill="accent6" w:themeFillShade="BF"/>
      </w:tcPr>
    </w:tblStylePr>
    <w:tblStylePr w:type="lastCol">
      <w:rPr>
        <w:color w:val="FFFFFF" w:themeColor="background1"/>
        <w14:textFill>
          <w14:solidFill>
            <w14:schemeClr w14:val="bg1"/>
          </w14:solidFill>
        </w14:textFill>
      </w:rPr>
      <w:tblPr/>
      <w:tcPr>
        <w:shd w:val="clear" w:color="auto" w:fill="C71C31" w:themeFill="accent6" w:themeFillShade="BF"/>
      </w:tcPr>
    </w:tblStylePr>
    <w:tblStylePr w:type="band1Vert">
      <w:tblPr/>
      <w:tcPr>
        <w:shd w:val="clear" w:color="auto" w:fill="F2A5AE" w:themeFill="accent6" w:themeFillTint="7F"/>
      </w:tcPr>
    </w:tblStylePr>
    <w:tblStylePr w:type="band1Horz">
      <w:tblPr/>
      <w:tcPr>
        <w:shd w:val="clear" w:color="auto" w:fill="F2A5AE"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2E54A1"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874CB"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874CB"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333F50"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874CB"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874CB"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1E386B"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1E386B"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874CB"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874CB" w:themeColor="accent1" w:sz="4" w:space="4"/>
      </w:pBdr>
      <w:spacing w:before="200" w:after="280"/>
      <w:ind w:left="936" w:right="936"/>
    </w:pPr>
    <w:rPr>
      <w:b/>
      <w:bCs/>
      <w:i/>
      <w:iCs/>
      <w:color w:val="4874CB" w:themeColor="accent1"/>
      <w14:textFill>
        <w14:solidFill>
          <w14:schemeClr w14:val="accent1"/>
        </w14:solidFill>
      </w14:textFill>
    </w:rPr>
  </w:style>
  <w:style w:type="character" w:customStyle="1" w:styleId="157">
    <w:name w:val="Intense Quote Char"/>
    <w:basedOn w:val="132"/>
    <w:link w:val="156"/>
    <w:qFormat/>
    <w:uiPriority w:val="30"/>
    <w:rPr>
      <w:b/>
      <w:bCs/>
      <w:i/>
      <w:iCs/>
      <w:color w:val="4874CB"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874CB" w:themeColor="accent1"/>
      <w14:textFill>
        <w14:solidFill>
          <w14:schemeClr w14:val="accent1"/>
        </w14:solidFill>
      </w14:textFill>
    </w:rPr>
  </w:style>
  <w:style w:type="character" w:customStyle="1" w:styleId="160">
    <w:name w:val="Subtle Reference"/>
    <w:basedOn w:val="132"/>
    <w:qFormat/>
    <w:uiPriority w:val="31"/>
    <w:rPr>
      <w:smallCaps/>
      <w:color w:val="EE822F" w:themeColor="accent2"/>
      <w:u w:val="single"/>
      <w14:textFill>
        <w14:solidFill>
          <w14:schemeClr w14:val="accent2"/>
        </w14:solidFill>
      </w14:textFill>
    </w:rPr>
  </w:style>
  <w:style w:type="character" w:customStyle="1" w:styleId="161">
    <w:name w:val="Intense Reference"/>
    <w:basedOn w:val="132"/>
    <w:qFormat/>
    <w:uiPriority w:val="32"/>
    <w:rPr>
      <w:b/>
      <w:bCs/>
      <w:smallCaps/>
      <w:color w:val="EE822F"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Pages>
  <Words>3755</Words>
  <Characters>4370</Characters>
  <Lines>0</Lines>
  <Paragraphs>0</Paragraphs>
  <TotalTime>3</TotalTime>
  <ScaleCrop>false</ScaleCrop>
  <LinksUpToDate>false</LinksUpToDate>
  <CharactersWithSpaces>4484</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任坦坦</cp:lastModifiedBy>
  <dcterms:modified xsi:type="dcterms:W3CDTF">2026-03-13T07:00:42Z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eyJoZGlkIjoiMDMyZjEyMjdiYzk5MGYwOGM0ZTYwODZjYzI4ODdjNzYiLCJ1c2VySWQiOiI5NjExNDM1MzcifQ==</vt:lpwstr>
  </property>
  <property fmtid="{D5CDD505-2E9C-101B-9397-08002B2CF9AE}" pid="3" name="KSOProductBuildVer">
    <vt:lpwstr>2052-12.1.0.21171</vt:lpwstr>
  </property>
  <property fmtid="{D5CDD505-2E9C-101B-9397-08002B2CF9AE}" pid="4" name="ICV">
    <vt:lpwstr>DF9B464AA6924A5EA4F99CAB1E5F2066_12</vt:lpwstr>
  </property>
</Properties>
</file>