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3FC5C">
      <w:pPr>
        <w:pStyle w:val="31"/>
        <w:widowControl/>
        <w:ind w:firstLine="3534" w:firstLineChars="1100"/>
      </w:pPr>
      <w:r>
        <w:t>TDSC Study</w:t>
      </w:r>
    </w:p>
    <w:p w14:paraId="4DEB497D">
      <w:pPr>
        <w:pStyle w:val="31"/>
        <w:widowControl/>
      </w:pPr>
      <w:r>
        <w:t>TB22-SOP01 分中心预分析、采集、保存与运输（PAXgene 全血 RNA）</w:t>
      </w:r>
    </w:p>
    <w:p w14:paraId="09E8F44E">
      <w:pPr>
        <w:ind w:firstLine="440" w:firstLineChars="200"/>
        <w:jc w:val="both"/>
      </w:pPr>
      <w:r>
        <w:t>文件编号：TDSC-TB22-SOP01    版本：V1.0    生效日期：2026-02-09</w:t>
      </w:r>
    </w:p>
    <w:p w14:paraId="1FA98146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24DA7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CD8E6C3">
            <w:pPr>
              <w:spacing w:after="0" w:line="240" w:lineRule="auto"/>
            </w:pPr>
            <w:r>
              <w:t>起草</w:t>
            </w:r>
          </w:p>
        </w:tc>
        <w:tc>
          <w:tcPr>
            <w:tcW w:w="2500" w:type="pct"/>
            <w:vAlign w:val="center"/>
          </w:tcPr>
          <w:p w14:paraId="4EB65A5E">
            <w:pPr>
              <w:spacing w:after="0" w:line="240" w:lineRule="auto"/>
            </w:pPr>
            <w:r>
              <w:t>TDSC中心实验室与数据管理团队</w:t>
            </w:r>
          </w:p>
        </w:tc>
      </w:tr>
      <w:tr w14:paraId="287D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2EA3917">
            <w:pPr>
              <w:spacing w:after="0" w:line="240" w:lineRule="auto"/>
            </w:pPr>
            <w:r>
              <w:t>审核</w:t>
            </w:r>
          </w:p>
        </w:tc>
        <w:tc>
          <w:tcPr>
            <w:tcW w:w="2500" w:type="pct"/>
            <w:vAlign w:val="center"/>
          </w:tcPr>
          <w:p w14:paraId="764F415F">
            <w:pPr>
              <w:spacing w:after="0" w:line="240" w:lineRule="auto"/>
            </w:pPr>
            <w:r>
              <w:t>TDSC指导委员会</w:t>
            </w:r>
          </w:p>
        </w:tc>
      </w:tr>
      <w:tr w14:paraId="6232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271247F">
            <w:pPr>
              <w:spacing w:after="0" w:line="240" w:lineRule="auto"/>
            </w:pPr>
            <w:r>
              <w:t>批准</w:t>
            </w:r>
          </w:p>
        </w:tc>
        <w:tc>
          <w:tcPr>
            <w:tcW w:w="2500" w:type="pct"/>
            <w:vAlign w:val="center"/>
          </w:tcPr>
          <w:p w14:paraId="5D760CAA">
            <w:pPr>
              <w:spacing w:after="0" w:line="240" w:lineRule="auto"/>
            </w:pPr>
            <w:r>
              <w:t>主要研究者（PI）</w:t>
            </w:r>
          </w:p>
        </w:tc>
      </w:tr>
      <w:tr w14:paraId="6044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A632E7F">
            <w:pPr>
              <w:spacing w:after="0" w:line="240" w:lineRule="auto"/>
            </w:pPr>
            <w:r>
              <w:t>保密级别</w:t>
            </w:r>
          </w:p>
        </w:tc>
        <w:tc>
          <w:tcPr>
            <w:tcW w:w="2500" w:type="pct"/>
            <w:vAlign w:val="center"/>
          </w:tcPr>
          <w:p w14:paraId="4C295A7E">
            <w:pPr>
              <w:spacing w:after="0" w:line="240" w:lineRule="auto"/>
            </w:pPr>
            <w:r>
              <w:t>保密 – 仅限TDSC试验使用</w:t>
            </w:r>
          </w:p>
        </w:tc>
      </w:tr>
      <w:tr w14:paraId="1D46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DE72200">
            <w:pPr>
              <w:spacing w:after="0" w:line="240" w:lineRule="auto"/>
            </w:pPr>
            <w:r>
              <w:t>替代版本</w:t>
            </w:r>
          </w:p>
        </w:tc>
        <w:tc>
          <w:tcPr>
            <w:tcW w:w="2500" w:type="pct"/>
            <w:vAlign w:val="center"/>
          </w:tcPr>
          <w:p w14:paraId="329FFE90">
            <w:pPr>
              <w:spacing w:after="0" w:line="240" w:lineRule="auto"/>
            </w:pPr>
            <w:r>
              <w:t>无（新文件）</w:t>
            </w:r>
          </w:p>
        </w:tc>
      </w:tr>
      <w:tr w14:paraId="5D4C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D481C02">
            <w:pPr>
              <w:spacing w:after="0" w:line="240" w:lineRule="auto"/>
            </w:pPr>
            <w:r>
              <w:t>适用范围</w:t>
            </w:r>
          </w:p>
        </w:tc>
        <w:tc>
          <w:tcPr>
            <w:tcW w:w="2500" w:type="pct"/>
            <w:vAlign w:val="center"/>
          </w:tcPr>
          <w:p w14:paraId="250C4D91">
            <w:pPr>
              <w:spacing w:after="0" w:line="240" w:lineRule="auto"/>
            </w:pPr>
            <w:r>
              <w:t>TDSC各分中心与中心实验室</w:t>
            </w:r>
          </w:p>
        </w:tc>
      </w:tr>
      <w:tr w14:paraId="5557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F4D1138">
            <w:pPr>
              <w:spacing w:after="0" w:line="240" w:lineRule="auto"/>
            </w:pPr>
            <w:r>
              <w:t>分发范围</w:t>
            </w:r>
          </w:p>
        </w:tc>
        <w:tc>
          <w:tcPr>
            <w:tcW w:w="2500" w:type="pct"/>
            <w:vAlign w:val="center"/>
          </w:tcPr>
          <w:p w14:paraId="21058A02">
            <w:pPr>
              <w:spacing w:after="0" w:line="240" w:lineRule="auto"/>
            </w:pPr>
            <w:r>
              <w:t>研究者、分中心工作人员、中心实验室、数据管理团队</w:t>
            </w:r>
          </w:p>
        </w:tc>
      </w:tr>
    </w:tbl>
    <w:p w14:paraId="7991A6BC"/>
    <w:p w14:paraId="41A382CE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1DFA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669C3DC">
            <w:pPr>
              <w:spacing w:after="0" w:line="240" w:lineRule="auto"/>
            </w:pPr>
            <w:r>
              <w:t>版本</w:t>
            </w:r>
          </w:p>
        </w:tc>
        <w:tc>
          <w:tcPr>
            <w:tcW w:w="1250" w:type="pct"/>
          </w:tcPr>
          <w:p w14:paraId="042F5BAF">
            <w:pPr>
              <w:spacing w:after="0" w:line="240" w:lineRule="auto"/>
            </w:pPr>
            <w:r>
              <w:t>日期</w:t>
            </w:r>
          </w:p>
        </w:tc>
        <w:tc>
          <w:tcPr>
            <w:tcW w:w="1250" w:type="pct"/>
          </w:tcPr>
          <w:p w14:paraId="5CECB1B4">
            <w:pPr>
              <w:spacing w:after="0" w:line="240" w:lineRule="auto"/>
            </w:pPr>
            <w:r>
              <w:t>修订说明</w:t>
            </w:r>
          </w:p>
        </w:tc>
        <w:tc>
          <w:tcPr>
            <w:tcW w:w="1250" w:type="pct"/>
          </w:tcPr>
          <w:p w14:paraId="4F8384B0">
            <w:pPr>
              <w:spacing w:after="0" w:line="240" w:lineRule="auto"/>
            </w:pPr>
            <w:r>
              <w:t>负责人</w:t>
            </w:r>
          </w:p>
        </w:tc>
      </w:tr>
      <w:tr w14:paraId="01E0B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AF40A7F">
            <w:pPr>
              <w:spacing w:after="0" w:line="240" w:lineRule="auto"/>
            </w:pPr>
            <w:r>
              <w:t>V1.0</w:t>
            </w:r>
          </w:p>
        </w:tc>
        <w:tc>
          <w:tcPr>
            <w:tcW w:w="1250" w:type="pct"/>
          </w:tcPr>
          <w:p w14:paraId="32A9F3AA">
            <w:pPr>
              <w:spacing w:after="0" w:line="240" w:lineRule="auto"/>
            </w:pPr>
            <w:r>
              <w:t>2026-02-09</w:t>
            </w:r>
          </w:p>
        </w:tc>
        <w:tc>
          <w:tcPr>
            <w:tcW w:w="1250" w:type="pct"/>
          </w:tcPr>
          <w:p w14:paraId="5BB1BEA5">
            <w:pPr>
              <w:spacing w:after="0" w:line="240" w:lineRule="auto"/>
            </w:pPr>
            <w:r>
              <w:t>首次发布</w:t>
            </w:r>
          </w:p>
        </w:tc>
        <w:tc>
          <w:tcPr>
            <w:tcW w:w="1250" w:type="pct"/>
          </w:tcPr>
          <w:p w14:paraId="2A6D976D">
            <w:pPr>
              <w:spacing w:after="0" w:line="240" w:lineRule="auto"/>
            </w:pPr>
            <w:r>
              <w:t>TDSC团队</w:t>
            </w:r>
          </w:p>
        </w:tc>
      </w:tr>
    </w:tbl>
    <w:p w14:paraId="00AC96BB"/>
    <w:p w14:paraId="4DF0A62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44304F08">
      <w:pPr>
        <w:pStyle w:val="19"/>
        <w:widowControl/>
      </w:pPr>
      <w:r>
        <w:t>规范分中心采集与预分析处理、保存和运输PAXgene全血RNA样本用于TB22转录组检测，确保跨中心一致性与可审计的全链路追溯。</w:t>
      </w:r>
    </w:p>
    <w:p w14:paraId="3715C37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56AAFDF6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适用于TDSC所有分中心在研究方案规定的时间点采集TB22样本。</w:t>
      </w:r>
    </w:p>
    <w:p w14:paraId="26329DE3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仅覆盖分中心环节（采集、标识、室温孵育、冻存、库存与运输、偏差处理）。中心实验室环节见TB22-SOP02与TB22-SOP05。</w:t>
      </w:r>
    </w:p>
    <w:p w14:paraId="1F1AA46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定义与缩写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4B2F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8B2EBB3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TB22</w:t>
            </w:r>
          </w:p>
        </w:tc>
        <w:tc>
          <w:tcPr>
            <w:tcW w:w="6236" w:type="dxa"/>
          </w:tcPr>
          <w:p w14:paraId="242BD7E6">
            <w:pPr>
              <w:pStyle w:val="16"/>
              <w:numPr>
                <w:numId w:val="0"/>
              </w:numPr>
              <w:bidi w:val="0"/>
              <w:ind w:leftChars="0"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22基因外周血转录组评分，用于队列B第6个月决策门槛；数值结果对临床治疗团队保持盲态。</w:t>
            </w:r>
          </w:p>
        </w:tc>
      </w:tr>
      <w:tr w14:paraId="3FC6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41555C4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PAXgene Blood RNA 管</w:t>
            </w:r>
          </w:p>
        </w:tc>
        <w:tc>
          <w:tcPr>
            <w:tcW w:w="6236" w:type="dxa"/>
          </w:tcPr>
          <w:p w14:paraId="66CD8C19">
            <w:pPr>
              <w:pStyle w:val="16"/>
              <w:numPr>
                <w:numId w:val="0"/>
              </w:numPr>
              <w:bidi w:val="0"/>
              <w:ind w:leftChars="0"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用于稳定全血RNA的采血管。</w:t>
            </w:r>
          </w:p>
        </w:tc>
      </w:tr>
      <w:tr w14:paraId="4960E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76C756C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预分析（Pre-analytics）</w:t>
            </w:r>
          </w:p>
        </w:tc>
        <w:tc>
          <w:tcPr>
            <w:tcW w:w="6236" w:type="dxa"/>
          </w:tcPr>
          <w:p w14:paraId="02B56C77">
            <w:pPr>
              <w:pStyle w:val="16"/>
              <w:numPr>
                <w:numId w:val="0"/>
              </w:numPr>
              <w:bidi w:val="0"/>
              <w:ind w:leftChars="0"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从采血到进入长期冻存的全过程。</w:t>
            </w:r>
          </w:p>
        </w:tc>
      </w:tr>
      <w:tr w14:paraId="0D58D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348AED8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EDC</w:t>
            </w:r>
          </w:p>
        </w:tc>
        <w:tc>
          <w:tcPr>
            <w:tcW w:w="6236" w:type="dxa"/>
          </w:tcPr>
          <w:p w14:paraId="56632003">
            <w:pPr>
              <w:pStyle w:val="16"/>
              <w:numPr>
                <w:numId w:val="0"/>
              </w:numPr>
              <w:bidi w:val="0"/>
              <w:ind w:leftChars="0"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电子数据采集系统。</w:t>
            </w:r>
          </w:p>
        </w:tc>
      </w:tr>
      <w:tr w14:paraId="5802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3EFFE33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CoC</w:t>
            </w:r>
          </w:p>
        </w:tc>
        <w:tc>
          <w:tcPr>
            <w:tcW w:w="6236" w:type="dxa"/>
          </w:tcPr>
          <w:p w14:paraId="56215B70">
            <w:pPr>
              <w:pStyle w:val="16"/>
              <w:numPr>
                <w:numId w:val="0"/>
              </w:numPr>
              <w:bidi w:val="0"/>
              <w:ind w:leftChars="0"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运输交接链记录（发出至签收）。</w:t>
            </w:r>
          </w:p>
        </w:tc>
      </w:tr>
      <w:tr w14:paraId="6E8A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A1CBAF7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TAT</w:t>
            </w:r>
          </w:p>
        </w:tc>
        <w:tc>
          <w:tcPr>
            <w:tcW w:w="6236" w:type="dxa"/>
          </w:tcPr>
          <w:p w14:paraId="0EE18F7E">
            <w:pPr>
              <w:pStyle w:val="16"/>
              <w:numPr>
                <w:numId w:val="0"/>
              </w:numPr>
              <w:bidi w:val="0"/>
              <w:ind w:leftChars="0"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中心实验室收到样本至结果回传的周转时间。</w:t>
            </w:r>
          </w:p>
        </w:tc>
      </w:tr>
      <w:tr w14:paraId="693C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034318F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CAPA</w:t>
            </w:r>
          </w:p>
        </w:tc>
        <w:tc>
          <w:tcPr>
            <w:tcW w:w="6236" w:type="dxa"/>
          </w:tcPr>
          <w:p w14:paraId="774F9D3E">
            <w:pPr>
              <w:pStyle w:val="16"/>
              <w:numPr>
                <w:numId w:val="0"/>
              </w:numPr>
              <w:bidi w:val="0"/>
              <w:ind w:leftChars="0"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纠正与预防措施。</w:t>
            </w:r>
          </w:p>
        </w:tc>
      </w:tr>
    </w:tbl>
    <w:p w14:paraId="7BC8D6C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职责分工</w:t>
      </w:r>
    </w:p>
    <w:p w14:paraId="6C1A7458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分中心PI：负责人员培训与方案依从性。</w:t>
      </w:r>
    </w:p>
    <w:p w14:paraId="3222552A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研究护士/采血人员：完成采血与预分析处理，填写台账。</w:t>
      </w:r>
    </w:p>
    <w:p w14:paraId="5FA0204A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分中心协调员：管理库存、包装、预约运输，并完成CoC交接记录。</w:t>
      </w:r>
    </w:p>
    <w:p w14:paraId="0330ED37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中心实验室：确认签收、温控与台账核对，反馈偏差与处置建议。</w:t>
      </w:r>
    </w:p>
    <w:p w14:paraId="0D405F8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物资与设备</w:t>
      </w:r>
    </w:p>
    <w:p w14:paraId="3BEF6EF0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PAXgene Blood RNA 采血管（分中心备案批号）。</w:t>
      </w:r>
    </w:p>
    <w:p w14:paraId="61AF3EE9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预制标签/条码（受试者编号、访视编码、样本编号）。</w:t>
      </w:r>
    </w:p>
    <w:p w14:paraId="377AF51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计时器、直立放置架、个人防护用品。</w:t>
      </w:r>
    </w:p>
    <w:p w14:paraId="289F51BE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冰箱：-20°C（建议预冻）与-80°C（长期保存）；温度记录/监测。</w:t>
      </w:r>
    </w:p>
    <w:p w14:paraId="65741875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符合UN3373的包装材料、干冰、吸附材料；建议配备温度记录器。</w:t>
      </w:r>
    </w:p>
    <w:p w14:paraId="14D1A7E1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TB22样本台账与运输清单（见附录A）。</w:t>
      </w:r>
    </w:p>
    <w:p w14:paraId="1C6E9C4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操作流程</w:t>
      </w:r>
    </w:p>
    <w:p w14:paraId="0302B814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采集时间点与优先级</w:t>
      </w:r>
    </w:p>
    <w:p w14:paraId="52000EEF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严格按TDSC研究方案规定的访视时间点采集TB22样本。</w:t>
      </w:r>
    </w:p>
    <w:p w14:paraId="24A28BF3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队列B第6个月样本为关键决策样本（用于EDC PASS/FAIL并触发随机）。队列A样本用于探索性分析，试验全程对临床团队保持盲态。</w:t>
      </w:r>
    </w:p>
    <w:p w14:paraId="0D88335C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采血与混匀</w:t>
      </w:r>
    </w:p>
    <w:p w14:paraId="713196D6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核对受试者身份、队列与访视编码；采血前完成标签准备。</w:t>
      </w:r>
    </w:p>
    <w:p w14:paraId="21AE7BE4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按管体刻度与厂家说明将血液采集至PAXgene管的规定刻度。</w:t>
      </w:r>
    </w:p>
    <w:p w14:paraId="471F5613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采血后立即轻轻颠倒混匀8–10次，确保充分混匀。</w:t>
      </w:r>
    </w:p>
    <w:p w14:paraId="298434BA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粘贴标签：受试者编号、访视编码、样本编号、采血日期/时间、操作者缩写；禁止出现个人身份信息。</w:t>
      </w:r>
    </w:p>
    <w:p w14:paraId="15D5EB2E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室温稳定（关键控制点）</w:t>
      </w:r>
    </w:p>
    <w:p w14:paraId="77248DDD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采血后将管体直立置于室温（18–25°C），稳定阶段不得冷藏。</w:t>
      </w:r>
    </w:p>
    <w:p w14:paraId="73B3C64C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室温孵育2–4小时（目标区间），以完成RNA稳定固定。</w:t>
      </w:r>
    </w:p>
    <w:p w14:paraId="5ADDC76A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在TB22样本台账中记录孵育开始与结束时间。</w:t>
      </w:r>
    </w:p>
    <w:p w14:paraId="2327D270">
      <w:pPr>
        <w:pStyle w:val="4"/>
        <w:widowControl/>
      </w:pPr>
      <w:r>
        <w:t>6.4 冻存与库存管理</w:t>
      </w:r>
    </w:p>
    <w:p w14:paraId="178F2A22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推荐流程：先置于-20°C预冻（约24小时），再转入-80°C长期保存。</w:t>
      </w:r>
    </w:p>
    <w:p w14:paraId="004B4D1B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如无法完成-20°C预冻，可直接转入-80°C，但需记录为预分析偏差。</w:t>
      </w:r>
    </w:p>
    <w:p w14:paraId="38A15811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建立库存台账：分中心、冰箱编号、架/盒位置。</w:t>
      </w:r>
    </w:p>
    <w:p w14:paraId="6A77AF1E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避免反复冻融。</w:t>
      </w:r>
    </w:p>
    <w:p w14:paraId="695C414B">
      <w:pPr>
        <w:pStyle w:val="4"/>
        <w:widowControl/>
      </w:pPr>
      <w:r>
        <w:t>6.5 冷链运输至中心实验室</w:t>
      </w:r>
    </w:p>
    <w:p w14:paraId="074C830E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使用符合UN3373要求的包装，干冰运输；运输过程中目标温度≤-60°C。</w:t>
      </w:r>
    </w:p>
    <w:p w14:paraId="05FC731C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包内放置运输清单与CoC交接记录（与样本分隔）。</w:t>
      </w:r>
    </w:p>
    <w:p w14:paraId="3232897A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如具备条件，使用温度记录器，并将温度记录归档。</w:t>
      </w:r>
    </w:p>
    <w:p w14:paraId="3E0E181C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发运前通知中心实验室（运单号、承运方、预计到达时间）。</w:t>
      </w:r>
    </w:p>
    <w:p w14:paraId="4C8F6E36">
      <w:pPr>
        <w:pStyle w:val="4"/>
        <w:widowControl/>
      </w:pPr>
      <w:r>
        <w:t>6.6 签收核对与偏差处理</w:t>
      </w:r>
    </w:p>
    <w:p w14:paraId="2705B577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出现以下情况需24小时内记录偏差并通知中心实验室：标识错误、管体破损/渗漏、室温孵育超范围、冻存延迟、干冰不足、温度异常。</w:t>
      </w:r>
    </w:p>
    <w:p w14:paraId="5ACD5A9B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样本冻存后原则上不得自行重新贴签；如确需更正，必须经中心实验室批准并保留完整审计追踪。</w:t>
      </w:r>
    </w:p>
    <w:p w14:paraId="675EFD2A">
      <w:pPr>
        <w:pStyle w:val="3"/>
        <w:widowControl/>
        <w:numPr>
          <w:ilvl w:val="0"/>
          <w:numId w:val="14"/>
        </w:numPr>
        <w:ind w:left="0" w:leftChars="0" w:firstLine="0" w:firstLineChars="0"/>
        <w:rPr>
          <w:b/>
          <w:bdr w:val="none" w:sz="0" w:space="0"/>
        </w:rPr>
      </w:pPr>
      <w:r>
        <w:t>记录与归档</w:t>
      </w:r>
    </w:p>
    <w:p w14:paraId="22A0F8EC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TB22样本台账（附录A）：采血/混匀/孵育开始结束/冻存时间戳、库位、偏差。</w:t>
      </w:r>
    </w:p>
    <w:p w14:paraId="7F69E3C3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运输清单与CoC交接记录：发运时间、承运方、干冰量、温度记录器编号、签收确认。</w:t>
      </w:r>
    </w:p>
    <w:p w14:paraId="282F32E5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EDC录入：是否采集、采集时间戳、运输批次编号。</w:t>
      </w:r>
    </w:p>
    <w:p w14:paraId="5FD4BAAB">
      <w:pPr>
        <w:pStyle w:val="3"/>
        <w:widowControl/>
        <w:numPr>
          <w:ilvl w:val="0"/>
          <w:numId w:val="14"/>
        </w:numPr>
        <w:ind w:left="0" w:leftChars="0" w:firstLine="0" w:firstLineChars="0"/>
        <w:rPr>
          <w:b/>
          <w:bdr w:val="none" w:sz="0" w:space="0"/>
        </w:rPr>
      </w:pPr>
      <w:r>
        <w:t>参考文件</w:t>
      </w:r>
    </w:p>
    <w:p w14:paraId="6D9B78AB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TDSC研究方案（现行批准版本）。</w:t>
      </w:r>
    </w:p>
    <w:p w14:paraId="1AB867EC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TDSC SOP18 生物样本运输与保存（包装标准与温控记录）。</w:t>
      </w:r>
    </w:p>
    <w:p w14:paraId="0CCCEE38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PAXgene Blood RNA 管厂家说明书。</w:t>
      </w:r>
    </w:p>
    <w:p w14:paraId="1392634F">
      <w:pPr>
        <w:pStyle w:val="164"/>
        <w:widowControl/>
      </w:pPr>
      <w:r>
        <w:t>附录A：TB22样本台账—最小字段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15933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0818E2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字段</w:t>
            </w:r>
          </w:p>
        </w:tc>
        <w:tc>
          <w:tcPr>
            <w:tcW w:w="2500" w:type="pct"/>
          </w:tcPr>
          <w:p w14:paraId="3F0EFEC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说明</w:t>
            </w:r>
          </w:p>
        </w:tc>
      </w:tr>
      <w:tr w14:paraId="510F1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B4C823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受试者编号</w:t>
            </w:r>
          </w:p>
        </w:tc>
        <w:tc>
          <w:tcPr>
            <w:tcW w:w="2500" w:type="pct"/>
          </w:tcPr>
          <w:p w14:paraId="67632E7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试验受试者唯一编号</w:t>
            </w:r>
          </w:p>
        </w:tc>
      </w:tr>
      <w:tr w14:paraId="087DB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773C54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队列/组别</w:t>
            </w:r>
          </w:p>
        </w:tc>
        <w:tc>
          <w:tcPr>
            <w:tcW w:w="2500" w:type="pct"/>
          </w:tcPr>
          <w:p w14:paraId="13F3A9A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队列A或B；如适用注明组别</w:t>
            </w:r>
          </w:p>
        </w:tc>
      </w:tr>
      <w:tr w14:paraId="2973D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D2B5D1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访视编码</w:t>
            </w:r>
          </w:p>
        </w:tc>
        <w:tc>
          <w:tcPr>
            <w:tcW w:w="2500" w:type="pct"/>
          </w:tcPr>
          <w:p w14:paraId="666C525A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基线、M2、M6等（按方案）</w:t>
            </w:r>
          </w:p>
        </w:tc>
      </w:tr>
      <w:tr w14:paraId="5D05D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C812665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样本编号/条码</w:t>
            </w:r>
          </w:p>
        </w:tc>
        <w:tc>
          <w:tcPr>
            <w:tcW w:w="2500" w:type="pct"/>
          </w:tcPr>
          <w:p w14:paraId="4683F722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采血管唯一编号</w:t>
            </w:r>
          </w:p>
        </w:tc>
      </w:tr>
      <w:tr w14:paraId="76363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94E374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采血日期/时间</w:t>
            </w:r>
          </w:p>
        </w:tc>
        <w:tc>
          <w:tcPr>
            <w:tcW w:w="2500" w:type="pct"/>
          </w:tcPr>
          <w:p w14:paraId="3D76913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时间戳</w:t>
            </w:r>
          </w:p>
        </w:tc>
      </w:tr>
      <w:tr w14:paraId="7B9FD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3551E9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混匀完成时间</w:t>
            </w:r>
          </w:p>
        </w:tc>
        <w:tc>
          <w:tcPr>
            <w:tcW w:w="2500" w:type="pct"/>
          </w:tcPr>
          <w:p w14:paraId="7CF650B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时间戳</w:t>
            </w:r>
          </w:p>
        </w:tc>
      </w:tr>
      <w:tr w14:paraId="1BD0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62EE8B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室温孵育开始/结束</w:t>
            </w:r>
          </w:p>
        </w:tc>
        <w:tc>
          <w:tcPr>
            <w:tcW w:w="2500" w:type="pct"/>
          </w:tcPr>
          <w:p w14:paraId="469188F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时间戳</w:t>
            </w:r>
          </w:p>
        </w:tc>
      </w:tr>
      <w:tr w14:paraId="3AA7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798CA12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冻存时间与温度</w:t>
            </w:r>
          </w:p>
        </w:tc>
        <w:tc>
          <w:tcPr>
            <w:tcW w:w="2500" w:type="pct"/>
          </w:tcPr>
          <w:p w14:paraId="73AFF4EA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记录-20°C预冻与/或-80°C入库时间</w:t>
            </w:r>
          </w:p>
        </w:tc>
      </w:tr>
      <w:tr w14:paraId="5E2A7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33B1A3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库位</w:t>
            </w:r>
            <w:bookmarkStart w:id="0" w:name="_GoBack"/>
            <w:bookmarkEnd w:id="0"/>
          </w:p>
        </w:tc>
        <w:tc>
          <w:tcPr>
            <w:tcW w:w="2500" w:type="pct"/>
          </w:tcPr>
          <w:p w14:paraId="68DFE8C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冰箱编号/架/盒/孔位</w:t>
            </w:r>
          </w:p>
        </w:tc>
      </w:tr>
      <w:tr w14:paraId="075C2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A7CEB8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运输批次编号</w:t>
            </w:r>
          </w:p>
        </w:tc>
        <w:tc>
          <w:tcPr>
            <w:tcW w:w="2500" w:type="pct"/>
          </w:tcPr>
          <w:p w14:paraId="64839921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运单/批次编号</w:t>
            </w:r>
          </w:p>
        </w:tc>
      </w:tr>
      <w:tr w14:paraId="30A0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D99AF9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发运与签收时间</w:t>
            </w:r>
          </w:p>
        </w:tc>
        <w:tc>
          <w:tcPr>
            <w:tcW w:w="2500" w:type="pct"/>
          </w:tcPr>
          <w:p w14:paraId="68C5C21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时间戳</w:t>
            </w:r>
          </w:p>
        </w:tc>
      </w:tr>
      <w:tr w14:paraId="6579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212559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温度记录器编号与摘要</w:t>
            </w:r>
          </w:p>
        </w:tc>
        <w:tc>
          <w:tcPr>
            <w:tcW w:w="2500" w:type="pct"/>
          </w:tcPr>
          <w:p w14:paraId="0979E0D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如适用</w:t>
            </w:r>
          </w:p>
        </w:tc>
      </w:tr>
      <w:tr w14:paraId="3D6D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E8F7F3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偏差与纠正措施</w:t>
            </w:r>
          </w:p>
        </w:tc>
        <w:tc>
          <w:tcPr>
            <w:tcW w:w="2500" w:type="pct"/>
          </w:tcPr>
          <w:p w14:paraId="409229B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偏差编号与CAPA摘要</w:t>
            </w:r>
          </w:p>
        </w:tc>
      </w:tr>
    </w:tbl>
    <w:p w14:paraId="329C76F1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53492"/>
    <w:multiLevelType w:val="singleLevel"/>
    <w:tmpl w:val="8625349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88736491"/>
    <w:multiLevelType w:val="singleLevel"/>
    <w:tmpl w:val="88736491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">
    <w:nsid w:val="B61ABD4B"/>
    <w:multiLevelType w:val="singleLevel"/>
    <w:tmpl w:val="B61ABD4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B6546B2D"/>
    <w:multiLevelType w:val="singleLevel"/>
    <w:tmpl w:val="B6546B2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B932ACD2"/>
    <w:multiLevelType w:val="singleLevel"/>
    <w:tmpl w:val="B932ACD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E016F4F2"/>
    <w:multiLevelType w:val="singleLevel"/>
    <w:tmpl w:val="E016F4F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30FA066C"/>
    <w:multiLevelType w:val="singleLevel"/>
    <w:tmpl w:val="30FA066C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44CBD137"/>
    <w:multiLevelType w:val="singleLevel"/>
    <w:tmpl w:val="44CBD137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57B650A9"/>
    <w:multiLevelType w:val="singleLevel"/>
    <w:tmpl w:val="57B650A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4">
    <w:nsid w:val="61993384"/>
    <w:multiLevelType w:val="singleLevel"/>
    <w:tmpl w:val="61993384"/>
    <w:lvl w:ilvl="0" w:tentative="0">
      <w:start w:val="7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5">
    <w:nsid w:val="6CE25915"/>
    <w:multiLevelType w:val="singleLevel"/>
    <w:tmpl w:val="6CE2591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8"/>
  </w:num>
  <w:num w:numId="5">
    <w:abstractNumId w:val="6"/>
  </w:num>
  <w:num w:numId="6">
    <w:abstractNumId w:val="9"/>
  </w:num>
  <w:num w:numId="7">
    <w:abstractNumId w:val="15"/>
  </w:num>
  <w:num w:numId="8">
    <w:abstractNumId w:val="5"/>
  </w:num>
  <w:num w:numId="9">
    <w:abstractNumId w:val="2"/>
  </w:num>
  <w:num w:numId="10">
    <w:abstractNumId w:val="1"/>
  </w:num>
  <w:num w:numId="11">
    <w:abstractNumId w:val="3"/>
  </w:num>
  <w:num w:numId="12">
    <w:abstractNumId w:val="4"/>
  </w:num>
  <w:num w:numId="13">
    <w:abstractNumId w:val="0"/>
  </w:num>
  <w:num w:numId="14">
    <w:abstractNumId w:val="14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6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1671</Words>
  <Characters>1960</Characters>
  <Lines>0</Lines>
  <Paragraphs>0</Paragraphs>
  <TotalTime>1</TotalTime>
  <ScaleCrop>false</ScaleCrop>
  <LinksUpToDate>false</LinksUpToDate>
  <CharactersWithSpaces>2000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759AF7039CA24A83B5ABEFE2227C7AA8_12</vt:lpwstr>
  </property>
</Properties>
</file>