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733FD">
      <w:pPr>
        <w:pStyle w:val="31"/>
        <w:widowControl/>
        <w:ind w:firstLine="2891" w:firstLineChars="900"/>
      </w:pPr>
      <w:bookmarkStart w:id="0" w:name="_GoBack"/>
      <w:bookmarkEnd w:id="0"/>
      <w:r>
        <w:t>TDSC Study</w:t>
      </w:r>
    </w:p>
    <w:p w14:paraId="1126FB1E">
      <w:pPr>
        <w:pStyle w:val="31"/>
        <w:widowControl/>
      </w:pPr>
      <w:r>
        <w:t>TB22-SOP02 中心实验室RNA提取（PAXgene Blood RNA 管）</w:t>
      </w:r>
    </w:p>
    <w:p w14:paraId="0567BDA7">
      <w:pPr>
        <w:jc w:val="center"/>
      </w:pPr>
      <w:r>
        <w:t>文件编号：TDSC-TB22-SOP02    版本：V1.0    生效日期：2026-02-09</w:t>
      </w:r>
    </w:p>
    <w:p w14:paraId="5D398EF5"/>
    <w:p w14:paraId="1BE4A574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402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2E84ED5">
            <w:pPr>
              <w:pStyle w:val="19"/>
              <w:widowControl/>
            </w:pPr>
            <w:r>
              <w:t>起草</w:t>
            </w:r>
          </w:p>
        </w:tc>
        <w:tc>
          <w:tcPr>
            <w:tcW w:w="2500" w:type="pct"/>
            <w:vAlign w:val="center"/>
          </w:tcPr>
          <w:p w14:paraId="5E5855B2">
            <w:pPr>
              <w:pStyle w:val="19"/>
              <w:widowControl/>
            </w:pPr>
            <w:r>
              <w:t>TDSC中心实验室</w:t>
            </w:r>
          </w:p>
        </w:tc>
      </w:tr>
      <w:tr w14:paraId="4544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2380520">
            <w:pPr>
              <w:pStyle w:val="19"/>
              <w:widowControl/>
            </w:pPr>
            <w:r>
              <w:t>审核</w:t>
            </w:r>
          </w:p>
        </w:tc>
        <w:tc>
          <w:tcPr>
            <w:tcW w:w="2500" w:type="pct"/>
            <w:vAlign w:val="center"/>
          </w:tcPr>
          <w:p w14:paraId="71EFE1F1">
            <w:pPr>
              <w:pStyle w:val="19"/>
              <w:widowControl/>
            </w:pPr>
            <w:r>
              <w:t>TDSC实验室工作组</w:t>
            </w:r>
          </w:p>
        </w:tc>
      </w:tr>
      <w:tr w14:paraId="1B6D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EF85E29">
            <w:pPr>
              <w:pStyle w:val="19"/>
              <w:widowControl/>
            </w:pPr>
            <w:r>
              <w:t>批准</w:t>
            </w:r>
          </w:p>
        </w:tc>
        <w:tc>
          <w:tcPr>
            <w:tcW w:w="2500" w:type="pct"/>
            <w:vAlign w:val="center"/>
          </w:tcPr>
          <w:p w14:paraId="147986F8">
            <w:pPr>
              <w:pStyle w:val="19"/>
              <w:widowControl/>
            </w:pPr>
            <w:r>
              <w:t>实验室负责人</w:t>
            </w:r>
          </w:p>
        </w:tc>
      </w:tr>
      <w:tr w14:paraId="6887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747C180">
            <w:pPr>
              <w:pStyle w:val="19"/>
              <w:widowControl/>
            </w:pPr>
            <w:r>
              <w:t>保密级别</w:t>
            </w:r>
          </w:p>
        </w:tc>
        <w:tc>
          <w:tcPr>
            <w:tcW w:w="2500" w:type="pct"/>
            <w:vAlign w:val="center"/>
          </w:tcPr>
          <w:p w14:paraId="7B86B037">
            <w:pPr>
              <w:pStyle w:val="19"/>
              <w:widowControl/>
            </w:pPr>
            <w:r>
              <w:t>保密 – 仅限TDSC试验使用</w:t>
            </w:r>
          </w:p>
        </w:tc>
      </w:tr>
      <w:tr w14:paraId="0041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6A2EC91">
            <w:pPr>
              <w:pStyle w:val="19"/>
              <w:widowControl/>
            </w:pPr>
            <w:r>
              <w:t>替代版本</w:t>
            </w:r>
          </w:p>
        </w:tc>
        <w:tc>
          <w:tcPr>
            <w:tcW w:w="2500" w:type="pct"/>
            <w:vAlign w:val="center"/>
          </w:tcPr>
          <w:p w14:paraId="1D1DF885">
            <w:pPr>
              <w:pStyle w:val="19"/>
              <w:widowControl/>
            </w:pPr>
            <w:r>
              <w:t>无（新文件）</w:t>
            </w:r>
          </w:p>
        </w:tc>
      </w:tr>
      <w:tr w14:paraId="6772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D52EC7E">
            <w:pPr>
              <w:pStyle w:val="19"/>
              <w:widowControl/>
            </w:pPr>
            <w:r>
              <w:t>适用范围</w:t>
            </w:r>
          </w:p>
        </w:tc>
        <w:tc>
          <w:tcPr>
            <w:tcW w:w="2500" w:type="pct"/>
            <w:vAlign w:val="center"/>
          </w:tcPr>
          <w:p w14:paraId="6DE63680">
            <w:pPr>
              <w:pStyle w:val="19"/>
              <w:widowControl/>
            </w:pPr>
            <w:r>
              <w:t>TDSC各分中心与中心实验室</w:t>
            </w:r>
          </w:p>
        </w:tc>
      </w:tr>
      <w:tr w14:paraId="6501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A29D4F2">
            <w:pPr>
              <w:pStyle w:val="19"/>
              <w:widowControl/>
            </w:pPr>
            <w:r>
              <w:t>分发范围</w:t>
            </w:r>
          </w:p>
        </w:tc>
        <w:tc>
          <w:tcPr>
            <w:tcW w:w="2500" w:type="pct"/>
            <w:vAlign w:val="center"/>
          </w:tcPr>
          <w:p w14:paraId="386415F9">
            <w:pPr>
              <w:pStyle w:val="19"/>
              <w:widowControl/>
            </w:pPr>
            <w:r>
              <w:t>研究者、分中心工作人员、中心实验室、数据管理团队</w:t>
            </w:r>
          </w:p>
        </w:tc>
      </w:tr>
    </w:tbl>
    <w:p w14:paraId="77B56043"/>
    <w:p w14:paraId="738C6D00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7D03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0234FC0">
            <w:pPr>
              <w:pStyle w:val="19"/>
              <w:widowControl/>
            </w:pPr>
            <w:r>
              <w:t>版本</w:t>
            </w:r>
          </w:p>
        </w:tc>
        <w:tc>
          <w:tcPr>
            <w:tcW w:w="1250" w:type="pct"/>
          </w:tcPr>
          <w:p w14:paraId="3AD8C7A5">
            <w:pPr>
              <w:pStyle w:val="19"/>
              <w:widowControl/>
            </w:pPr>
            <w:r>
              <w:t>日期</w:t>
            </w:r>
          </w:p>
        </w:tc>
        <w:tc>
          <w:tcPr>
            <w:tcW w:w="1250" w:type="pct"/>
          </w:tcPr>
          <w:p w14:paraId="51843A4E">
            <w:pPr>
              <w:pStyle w:val="19"/>
              <w:widowControl/>
            </w:pPr>
            <w:r>
              <w:t>修订说明</w:t>
            </w:r>
          </w:p>
        </w:tc>
        <w:tc>
          <w:tcPr>
            <w:tcW w:w="1250" w:type="pct"/>
          </w:tcPr>
          <w:p w14:paraId="7B047E29">
            <w:pPr>
              <w:pStyle w:val="19"/>
              <w:widowControl/>
            </w:pPr>
            <w:r>
              <w:t>负责人</w:t>
            </w:r>
          </w:p>
        </w:tc>
      </w:tr>
      <w:tr w14:paraId="3500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BE625B">
            <w:pPr>
              <w:pStyle w:val="19"/>
              <w:widowControl/>
            </w:pPr>
            <w:r>
              <w:t>V1.0</w:t>
            </w:r>
          </w:p>
        </w:tc>
        <w:tc>
          <w:tcPr>
            <w:tcW w:w="1250" w:type="pct"/>
          </w:tcPr>
          <w:p w14:paraId="6810118A">
            <w:pPr>
              <w:pStyle w:val="19"/>
              <w:widowControl/>
            </w:pPr>
            <w:r>
              <w:t>2026-02-09</w:t>
            </w:r>
          </w:p>
        </w:tc>
        <w:tc>
          <w:tcPr>
            <w:tcW w:w="1250" w:type="pct"/>
          </w:tcPr>
          <w:p w14:paraId="3EAEB6F2">
            <w:pPr>
              <w:pStyle w:val="19"/>
              <w:widowControl/>
            </w:pPr>
            <w:r>
              <w:t>首次发布</w:t>
            </w:r>
          </w:p>
        </w:tc>
        <w:tc>
          <w:tcPr>
            <w:tcW w:w="1250" w:type="pct"/>
          </w:tcPr>
          <w:p w14:paraId="72C4BA10">
            <w:pPr>
              <w:pStyle w:val="19"/>
              <w:widowControl/>
            </w:pPr>
            <w:r>
              <w:t>TDSC团队</w:t>
            </w:r>
          </w:p>
        </w:tc>
      </w:tr>
    </w:tbl>
    <w:p w14:paraId="4951C6FF"/>
    <w:p w14:paraId="42F23ED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3E322145">
      <w:pPr>
        <w:pStyle w:val="19"/>
        <w:widowControl/>
      </w:pPr>
      <w:r>
        <w:t>规范使用PAXgene Blood RNA Kit从冻存PAXgene全血样本中提取总RNA的操作流程，获得适用于TB22转录组测序的RNA。</w:t>
      </w:r>
    </w:p>
    <w:p w14:paraId="49DED55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2FB330F9">
      <w:pPr>
        <w:pStyle w:val="19"/>
        <w:widowControl/>
      </w:pPr>
      <w:r>
        <w:t>仅适用于TDSC中心实验室（或指定合格实验室）。</w:t>
      </w:r>
    </w:p>
    <w:p w14:paraId="23253DE2">
      <w:pPr>
        <w:pStyle w:val="19"/>
        <w:widowControl/>
      </w:pPr>
      <w:r>
        <w:t>覆盖解冻、提取、DNase处理、洗脱、保存与记录。</w:t>
      </w:r>
    </w:p>
    <w:p w14:paraId="2F95788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定义与缩写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2805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2B67C89">
            <w:pPr>
              <w:pStyle w:val="19"/>
              <w:widowControl/>
            </w:pPr>
            <w:r>
              <w:t>RT</w:t>
            </w:r>
          </w:p>
        </w:tc>
        <w:tc>
          <w:tcPr>
            <w:tcW w:w="6236" w:type="dxa"/>
          </w:tcPr>
          <w:p w14:paraId="4862048B">
            <w:pPr>
              <w:pStyle w:val="19"/>
              <w:widowControl/>
            </w:pPr>
            <w:r>
              <w:t>室温（18–25°C）</w:t>
            </w:r>
          </w:p>
        </w:tc>
      </w:tr>
      <w:tr w14:paraId="04A8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95160B">
            <w:pPr>
              <w:pStyle w:val="19"/>
              <w:widowControl/>
            </w:pPr>
            <w:r>
              <w:t>BR1–BR5</w:t>
            </w:r>
          </w:p>
        </w:tc>
        <w:tc>
          <w:tcPr>
            <w:tcW w:w="6236" w:type="dxa"/>
          </w:tcPr>
          <w:p w14:paraId="49F7FFAD">
            <w:pPr>
              <w:pStyle w:val="19"/>
              <w:widowControl/>
            </w:pPr>
            <w:r>
              <w:t>试剂盒缓冲液（PAXgene Blood RNA Kit）</w:t>
            </w:r>
          </w:p>
        </w:tc>
      </w:tr>
      <w:tr w14:paraId="51FF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08AC7AF">
            <w:pPr>
              <w:pStyle w:val="19"/>
              <w:widowControl/>
            </w:pPr>
            <w:r>
              <w:t>PK</w:t>
            </w:r>
          </w:p>
        </w:tc>
        <w:tc>
          <w:tcPr>
            <w:tcW w:w="6236" w:type="dxa"/>
          </w:tcPr>
          <w:p w14:paraId="06B7D9DC">
            <w:pPr>
              <w:pStyle w:val="19"/>
              <w:widowControl/>
            </w:pPr>
            <w:r>
              <w:t>蛋白酶K（Proteinase K）</w:t>
            </w:r>
          </w:p>
        </w:tc>
      </w:tr>
      <w:tr w14:paraId="708A5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3B5761">
            <w:pPr>
              <w:pStyle w:val="19"/>
              <w:widowControl/>
            </w:pPr>
            <w:r>
              <w:t>RNFD/RDD</w:t>
            </w:r>
          </w:p>
        </w:tc>
        <w:tc>
          <w:tcPr>
            <w:tcW w:w="6236" w:type="dxa"/>
          </w:tcPr>
          <w:p w14:paraId="1E96F4F7">
            <w:pPr>
              <w:pStyle w:val="19"/>
              <w:widowControl/>
            </w:pPr>
            <w:r>
              <w:t>DNase I及消化缓冲液</w:t>
            </w:r>
          </w:p>
        </w:tc>
      </w:tr>
      <w:tr w14:paraId="376D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8419279">
            <w:pPr>
              <w:pStyle w:val="19"/>
              <w:widowControl/>
            </w:pPr>
            <w:r>
              <w:t>PSC/PRC</w:t>
            </w:r>
          </w:p>
        </w:tc>
        <w:tc>
          <w:tcPr>
            <w:tcW w:w="6236" w:type="dxa"/>
          </w:tcPr>
          <w:p w14:paraId="2071BA35">
            <w:pPr>
              <w:pStyle w:val="19"/>
              <w:widowControl/>
            </w:pPr>
            <w:r>
              <w:t>试剂盒离心柱（颜色区分）</w:t>
            </w:r>
          </w:p>
        </w:tc>
      </w:tr>
      <w:tr w14:paraId="4332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F7AEE84">
            <w:pPr>
              <w:pStyle w:val="19"/>
              <w:widowControl/>
            </w:pPr>
            <w:r>
              <w:t>QC</w:t>
            </w:r>
          </w:p>
        </w:tc>
        <w:tc>
          <w:tcPr>
            <w:tcW w:w="6236" w:type="dxa"/>
          </w:tcPr>
          <w:p w14:paraId="0D2E755A">
            <w:pPr>
              <w:pStyle w:val="19"/>
              <w:widowControl/>
            </w:pPr>
            <w:r>
              <w:t>质量控制（产量、纯度、完整性）</w:t>
            </w:r>
          </w:p>
        </w:tc>
      </w:tr>
    </w:tbl>
    <w:p w14:paraId="76F7982D">
      <w:pPr>
        <w:pStyle w:val="19"/>
        <w:widowControl/>
      </w:pPr>
    </w:p>
    <w:p w14:paraId="647BF7F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安全与防污染</w:t>
      </w:r>
    </w:p>
    <w:p w14:paraId="2730443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所有人源样本按潜在感染性材料处理，遵循BSL-2要求及机构生物安全规定。</w:t>
      </w:r>
    </w:p>
    <w:p w14:paraId="322943E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操作台面与器具需进行RNase去污染（如RNaseZAP），全程戴手套并勤更换。</w:t>
      </w:r>
    </w:p>
    <w:p w14:paraId="20DEE51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除特别说明外均在室温操作；65°C孵育后洗脱液需立即置冰上。</w:t>
      </w:r>
    </w:p>
    <w:p w14:paraId="3E42DCD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物资与设备</w:t>
      </w:r>
    </w:p>
    <w:p w14:paraId="27061BE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PAXgene Blood RNA Kit（PreAnalytix/Qiagen；核对批号与有效期）。</w:t>
      </w:r>
    </w:p>
    <w:p w14:paraId="7FB3254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RNase去污染试剂（如RNaseZAP）。</w:t>
      </w:r>
    </w:p>
    <w:p w14:paraId="21601419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96–100%乙醇（现配）、RNase-free水。</w:t>
      </w:r>
    </w:p>
    <w:p w14:paraId="60B074B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离心机：可达3,800 rpm与13,000 g。</w:t>
      </w:r>
    </w:p>
    <w:p w14:paraId="151F790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恒温振荡孵育器：55°C与65°C（700 rpm）。</w:t>
      </w:r>
    </w:p>
    <w:p w14:paraId="63C261F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移液器、滤芯枪头、1.5 mL RNase-free管、冰盒。</w:t>
      </w:r>
    </w:p>
    <w:p w14:paraId="6BD4E16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4642FF70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解冻与准备（关键控制点）</w:t>
      </w:r>
    </w:p>
    <w:p w14:paraId="62FE186F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将冻存PAXgene管从-80°C转至-20°C缓慢解冻8小时。</w:t>
      </w:r>
    </w:p>
    <w:p w14:paraId="04B6DAAA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随后置于+4°C过夜。</w:t>
      </w:r>
    </w:p>
    <w:p w14:paraId="607BBBA7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再于室温直立孵育2小时。</w:t>
      </w:r>
    </w:p>
    <w:p w14:paraId="2F33BA23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用RNaseZAP等对台面去污染，并至少作用15分钟。</w:t>
      </w:r>
    </w:p>
    <w:p w14:paraId="749A4B25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RNA提取流程（PAXgene Blood RNA Kit）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7161"/>
        <w:gridCol w:w="1698"/>
      </w:tblGrid>
      <w:tr w14:paraId="4943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70105C63">
            <w:pPr>
              <w:pStyle w:val="19"/>
              <w:widowControl/>
              <w:numPr>
                <w:numId w:val="0"/>
              </w:numPr>
              <w:ind w:leftChars="0"/>
            </w:pPr>
            <w:r>
              <w:t>步骤</w:t>
            </w:r>
          </w:p>
        </w:tc>
        <w:tc>
          <w:tcPr>
            <w:tcW w:w="3594" w:type="pct"/>
          </w:tcPr>
          <w:p w14:paraId="7385000C">
            <w:pPr>
              <w:pStyle w:val="19"/>
              <w:widowControl/>
              <w:numPr>
                <w:numId w:val="0"/>
              </w:numPr>
              <w:ind w:leftChars="0"/>
            </w:pPr>
            <w:r>
              <w:t>操作</w:t>
            </w:r>
          </w:p>
        </w:tc>
        <w:tc>
          <w:tcPr>
            <w:tcW w:w="852" w:type="pct"/>
          </w:tcPr>
          <w:p w14:paraId="7B9D8E65">
            <w:pPr>
              <w:pStyle w:val="19"/>
              <w:widowControl/>
              <w:numPr>
                <w:numId w:val="0"/>
              </w:numPr>
              <w:ind w:leftChars="0"/>
            </w:pPr>
            <w:r>
              <w:t>记录/质控点</w:t>
            </w:r>
          </w:p>
        </w:tc>
      </w:tr>
      <w:tr w14:paraId="0EF8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7E903FA7">
            <w:pPr>
              <w:pStyle w:val="19"/>
              <w:widowControl/>
              <w:numPr>
                <w:numId w:val="0"/>
              </w:numPr>
              <w:ind w:leftChars="0"/>
            </w:pPr>
            <w:r>
              <w:t>1</w:t>
            </w:r>
          </w:p>
        </w:tc>
        <w:tc>
          <w:tcPr>
            <w:tcW w:w="3594" w:type="pct"/>
          </w:tcPr>
          <w:p w14:paraId="28E4B92E">
            <w:pPr>
              <w:pStyle w:val="19"/>
              <w:widowControl/>
              <w:numPr>
                <w:numId w:val="0"/>
              </w:numPr>
              <w:ind w:leftChars="0"/>
            </w:pPr>
            <w:r>
              <w:t>3,800 rpm离心10 min；弃上清。</w:t>
            </w:r>
          </w:p>
        </w:tc>
        <w:tc>
          <w:tcPr>
            <w:tcW w:w="852" w:type="pct"/>
          </w:tcPr>
          <w:p w14:paraId="7A64CE95">
            <w:pPr>
              <w:pStyle w:val="19"/>
              <w:widowControl/>
              <w:numPr>
                <w:numId w:val="0"/>
              </w:numPr>
              <w:ind w:leftChars="0"/>
            </w:pPr>
            <w:r>
              <w:t>关键控制点</w:t>
            </w:r>
          </w:p>
        </w:tc>
      </w:tr>
      <w:tr w14:paraId="74DD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7693B128">
            <w:pPr>
              <w:pStyle w:val="19"/>
              <w:widowControl/>
              <w:numPr>
                <w:numId w:val="0"/>
              </w:numPr>
              <w:ind w:leftChars="0"/>
            </w:pPr>
            <w:r>
              <w:t>2</w:t>
            </w:r>
          </w:p>
        </w:tc>
        <w:tc>
          <w:tcPr>
            <w:tcW w:w="3594" w:type="pct"/>
          </w:tcPr>
          <w:p w14:paraId="1BCEF0AA">
            <w:pPr>
              <w:pStyle w:val="19"/>
              <w:widowControl/>
              <w:numPr>
                <w:numId w:val="0"/>
              </w:numPr>
              <w:ind w:leftChars="0"/>
            </w:pPr>
            <w:r>
              <w:t>加入4 mL RNase-free水，更换新盖；涡旋溶解沉淀。</w:t>
            </w:r>
          </w:p>
        </w:tc>
        <w:tc>
          <w:tcPr>
            <w:tcW w:w="852" w:type="pct"/>
          </w:tcPr>
          <w:p w14:paraId="3846FE7B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03AD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195CCE6E">
            <w:pPr>
              <w:pStyle w:val="19"/>
              <w:widowControl/>
              <w:numPr>
                <w:numId w:val="0"/>
              </w:numPr>
              <w:ind w:leftChars="0"/>
            </w:pPr>
            <w:r>
              <w:t>3</w:t>
            </w:r>
          </w:p>
        </w:tc>
        <w:tc>
          <w:tcPr>
            <w:tcW w:w="3594" w:type="pct"/>
          </w:tcPr>
          <w:p w14:paraId="5FF4E036">
            <w:pPr>
              <w:pStyle w:val="19"/>
              <w:widowControl/>
              <w:numPr>
                <w:numId w:val="0"/>
              </w:numPr>
              <w:ind w:leftChars="0"/>
            </w:pPr>
            <w:r>
              <w:t>3,800 rpm离心10 min；弃上清并吸尽残液。</w:t>
            </w:r>
          </w:p>
        </w:tc>
        <w:tc>
          <w:tcPr>
            <w:tcW w:w="852" w:type="pct"/>
          </w:tcPr>
          <w:p w14:paraId="242286A0">
            <w:pPr>
              <w:pStyle w:val="19"/>
              <w:widowControl/>
              <w:numPr>
                <w:numId w:val="0"/>
              </w:numPr>
              <w:ind w:leftChars="0"/>
            </w:pPr>
            <w:r>
              <w:t>关键控制点</w:t>
            </w:r>
          </w:p>
        </w:tc>
      </w:tr>
      <w:tr w14:paraId="2C60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2A0CE414">
            <w:pPr>
              <w:pStyle w:val="19"/>
              <w:widowControl/>
              <w:numPr>
                <w:numId w:val="0"/>
              </w:numPr>
              <w:ind w:leftChars="0"/>
            </w:pPr>
            <w:r>
              <w:t>4</w:t>
            </w:r>
          </w:p>
        </w:tc>
        <w:tc>
          <w:tcPr>
            <w:tcW w:w="3594" w:type="pct"/>
          </w:tcPr>
          <w:p w14:paraId="48F47EF6">
            <w:pPr>
              <w:pStyle w:val="19"/>
              <w:widowControl/>
              <w:numPr>
                <w:numId w:val="0"/>
              </w:numPr>
              <w:ind w:leftChars="0"/>
            </w:pPr>
            <w:r>
              <w:t>加入350 µL BR1；涡旋溶解；转入1.5 mL管。</w:t>
            </w:r>
          </w:p>
        </w:tc>
        <w:tc>
          <w:tcPr>
            <w:tcW w:w="852" w:type="pct"/>
          </w:tcPr>
          <w:p w14:paraId="2E49D804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09F1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2CC7817A">
            <w:pPr>
              <w:pStyle w:val="19"/>
              <w:widowControl/>
              <w:numPr>
                <w:numId w:val="0"/>
              </w:numPr>
              <w:ind w:leftChars="0"/>
            </w:pPr>
            <w:r>
              <w:t>5</w:t>
            </w:r>
          </w:p>
        </w:tc>
        <w:tc>
          <w:tcPr>
            <w:tcW w:w="3594" w:type="pct"/>
          </w:tcPr>
          <w:p w14:paraId="08B93E4A">
            <w:pPr>
              <w:pStyle w:val="19"/>
              <w:widowControl/>
              <w:numPr>
                <w:numId w:val="0"/>
              </w:numPr>
              <w:ind w:leftChars="0"/>
            </w:pPr>
            <w:r>
              <w:t>加入300 µL BR2 + 40 µL蛋白酶K；涡旋5秒。</w:t>
            </w:r>
          </w:p>
        </w:tc>
        <w:tc>
          <w:tcPr>
            <w:tcW w:w="852" w:type="pct"/>
          </w:tcPr>
          <w:p w14:paraId="58008A64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2C77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5E6E953D">
            <w:pPr>
              <w:pStyle w:val="19"/>
              <w:widowControl/>
              <w:numPr>
                <w:numId w:val="0"/>
              </w:numPr>
              <w:ind w:leftChars="0"/>
            </w:pPr>
            <w:r>
              <w:t>6</w:t>
            </w:r>
          </w:p>
        </w:tc>
        <w:tc>
          <w:tcPr>
            <w:tcW w:w="3594" w:type="pct"/>
          </w:tcPr>
          <w:p w14:paraId="72B386DD">
            <w:pPr>
              <w:pStyle w:val="19"/>
              <w:widowControl/>
              <w:numPr>
                <w:numId w:val="0"/>
              </w:numPr>
              <w:ind w:leftChars="0"/>
            </w:pPr>
            <w:r>
              <w:t>55°C、700 rpm孵育10 min；随后调至65°C备用。</w:t>
            </w:r>
          </w:p>
        </w:tc>
        <w:tc>
          <w:tcPr>
            <w:tcW w:w="852" w:type="pct"/>
          </w:tcPr>
          <w:p w14:paraId="2D86B07E">
            <w:pPr>
              <w:pStyle w:val="19"/>
              <w:widowControl/>
              <w:numPr>
                <w:numId w:val="0"/>
              </w:numPr>
              <w:ind w:leftChars="0"/>
            </w:pPr>
            <w:r>
              <w:t>关键控制点</w:t>
            </w:r>
          </w:p>
        </w:tc>
      </w:tr>
      <w:tr w14:paraId="7C85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07BF135E">
            <w:pPr>
              <w:pStyle w:val="19"/>
              <w:widowControl/>
              <w:numPr>
                <w:numId w:val="0"/>
              </w:numPr>
              <w:ind w:leftChars="0"/>
            </w:pPr>
            <w:r>
              <w:t>7</w:t>
            </w:r>
          </w:p>
        </w:tc>
        <w:tc>
          <w:tcPr>
            <w:tcW w:w="3594" w:type="pct"/>
          </w:tcPr>
          <w:p w14:paraId="19F5035B">
            <w:pPr>
              <w:pStyle w:val="19"/>
              <w:widowControl/>
              <w:numPr>
                <w:numId w:val="0"/>
              </w:numPr>
              <w:ind w:leftChars="0"/>
            </w:pPr>
            <w:r>
              <w:t>裂解液上PSC（紫色）柱；13,000 g离心3 min。</w:t>
            </w:r>
          </w:p>
        </w:tc>
        <w:tc>
          <w:tcPr>
            <w:tcW w:w="852" w:type="pct"/>
          </w:tcPr>
          <w:p w14:paraId="1D6F64B9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493B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660C64BF">
            <w:pPr>
              <w:pStyle w:val="19"/>
              <w:widowControl/>
              <w:numPr>
                <w:numId w:val="0"/>
              </w:numPr>
              <w:ind w:leftChars="0"/>
            </w:pPr>
            <w:r>
              <w:t>8</w:t>
            </w:r>
          </w:p>
        </w:tc>
        <w:tc>
          <w:tcPr>
            <w:tcW w:w="3594" w:type="pct"/>
          </w:tcPr>
          <w:p w14:paraId="4DB5D889">
            <w:pPr>
              <w:pStyle w:val="19"/>
              <w:widowControl/>
              <w:numPr>
                <w:numId w:val="0"/>
              </w:numPr>
              <w:ind w:leftChars="0"/>
            </w:pPr>
            <w:r>
              <w:t>上清转入新管；弃沉淀。</w:t>
            </w:r>
          </w:p>
        </w:tc>
        <w:tc>
          <w:tcPr>
            <w:tcW w:w="852" w:type="pct"/>
          </w:tcPr>
          <w:p w14:paraId="732689B4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4B49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7450A8FB">
            <w:pPr>
              <w:pStyle w:val="19"/>
              <w:widowControl/>
              <w:numPr>
                <w:numId w:val="0"/>
              </w:numPr>
              <w:ind w:leftChars="0"/>
            </w:pPr>
            <w:r>
              <w:t>9</w:t>
            </w:r>
          </w:p>
        </w:tc>
        <w:tc>
          <w:tcPr>
            <w:tcW w:w="3594" w:type="pct"/>
          </w:tcPr>
          <w:p w14:paraId="080A5E90">
            <w:pPr>
              <w:pStyle w:val="19"/>
              <w:widowControl/>
              <w:numPr>
                <w:numId w:val="0"/>
              </w:numPr>
              <w:ind w:leftChars="0"/>
            </w:pPr>
            <w:r>
              <w:t>加入350 µL 96–100%乙醇；涡旋并短暂离心1–2秒。</w:t>
            </w:r>
          </w:p>
        </w:tc>
        <w:tc>
          <w:tcPr>
            <w:tcW w:w="852" w:type="pct"/>
          </w:tcPr>
          <w:p w14:paraId="4DE4302B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7655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2061D45A">
            <w:pPr>
              <w:pStyle w:val="19"/>
              <w:widowControl/>
              <w:numPr>
                <w:numId w:val="0"/>
              </w:numPr>
              <w:ind w:leftChars="0"/>
            </w:pPr>
            <w:r>
              <w:t>10</w:t>
            </w:r>
          </w:p>
        </w:tc>
        <w:tc>
          <w:tcPr>
            <w:tcW w:w="3594" w:type="pct"/>
          </w:tcPr>
          <w:p w14:paraId="1643E9FA">
            <w:pPr>
              <w:pStyle w:val="19"/>
              <w:widowControl/>
              <w:numPr>
                <w:numId w:val="0"/>
              </w:numPr>
              <w:ind w:leftChars="0"/>
            </w:pPr>
            <w:r>
              <w:t>取700 µL上PRC（红色）柱；13,000 g离心1 min；换新收集管。</w:t>
            </w:r>
          </w:p>
        </w:tc>
        <w:tc>
          <w:tcPr>
            <w:tcW w:w="852" w:type="pct"/>
          </w:tcPr>
          <w:p w14:paraId="466D4C2D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0E5F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79094466">
            <w:pPr>
              <w:pStyle w:val="19"/>
              <w:widowControl/>
              <w:numPr>
                <w:numId w:val="0"/>
              </w:numPr>
              <w:ind w:leftChars="0"/>
            </w:pPr>
            <w:r>
              <w:t>11</w:t>
            </w:r>
          </w:p>
        </w:tc>
        <w:tc>
          <w:tcPr>
            <w:tcW w:w="3594" w:type="pct"/>
          </w:tcPr>
          <w:p w14:paraId="4E5152A8">
            <w:pPr>
              <w:pStyle w:val="19"/>
              <w:widowControl/>
              <w:numPr>
                <w:numId w:val="0"/>
              </w:numPr>
              <w:ind w:leftChars="0"/>
            </w:pPr>
            <w:r>
              <w:t>余量继续上同一PRC柱；13,000 g离心1 min；换新收集管。</w:t>
            </w:r>
          </w:p>
        </w:tc>
        <w:tc>
          <w:tcPr>
            <w:tcW w:w="852" w:type="pct"/>
          </w:tcPr>
          <w:p w14:paraId="7DE6F005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4D64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23488441">
            <w:pPr>
              <w:pStyle w:val="19"/>
              <w:widowControl/>
              <w:numPr>
                <w:numId w:val="0"/>
              </w:numPr>
              <w:ind w:leftChars="0"/>
            </w:pPr>
            <w:r>
              <w:t>12</w:t>
            </w:r>
          </w:p>
        </w:tc>
        <w:tc>
          <w:tcPr>
            <w:tcW w:w="3594" w:type="pct"/>
          </w:tcPr>
          <w:p w14:paraId="330FB502">
            <w:pPr>
              <w:pStyle w:val="19"/>
              <w:widowControl/>
              <w:numPr>
                <w:numId w:val="0"/>
              </w:numPr>
              <w:ind w:leftChars="0"/>
            </w:pPr>
            <w:r>
              <w:t>加入350 µL BR3洗涤；13,000 g离心1 min；换新收集管。</w:t>
            </w:r>
          </w:p>
        </w:tc>
        <w:tc>
          <w:tcPr>
            <w:tcW w:w="852" w:type="pct"/>
          </w:tcPr>
          <w:p w14:paraId="3FD9D2F9">
            <w:pPr>
              <w:pStyle w:val="19"/>
              <w:widowControl/>
              <w:numPr>
                <w:numId w:val="0"/>
              </w:numPr>
              <w:ind w:leftChars="0"/>
            </w:pPr>
          </w:p>
        </w:tc>
      </w:tr>
      <w:tr w14:paraId="5F47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6AA97553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13</w:t>
            </w:r>
          </w:p>
        </w:tc>
        <w:tc>
          <w:tcPr>
            <w:tcW w:w="3594" w:type="pct"/>
          </w:tcPr>
          <w:p w14:paraId="05B2B6BC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配制DNase混合液：10 µL DNase I + 70 µL RDD；短暂离心；加80 µL至柱上；室温孵育15 min。</w:t>
            </w:r>
          </w:p>
        </w:tc>
        <w:tc>
          <w:tcPr>
            <w:tcW w:w="852" w:type="pct"/>
          </w:tcPr>
          <w:p w14:paraId="091D3E51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关键控制点</w:t>
            </w:r>
          </w:p>
        </w:tc>
      </w:tr>
      <w:tr w14:paraId="7761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67596E1F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14</w:t>
            </w:r>
          </w:p>
        </w:tc>
        <w:tc>
          <w:tcPr>
            <w:tcW w:w="3594" w:type="pct"/>
          </w:tcPr>
          <w:p w14:paraId="3AB05588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加入350 µL BR3；13,000 g离心1 min；换新收集管。</w:t>
            </w:r>
          </w:p>
        </w:tc>
        <w:tc>
          <w:tcPr>
            <w:tcW w:w="852" w:type="pct"/>
          </w:tcPr>
          <w:p w14:paraId="41990ED4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</w:p>
        </w:tc>
      </w:tr>
      <w:tr w14:paraId="32BB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076B4455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15</w:t>
            </w:r>
          </w:p>
        </w:tc>
        <w:tc>
          <w:tcPr>
            <w:tcW w:w="3594" w:type="pct"/>
          </w:tcPr>
          <w:p w14:paraId="22B368F8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加入500 µL BR4；13,000 g离心1 min；换新收集管。</w:t>
            </w:r>
          </w:p>
        </w:tc>
        <w:tc>
          <w:tcPr>
            <w:tcW w:w="852" w:type="pct"/>
          </w:tcPr>
          <w:p w14:paraId="0FAC69F4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</w:p>
        </w:tc>
      </w:tr>
      <w:tr w14:paraId="5E02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10AFD68D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16</w:t>
            </w:r>
          </w:p>
        </w:tc>
        <w:tc>
          <w:tcPr>
            <w:tcW w:w="3594" w:type="pct"/>
          </w:tcPr>
          <w:p w14:paraId="3F8A6456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重复加入500 µL BR4；13,000 g离心3 min；换新收集管。</w:t>
            </w:r>
          </w:p>
        </w:tc>
        <w:tc>
          <w:tcPr>
            <w:tcW w:w="852" w:type="pct"/>
          </w:tcPr>
          <w:p w14:paraId="6F6DAAF9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</w:p>
        </w:tc>
      </w:tr>
      <w:tr w14:paraId="5842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3463E8A7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17</w:t>
            </w:r>
          </w:p>
        </w:tc>
        <w:tc>
          <w:tcPr>
            <w:tcW w:w="3594" w:type="pct"/>
          </w:tcPr>
          <w:p w14:paraId="744FCFEC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干柱离心1 min（按离心机设定）；换新收集管。</w:t>
            </w:r>
          </w:p>
        </w:tc>
        <w:tc>
          <w:tcPr>
            <w:tcW w:w="852" w:type="pct"/>
          </w:tcPr>
          <w:p w14:paraId="670AA375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</w:p>
        </w:tc>
      </w:tr>
      <w:tr w14:paraId="5DBF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53485B5D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18</w:t>
            </w:r>
          </w:p>
        </w:tc>
        <w:tc>
          <w:tcPr>
            <w:tcW w:w="3594" w:type="pct"/>
          </w:tcPr>
          <w:p w14:paraId="7E08A977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将柱置于洁净1.5 mL管；加40 µL BR5洗脱；8,000–20,000 g离心1 min；重复洗脱一次（总80 µL）。</w:t>
            </w:r>
          </w:p>
        </w:tc>
        <w:tc>
          <w:tcPr>
            <w:tcW w:w="852" w:type="pct"/>
          </w:tcPr>
          <w:p w14:paraId="78666338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关键控制点</w:t>
            </w:r>
          </w:p>
        </w:tc>
      </w:tr>
      <w:tr w14:paraId="3F3B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5F3E086C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19</w:t>
            </w:r>
          </w:p>
        </w:tc>
        <w:tc>
          <w:tcPr>
            <w:tcW w:w="3594" w:type="pct"/>
          </w:tcPr>
          <w:p w14:paraId="45B5B7E5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洗脱液65°C静置孵育5 min（不振荡）；立即置冰上。</w:t>
            </w:r>
          </w:p>
        </w:tc>
        <w:tc>
          <w:tcPr>
            <w:tcW w:w="852" w:type="pct"/>
          </w:tcPr>
          <w:p w14:paraId="336E6550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关键控制点</w:t>
            </w:r>
          </w:p>
        </w:tc>
      </w:tr>
      <w:tr w14:paraId="0EB4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</w:tcPr>
          <w:p w14:paraId="45E02CA4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20</w:t>
            </w:r>
          </w:p>
        </w:tc>
        <w:tc>
          <w:tcPr>
            <w:tcW w:w="3594" w:type="pct"/>
          </w:tcPr>
          <w:p w14:paraId="18732D15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  <w:r>
              <w:t>RNA -80°C保存（优选），或-20°C短期保存；建议分装避免冻融。</w:t>
            </w:r>
          </w:p>
        </w:tc>
        <w:tc>
          <w:tcPr>
            <w:tcW w:w="852" w:type="pct"/>
          </w:tcPr>
          <w:p w14:paraId="11EA8AF7">
            <w:pPr>
              <w:pStyle w:val="19"/>
              <w:widowControl/>
              <w:numPr>
                <w:ilvl w:val="0"/>
                <w:numId w:val="0"/>
              </w:numPr>
              <w:ind w:leftChars="0"/>
            </w:pPr>
          </w:p>
        </w:tc>
      </w:tr>
    </w:tbl>
    <w:p w14:paraId="753915A4">
      <w:pPr>
        <w:pStyle w:val="19"/>
        <w:widowControl/>
        <w:numPr>
          <w:ilvl w:val="0"/>
          <w:numId w:val="0"/>
        </w:numPr>
        <w:ind w:leftChars="0"/>
      </w:pPr>
    </w:p>
    <w:p w14:paraId="626B625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RNA质控与放行标准</w:t>
      </w:r>
    </w:p>
    <w:p w14:paraId="17424927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使用Qubit等测定RNA产量，记录浓度（ng/µL）、体积与总量（µg）。</w:t>
      </w:r>
    </w:p>
    <w:p w14:paraId="53D51134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如条件允许，可用NanoDrop记录A260/280与A260/230作为纯度指标。</w:t>
      </w:r>
    </w:p>
    <w:p w14:paraId="01489F73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测序建库最低输入量按测序SOP执行：每份样本总RNA量≥0.1 µg（如有例外需记录并审批）。</w:t>
      </w:r>
    </w:p>
    <w:p w14:paraId="666FD09A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若RNA不满足质控（低产量/污染/标识不一致），按偏差与CAPA流程处理；如有备份样本可考虑重新提取。</w:t>
      </w:r>
    </w:p>
    <w:p w14:paraId="74B639B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记录与归档</w:t>
      </w:r>
    </w:p>
    <w:p w14:paraId="379B51F1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需记录：批次编号、操作者、日期时间、试剂盒批号、离心机/孵育器编号及偏差。</w:t>
      </w:r>
    </w:p>
    <w:p w14:paraId="5B585165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每个RNA分装编号需与原始采血管编号和运输批次编号关联。</w:t>
      </w:r>
    </w:p>
    <w:p w14:paraId="72FA2B8B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提取记录表与电子质控结果须保存至受控文件夹并启用审计保护（只读）。</w:t>
      </w:r>
    </w:p>
    <w:p w14:paraId="5FF879B8">
      <w:pPr>
        <w:pStyle w:val="165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参考文件</w:t>
      </w:r>
    </w:p>
    <w:p w14:paraId="628D1DE9">
      <w:pPr>
        <w:pStyle w:val="164"/>
        <w:widowControl/>
        <w:numPr>
          <w:ilvl w:val="0"/>
          <w:numId w:val="14"/>
        </w:numPr>
        <w:ind w:left="360" w:leftChars="0" w:hanging="360" w:firstLineChars="0"/>
      </w:pPr>
      <w:r>
        <w:t>中心实验室RNA提取原始SOP（PAXgene Blood RNA Kit）。</w:t>
      </w:r>
    </w:p>
    <w:p w14:paraId="2EBCD2BD">
      <w:pPr>
        <w:pStyle w:val="164"/>
        <w:widowControl/>
        <w:numPr>
          <w:ilvl w:val="0"/>
          <w:numId w:val="14"/>
        </w:numPr>
        <w:ind w:left="360" w:leftChars="0" w:hanging="360" w:firstLineChars="0"/>
      </w:pPr>
      <w:r>
        <w:t>TDSC研究方案（现行批准版本）。</w:t>
      </w:r>
    </w:p>
    <w:p w14:paraId="26EF2AEA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38B2E"/>
    <w:multiLevelType w:val="singleLevel"/>
    <w:tmpl w:val="82138B2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946358F5"/>
    <w:multiLevelType w:val="singleLevel"/>
    <w:tmpl w:val="946358F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B6D23AA5"/>
    <w:multiLevelType w:val="singleLevel"/>
    <w:tmpl w:val="B6D23AA5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3">
    <w:nsid w:val="D0581853"/>
    <w:multiLevelType w:val="singleLevel"/>
    <w:tmpl w:val="D058185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E0C0EF02"/>
    <w:multiLevelType w:val="singleLevel"/>
    <w:tmpl w:val="E0C0EF0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99B126F"/>
    <w:multiLevelType w:val="singleLevel"/>
    <w:tmpl w:val="F99B126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40297599"/>
    <w:multiLevelType w:val="singleLevel"/>
    <w:tmpl w:val="4029759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40663091"/>
    <w:multiLevelType w:val="singleLevel"/>
    <w:tmpl w:val="4066309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3">
    <w:nsid w:val="56647A76"/>
    <w:multiLevelType w:val="singleLevel"/>
    <w:tmpl w:val="56647A76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10"/>
  </w:num>
  <w:num w:numId="3">
    <w:abstractNumId w:val="13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1"/>
  </w:num>
  <w:num w:numId="10">
    <w:abstractNumId w:val="2"/>
  </w:num>
  <w:num w:numId="11">
    <w:abstractNumId w:val="12"/>
  </w:num>
  <w:num w:numId="12">
    <w:abstractNumId w:val="5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0C505E"/>
    <w:rsid w:val="6E8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5">
    <w:name w:val="参考文献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1378</Words>
  <Characters>1959</Characters>
  <Lines>0</Lines>
  <Paragraphs>0</Paragraphs>
  <TotalTime>6</TotalTime>
  <ScaleCrop>false</ScaleCrop>
  <LinksUpToDate>false</LinksUpToDate>
  <CharactersWithSpaces>2067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D1C52518BA674FE0883C5A71873EC09D_12</vt:lpwstr>
  </property>
</Properties>
</file>