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13A40">
      <w:pPr>
        <w:pStyle w:val="31"/>
        <w:widowControl/>
        <w:ind w:firstLine="643" w:firstLineChars="200"/>
      </w:pPr>
      <w:r>
        <w:t>TDSC-TB22-SOP03：RNA质量控制与放行标准</w:t>
      </w:r>
    </w:p>
    <w:p w14:paraId="4C56704B">
      <w:pPr>
        <w:pStyle w:val="19"/>
        <w:widowControl/>
        <w:ind w:firstLine="720" w:firstLineChars="300"/>
      </w:pPr>
      <w:r>
        <w:t>文件编号：TDSC-TB22-SOP03    版本：V1.0    日期：2026-02-09</w:t>
      </w:r>
    </w:p>
    <w:p w14:paraId="242619DA"/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A5A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CB83560">
            <w:pPr>
              <w:spacing w:after="0" w:line="240" w:lineRule="auto"/>
            </w:pPr>
            <w:r>
              <w:t>起草</w:t>
            </w:r>
          </w:p>
        </w:tc>
        <w:tc>
          <w:tcPr>
            <w:tcW w:w="2500" w:type="pct"/>
          </w:tcPr>
          <w:p w14:paraId="3DD83055">
            <w:pPr>
              <w:spacing w:after="0" w:line="240" w:lineRule="auto"/>
            </w:pPr>
          </w:p>
        </w:tc>
      </w:tr>
      <w:tr w14:paraId="583EE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6BC3A7E">
            <w:pPr>
              <w:spacing w:after="0" w:line="240" w:lineRule="auto"/>
            </w:pPr>
            <w:r>
              <w:t>审核</w:t>
            </w:r>
          </w:p>
        </w:tc>
        <w:tc>
          <w:tcPr>
            <w:tcW w:w="2500" w:type="pct"/>
          </w:tcPr>
          <w:p w14:paraId="18982B21">
            <w:pPr>
              <w:spacing w:after="0" w:line="240" w:lineRule="auto"/>
            </w:pPr>
          </w:p>
        </w:tc>
      </w:tr>
      <w:tr w14:paraId="45C6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71790D6">
            <w:pPr>
              <w:spacing w:after="0" w:line="240" w:lineRule="auto"/>
            </w:pPr>
            <w:r>
              <w:t>批准</w:t>
            </w:r>
          </w:p>
        </w:tc>
        <w:tc>
          <w:tcPr>
            <w:tcW w:w="2500" w:type="pct"/>
          </w:tcPr>
          <w:p w14:paraId="36AC4015">
            <w:pPr>
              <w:spacing w:after="0" w:line="240" w:lineRule="auto"/>
            </w:pPr>
          </w:p>
        </w:tc>
      </w:tr>
      <w:tr w14:paraId="5C47D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EBC4B55">
            <w:pPr>
              <w:spacing w:after="0" w:line="240" w:lineRule="auto"/>
            </w:pPr>
            <w:r>
              <w:t>生效日期</w:t>
            </w:r>
          </w:p>
        </w:tc>
        <w:tc>
          <w:tcPr>
            <w:tcW w:w="2500" w:type="pct"/>
          </w:tcPr>
          <w:p w14:paraId="5C75C0B9">
            <w:pPr>
              <w:spacing w:after="0" w:line="240" w:lineRule="auto"/>
            </w:pPr>
            <w:r>
              <w:t>2026-02-09</w:t>
            </w:r>
          </w:p>
        </w:tc>
      </w:tr>
      <w:tr w14:paraId="093A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CCC1838">
            <w:pPr>
              <w:spacing w:after="0" w:line="240" w:lineRule="auto"/>
            </w:pPr>
            <w:r>
              <w:t>保密等级</w:t>
            </w:r>
          </w:p>
        </w:tc>
        <w:tc>
          <w:tcPr>
            <w:tcW w:w="2500" w:type="pct"/>
          </w:tcPr>
          <w:p w14:paraId="436F9818">
            <w:pPr>
              <w:spacing w:after="0" w:line="240" w:lineRule="auto"/>
            </w:pPr>
            <w:r>
              <w:t>内部资料 / 保密</w:t>
            </w:r>
          </w:p>
        </w:tc>
      </w:tr>
    </w:tbl>
    <w:p w14:paraId="6626B83D"/>
    <w:p w14:paraId="2F6D49F1">
      <w:pPr>
        <w:pStyle w:val="165"/>
        <w:widowControl/>
        <w:outlineLvl w:val="9"/>
      </w:pPr>
      <w:r>
        <w:t>目录（请在Word中更新域）：</w:t>
      </w:r>
    </w:p>
    <w:p w14:paraId="47193D51">
      <w:pPr>
        <w:pStyle w:val="19"/>
        <w:widowControl/>
      </w:pPr>
      <w:r>
        <w:t>1. 目的  2. 适用范围  3. 定义  4. 职责  5. 操作流程  6. 记录  7. 质量控制  8. 偏差与CAPA  9. 参考文献  10. 附录</w:t>
      </w:r>
      <w:bookmarkStart w:id="0" w:name="_GoBack"/>
      <w:bookmarkEnd w:id="0"/>
    </w:p>
    <w:p w14:paraId="18860171"/>
    <w:p w14:paraId="1F142334">
      <w:pPr>
        <w:pStyle w:val="3"/>
        <w:widowControl/>
      </w:pPr>
      <w:r>
        <w:t>目的</w:t>
      </w:r>
    </w:p>
    <w:p w14:paraId="579C36C7">
      <w:pPr>
        <w:pStyle w:val="19"/>
        <w:widowControl/>
      </w:pPr>
      <w:r>
        <w:t>规定TB22检测中心实验室RNA质量控制、接受标准与放行判定。</w:t>
      </w:r>
    </w:p>
    <w:p w14:paraId="23FD1B01">
      <w:pPr>
        <w:pStyle w:val="3"/>
        <w:widowControl/>
      </w:pPr>
      <w:r>
        <w:t>适用范围</w:t>
      </w:r>
    </w:p>
    <w:p w14:paraId="41F2B457">
      <w:pPr>
        <w:pStyle w:val="16"/>
        <w:bidi w:val="0"/>
        <w:ind w:left="360" w:leftChars="0" w:hanging="360" w:firstLineChars="0"/>
      </w:pPr>
      <w:r>
        <w:t>适用于TB22中心实验室RNA QC（对接SOP01/02/04/05/07/08）。</w:t>
      </w:r>
    </w:p>
    <w:p w14:paraId="173B5311">
      <w:pPr>
        <w:pStyle w:val="3"/>
        <w:widowControl/>
      </w:pPr>
      <w:r>
        <w:t>定义与缩略语</w:t>
      </w:r>
    </w:p>
    <w:p w14:paraId="73F65269">
      <w:pPr>
        <w:pStyle w:val="16"/>
        <w:bidi w:val="0"/>
        <w:ind w:left="360" w:leftChars="0" w:hanging="360" w:firstLineChars="0"/>
      </w:pPr>
      <w:r>
        <w:t>RIN：RNA完整性指数</w:t>
      </w:r>
    </w:p>
    <w:p w14:paraId="696C860C">
      <w:pPr>
        <w:pStyle w:val="16"/>
        <w:bidi w:val="0"/>
        <w:ind w:left="360" w:leftChars="0" w:hanging="360" w:firstLineChars="0"/>
      </w:pPr>
      <w:r>
        <w:t>DV200：&gt;200 nt片段比例</w:t>
      </w:r>
    </w:p>
    <w:p w14:paraId="4B3C9A4C">
      <w:pPr>
        <w:pStyle w:val="16"/>
        <w:bidi w:val="0"/>
        <w:ind w:left="360" w:leftChars="0" w:hanging="360" w:firstLineChars="0"/>
      </w:pPr>
      <w:r>
        <w:t>PASS/BORDERLINE/FAIL：本SOP定义的放行判定</w:t>
      </w:r>
    </w:p>
    <w:p w14:paraId="67BB8C4B">
      <w:pPr>
        <w:pStyle w:val="3"/>
        <w:widowControl/>
      </w:pPr>
      <w:r>
        <w:t>职责</w:t>
      </w:r>
    </w:p>
    <w:p w14:paraId="39338241">
      <w:pPr>
        <w:pStyle w:val="16"/>
        <w:bidi w:val="0"/>
        <w:ind w:left="360" w:leftChars="0" w:hanging="360" w:firstLineChars="0"/>
      </w:pPr>
      <w:r>
        <w:t>RNA分析员：执行QC并填写记录表。</w:t>
      </w:r>
    </w:p>
    <w:p w14:paraId="7A49E2D1">
      <w:pPr>
        <w:pStyle w:val="16"/>
        <w:bidi w:val="0"/>
        <w:ind w:left="360" w:leftChars="0" w:hanging="360" w:firstLineChars="0"/>
      </w:pPr>
      <w:r>
        <w:t>QC复核：核对指标并签核放行。</w:t>
      </w:r>
    </w:p>
    <w:p w14:paraId="16DB5B4B">
      <w:pPr>
        <w:pStyle w:val="3"/>
        <w:widowControl/>
      </w:pPr>
      <w:r>
        <w:t>操作流程</w:t>
      </w:r>
    </w:p>
    <w:p w14:paraId="459B0051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核对流转与温度记录；记录偏差。</w:t>
      </w:r>
    </w:p>
    <w:p w14:paraId="404836FE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按SOP02提取RNA，生成RNA编号并关联样本。</w:t>
      </w:r>
    </w:p>
    <w:p w14:paraId="2DE3FC48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测定浓度（优先荧光法），并记录紫外纯度作为信息性QC。</w:t>
      </w:r>
    </w:p>
    <w:p w14:paraId="40D9C757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TapeStation/Bioanalyzer评估完整性并归档报告。</w:t>
      </w:r>
    </w:p>
    <w:p w14:paraId="3DE8EC4E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依据下表判定放行。</w:t>
      </w:r>
    </w:p>
    <w:p w14:paraId="6B84AB4E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BORDERLINE/FAIL按SOP08重测规则处理并记录。</w:t>
      </w:r>
    </w:p>
    <w:p w14:paraId="1378C28A">
      <w:pPr>
        <w:pStyle w:val="3"/>
        <w:widowControl/>
      </w:pPr>
      <w:r>
        <w:t>质量控制</w:t>
      </w:r>
    </w:p>
    <w:p w14:paraId="376FDAC6">
      <w:pPr>
        <w:pStyle w:val="19"/>
        <w:widowControl/>
      </w:pPr>
      <w:r>
        <w:t>操作性默认阈值（仅可通过SOP08变更控制调整）。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AC5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B1DE19D">
            <w:pPr>
              <w:spacing w:after="0" w:line="240" w:lineRule="auto"/>
            </w:pPr>
            <w:r>
              <w:t>QC项目</w:t>
            </w:r>
          </w:p>
        </w:tc>
        <w:tc>
          <w:tcPr>
            <w:tcW w:w="1666" w:type="pct"/>
          </w:tcPr>
          <w:p w14:paraId="4A7E8CE4">
            <w:pPr>
              <w:spacing w:after="0" w:line="240" w:lineRule="auto"/>
            </w:pPr>
            <w:r>
              <w:t>阈值（PASS / BORDERLINE / FAIL）</w:t>
            </w:r>
          </w:p>
        </w:tc>
        <w:tc>
          <w:tcPr>
            <w:tcW w:w="1666" w:type="pct"/>
          </w:tcPr>
          <w:p w14:paraId="67FFB5A0">
            <w:pPr>
              <w:spacing w:after="0" w:line="240" w:lineRule="auto"/>
            </w:pPr>
            <w:r>
              <w:t>处置</w:t>
            </w:r>
          </w:p>
        </w:tc>
      </w:tr>
      <w:tr w14:paraId="4C256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DAD1A05">
            <w:pPr>
              <w:spacing w:after="0" w:line="240" w:lineRule="auto"/>
            </w:pPr>
            <w:r>
              <w:t>RNA总量</w:t>
            </w:r>
          </w:p>
        </w:tc>
        <w:tc>
          <w:tcPr>
            <w:tcW w:w="1666" w:type="pct"/>
          </w:tcPr>
          <w:p w14:paraId="5BD9CD6A">
            <w:pPr>
              <w:spacing w:after="0" w:line="240" w:lineRule="auto"/>
            </w:pPr>
            <w:r>
              <w:t>≥200 ng / 100–199 ng / &lt;100 ng</w:t>
            </w:r>
          </w:p>
        </w:tc>
        <w:tc>
          <w:tcPr>
            <w:tcW w:w="1666" w:type="pct"/>
          </w:tcPr>
          <w:p w14:paraId="1AC93725">
            <w:pPr>
              <w:spacing w:after="0" w:line="240" w:lineRule="auto"/>
            </w:pPr>
            <w:r>
              <w:t>可复提则复提；否则FAIL</w:t>
            </w:r>
          </w:p>
        </w:tc>
      </w:tr>
      <w:tr w14:paraId="78BC4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4DD41C3">
            <w:pPr>
              <w:spacing w:after="0" w:line="240" w:lineRule="auto"/>
            </w:pPr>
            <w:r>
              <w:t>浓度(ng/µL)</w:t>
            </w:r>
          </w:p>
        </w:tc>
        <w:tc>
          <w:tcPr>
            <w:tcW w:w="1666" w:type="pct"/>
          </w:tcPr>
          <w:p w14:paraId="2F3E15FC">
            <w:pPr>
              <w:spacing w:after="0" w:line="240" w:lineRule="auto"/>
            </w:pPr>
            <w:r>
              <w:t>≥5 / 2–4.9 / &lt;2</w:t>
            </w:r>
          </w:p>
        </w:tc>
        <w:tc>
          <w:tcPr>
            <w:tcW w:w="1666" w:type="pct"/>
          </w:tcPr>
          <w:p w14:paraId="11067FEA">
            <w:pPr>
              <w:spacing w:after="0" w:line="240" w:lineRule="auto"/>
            </w:pPr>
            <w:r>
              <w:t>可行则浓缩或复提</w:t>
            </w:r>
          </w:p>
        </w:tc>
      </w:tr>
      <w:tr w14:paraId="0491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74E7845">
            <w:pPr>
              <w:spacing w:after="0" w:line="240" w:lineRule="auto"/>
            </w:pPr>
            <w:r>
              <w:t>A260/280</w:t>
            </w:r>
          </w:p>
        </w:tc>
        <w:tc>
          <w:tcPr>
            <w:tcW w:w="1666" w:type="pct"/>
          </w:tcPr>
          <w:p w14:paraId="516DE69F">
            <w:pPr>
              <w:spacing w:after="0" w:line="240" w:lineRule="auto"/>
            </w:pPr>
            <w:r>
              <w:t>1.8–2.1 / 1.7–1.79或2.11–2.2 / &lt;1.7或&gt;2.2</w:t>
            </w:r>
          </w:p>
        </w:tc>
        <w:tc>
          <w:tcPr>
            <w:tcW w:w="1666" w:type="pct"/>
          </w:tcPr>
          <w:p w14:paraId="4604061A">
            <w:pPr>
              <w:spacing w:after="0" w:line="240" w:lineRule="auto"/>
            </w:pPr>
            <w:r>
              <w:t>调查；必要时复提</w:t>
            </w:r>
          </w:p>
        </w:tc>
      </w:tr>
      <w:tr w14:paraId="04787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D977051">
            <w:pPr>
              <w:spacing w:after="0" w:line="240" w:lineRule="auto"/>
            </w:pPr>
            <w:r>
              <w:t>A260/230</w:t>
            </w:r>
          </w:p>
        </w:tc>
        <w:tc>
          <w:tcPr>
            <w:tcW w:w="1666" w:type="pct"/>
          </w:tcPr>
          <w:p w14:paraId="2ECC8E97">
            <w:pPr>
              <w:spacing w:after="0" w:line="240" w:lineRule="auto"/>
            </w:pPr>
            <w:r>
              <w:t>≥1.5 / 1.0–1.49 / &lt;1.0</w:t>
            </w:r>
          </w:p>
        </w:tc>
        <w:tc>
          <w:tcPr>
            <w:tcW w:w="1666" w:type="pct"/>
          </w:tcPr>
          <w:p w14:paraId="2A8289E5">
            <w:pPr>
              <w:spacing w:after="0" w:line="240" w:lineRule="auto"/>
            </w:pPr>
            <w:r>
              <w:t>清理或复提</w:t>
            </w:r>
          </w:p>
        </w:tc>
      </w:tr>
      <w:tr w14:paraId="3C45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8C5D4FC">
            <w:pPr>
              <w:spacing w:after="0" w:line="240" w:lineRule="auto"/>
            </w:pPr>
            <w:r>
              <w:t>完整性(RIN)</w:t>
            </w:r>
          </w:p>
        </w:tc>
        <w:tc>
          <w:tcPr>
            <w:tcW w:w="1666" w:type="pct"/>
          </w:tcPr>
          <w:p w14:paraId="20C3FC95">
            <w:pPr>
              <w:spacing w:after="0" w:line="240" w:lineRule="auto"/>
            </w:pPr>
            <w:r>
              <w:t>≥7.0 / 6.0–6.9 / &lt;6.0</w:t>
            </w:r>
          </w:p>
        </w:tc>
        <w:tc>
          <w:tcPr>
            <w:tcW w:w="1666" w:type="pct"/>
          </w:tcPr>
          <w:p w14:paraId="0998C964">
            <w:pPr>
              <w:spacing w:after="0" w:line="240" w:lineRule="auto"/>
            </w:pPr>
            <w:r>
              <w:t>若RIN&lt;7则按DV200规则</w:t>
            </w:r>
          </w:p>
        </w:tc>
      </w:tr>
      <w:tr w14:paraId="4098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4D665D1">
            <w:pPr>
              <w:spacing w:after="0" w:line="240" w:lineRule="auto"/>
            </w:pPr>
            <w:r>
              <w:t>完整性(DV200)</w:t>
            </w:r>
          </w:p>
        </w:tc>
        <w:tc>
          <w:tcPr>
            <w:tcW w:w="1666" w:type="pct"/>
          </w:tcPr>
          <w:p w14:paraId="21F465E3">
            <w:pPr>
              <w:spacing w:after="0" w:line="240" w:lineRule="auto"/>
            </w:pPr>
            <w:r>
              <w:t>≥70% / 50–69% / &lt;50%</w:t>
            </w:r>
          </w:p>
        </w:tc>
        <w:tc>
          <w:tcPr>
            <w:tcW w:w="1666" w:type="pct"/>
          </w:tcPr>
          <w:p w14:paraId="369E9CE0">
            <w:pPr>
              <w:spacing w:after="0" w:line="240" w:lineRule="auto"/>
            </w:pPr>
            <w:r>
              <w:t>按DV200判定BORDERLINE/FAIL</w:t>
            </w:r>
          </w:p>
        </w:tc>
      </w:tr>
      <w:tr w14:paraId="03AA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D50621A">
            <w:pPr>
              <w:spacing w:after="0" w:line="240" w:lineRule="auto"/>
            </w:pPr>
            <w:r>
              <w:t>基因组DNA</w:t>
            </w:r>
          </w:p>
        </w:tc>
        <w:tc>
          <w:tcPr>
            <w:tcW w:w="1666" w:type="pct"/>
          </w:tcPr>
          <w:p w14:paraId="26630BEB">
            <w:pPr>
              <w:spacing w:after="0" w:line="240" w:lineRule="auto"/>
            </w:pPr>
            <w:r>
              <w:t>无/轻度/严重</w:t>
            </w:r>
          </w:p>
        </w:tc>
        <w:tc>
          <w:tcPr>
            <w:tcW w:w="1666" w:type="pct"/>
          </w:tcPr>
          <w:p w14:paraId="30B42216">
            <w:pPr>
              <w:spacing w:after="0" w:line="240" w:lineRule="auto"/>
            </w:pPr>
            <w:r>
              <w:t>DNase/清理；严重=FAIL</w:t>
            </w:r>
          </w:p>
        </w:tc>
      </w:tr>
    </w:tbl>
    <w:p w14:paraId="653B5F88">
      <w:pPr>
        <w:pStyle w:val="3"/>
        <w:widowControl/>
      </w:pPr>
      <w:r>
        <w:t>偏差与CAPA</w:t>
      </w:r>
    </w:p>
    <w:p w14:paraId="1FEB989F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影响有效性的QC失败需登记偏差并按SOP08处理。</w:t>
      </w:r>
    </w:p>
    <w:p w14:paraId="25250D11">
      <w:pPr>
        <w:pStyle w:val="167"/>
        <w:widowControl/>
      </w:pPr>
      <w:r>
        <w:t>参考文献</w:t>
      </w:r>
    </w:p>
    <w:p w14:paraId="29659E3D">
      <w:pPr>
        <w:pStyle w:val="166"/>
        <w:widowControl/>
        <w:numPr>
          <w:ilvl w:val="0"/>
          <w:numId w:val="8"/>
        </w:numPr>
        <w:ind w:left="360" w:leftChars="0" w:hanging="360" w:firstLineChars="0"/>
      </w:pPr>
      <w:r>
        <w:t>TDSC研究方案（Trials投稿包），现行批准版本。</w:t>
      </w:r>
    </w:p>
    <w:p w14:paraId="41981591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TB22检测机构技术SOP：PAXgene Blood RNA流程与NextSeq1000 mRNA测序流程（现行版本）。</w:t>
      </w:r>
    </w:p>
    <w:p w14:paraId="0F48EAD3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TDSC TB22 SOP01/02/05/07（内部SOP体系），现行批准版本。</w:t>
      </w:r>
    </w:p>
    <w:p w14:paraId="506CA990">
      <w:pPr>
        <w:pStyle w:val="164"/>
        <w:widowControl/>
      </w:pPr>
      <w:r>
        <w:t>附录</w:t>
      </w:r>
    </w:p>
    <w:p w14:paraId="1C769267">
      <w:pPr>
        <w:pStyle w:val="19"/>
        <w:widowControl/>
        <w:numPr>
          <w:ilvl w:val="0"/>
          <w:numId w:val="9"/>
        </w:numPr>
      </w:pPr>
      <w:r>
        <w:t>附录03-1：RNA QC记录表模板。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2B36CE"/>
    <w:multiLevelType w:val="singleLevel"/>
    <w:tmpl w:val="FA2B36CE"/>
    <w:lvl w:ilvl="0" w:tentative="0">
      <w:start w:val="0"/>
      <w:numFmt w:val="bullet"/>
      <w:lvlText w:val=""/>
      <w:lvlJc w:val="left"/>
      <w:pPr>
        <w:tabs>
          <w:tab w:val="left" w:pos="21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6A86AE4"/>
    <w:multiLevelType w:val="singleLevel"/>
    <w:tmpl w:val="36A86AE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4B945245"/>
    <w:multiLevelType w:val="singleLevel"/>
    <w:tmpl w:val="4B945245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8B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160" w:after="40" w:line="240" w:lineRule="auto"/>
      <w:jc w:val="left"/>
      <w:outlineLvl w:val="1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200" w:after="80" w:line="240" w:lineRule="auto"/>
      <w:jc w:val="left"/>
      <w:outlineLvl w:val="2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spacing w:before="160" w:after="40" w:line="240" w:lineRule="auto"/>
      <w:jc w:val="left"/>
      <w:outlineLvl w:val="3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paragraph" w:customStyle="1" w:styleId="165">
    <w:name w:val="目录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9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  <w:style w:type="paragraph" w:customStyle="1" w:styleId="166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167">
    <w:name w:val="参考文献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590</Words>
  <Characters>1001</Characters>
  <Lines>0</Lines>
  <Paragraphs>0</Paragraphs>
  <TotalTime>0</TotalTime>
  <ScaleCrop>false</ScaleCrop>
  <LinksUpToDate>false</LinksUpToDate>
  <CharactersWithSpaces>1078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9C194B8D753A40EC8960A9AC9266D6E2_12</vt:lpwstr>
  </property>
</Properties>
</file>