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2FEBE">
      <w:pPr>
        <w:pStyle w:val="31"/>
        <w:widowControl/>
      </w:pPr>
      <w:r>
        <w:t>TDSC-TB22-SOP04：mRNA建库（TruSeq Stranded mRNA）</w:t>
      </w:r>
    </w:p>
    <w:p w14:paraId="6A38A1DA">
      <w:pPr>
        <w:pStyle w:val="19"/>
        <w:widowControl/>
        <w:ind w:firstLine="480" w:firstLineChars="200"/>
      </w:pPr>
      <w:bookmarkStart w:id="0" w:name="_GoBack"/>
      <w:bookmarkEnd w:id="0"/>
      <w:r>
        <w:t>文件编号：TDSC-TB22-SOP04    版本：V1.0    日期：2026-02-09</w:t>
      </w:r>
    </w:p>
    <w:p w14:paraId="609B0ED6"/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DB8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F55DC8A">
            <w:pPr>
              <w:spacing w:after="0" w:line="240" w:lineRule="auto"/>
            </w:pPr>
            <w:r>
              <w:t>起草</w:t>
            </w:r>
          </w:p>
        </w:tc>
        <w:tc>
          <w:tcPr>
            <w:tcW w:w="2500" w:type="pct"/>
          </w:tcPr>
          <w:p w14:paraId="2438DB21">
            <w:pPr>
              <w:spacing w:after="0" w:line="240" w:lineRule="auto"/>
            </w:pPr>
          </w:p>
        </w:tc>
      </w:tr>
      <w:tr w14:paraId="5B8F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2B11ACC">
            <w:pPr>
              <w:spacing w:after="0" w:line="240" w:lineRule="auto"/>
            </w:pPr>
            <w:r>
              <w:t>审核</w:t>
            </w:r>
          </w:p>
        </w:tc>
        <w:tc>
          <w:tcPr>
            <w:tcW w:w="2500" w:type="pct"/>
          </w:tcPr>
          <w:p w14:paraId="02273D5F">
            <w:pPr>
              <w:spacing w:after="0" w:line="240" w:lineRule="auto"/>
            </w:pPr>
          </w:p>
        </w:tc>
      </w:tr>
      <w:tr w14:paraId="44BD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D05DB3B">
            <w:pPr>
              <w:spacing w:after="0" w:line="240" w:lineRule="auto"/>
            </w:pPr>
            <w:r>
              <w:t>批准</w:t>
            </w:r>
          </w:p>
        </w:tc>
        <w:tc>
          <w:tcPr>
            <w:tcW w:w="2500" w:type="pct"/>
          </w:tcPr>
          <w:p w14:paraId="64AB1114">
            <w:pPr>
              <w:spacing w:after="0" w:line="240" w:lineRule="auto"/>
            </w:pPr>
          </w:p>
        </w:tc>
      </w:tr>
      <w:tr w14:paraId="7FB0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EF24A7E">
            <w:pPr>
              <w:spacing w:after="0" w:line="240" w:lineRule="auto"/>
            </w:pPr>
            <w:r>
              <w:t>生效日期</w:t>
            </w:r>
          </w:p>
        </w:tc>
        <w:tc>
          <w:tcPr>
            <w:tcW w:w="2500" w:type="pct"/>
          </w:tcPr>
          <w:p w14:paraId="09BFEC84">
            <w:pPr>
              <w:spacing w:after="0" w:line="240" w:lineRule="auto"/>
            </w:pPr>
            <w:r>
              <w:t>2026-02-09</w:t>
            </w:r>
          </w:p>
        </w:tc>
      </w:tr>
      <w:tr w14:paraId="5CEF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38A9189">
            <w:pPr>
              <w:spacing w:after="0" w:line="240" w:lineRule="auto"/>
            </w:pPr>
            <w:r>
              <w:t>保密等级</w:t>
            </w:r>
          </w:p>
        </w:tc>
        <w:tc>
          <w:tcPr>
            <w:tcW w:w="2500" w:type="pct"/>
          </w:tcPr>
          <w:p w14:paraId="767BA60B">
            <w:pPr>
              <w:spacing w:after="0" w:line="240" w:lineRule="auto"/>
            </w:pPr>
            <w:r>
              <w:t>内部资料 / 保密</w:t>
            </w:r>
          </w:p>
        </w:tc>
      </w:tr>
    </w:tbl>
    <w:p w14:paraId="1F55B076"/>
    <w:p w14:paraId="7C66D0E4">
      <w:pPr>
        <w:pStyle w:val="165"/>
        <w:widowControl/>
        <w:outlineLvl w:val="9"/>
      </w:pPr>
      <w:r>
        <w:t>目录（请在Word中更新域）：</w:t>
      </w:r>
    </w:p>
    <w:p w14:paraId="1DACDFD8">
      <w:pPr>
        <w:pStyle w:val="19"/>
        <w:widowControl/>
      </w:pPr>
      <w:r>
        <w:t>1. 目的  2. 适用范围  3. 定义  4. 职责  5. 操作流程  6. 记录  7. 质量控制  8. 偏差与CAPA  9. 参考文献  10. 附录</w:t>
      </w:r>
    </w:p>
    <w:p w14:paraId="3DED7F2B"/>
    <w:p w14:paraId="0EBE2A06">
      <w:pPr>
        <w:pStyle w:val="3"/>
        <w:widowControl/>
      </w:pPr>
      <w:r>
        <w:t>目的</w:t>
      </w:r>
    </w:p>
    <w:p w14:paraId="2906623A">
      <w:pPr>
        <w:pStyle w:val="19"/>
        <w:widowControl/>
      </w:pPr>
      <w:r>
        <w:t>规范TB22 mRNA建库流程，统一对照、追溯与质控点。</w:t>
      </w:r>
    </w:p>
    <w:p w14:paraId="7687B19E">
      <w:pPr>
        <w:pStyle w:val="3"/>
        <w:widowControl/>
      </w:pPr>
      <w:r>
        <w:t>适用范围</w:t>
      </w:r>
    </w:p>
    <w:p w14:paraId="5B1D9249">
      <w:pPr>
        <w:pStyle w:val="16"/>
        <w:bidi w:val="0"/>
        <w:ind w:left="360" w:leftChars="0" w:hanging="360" w:firstLineChars="0"/>
      </w:pPr>
      <w:r>
        <w:t>适用于中心实验室TruSeq Stranded mRNA建库并用于NextSeq1000测序。</w:t>
      </w:r>
    </w:p>
    <w:p w14:paraId="1C6A5698">
      <w:pPr>
        <w:pStyle w:val="16"/>
        <w:bidi w:val="0"/>
        <w:ind w:left="360" w:leftChars="0" w:hanging="360" w:firstLineChars="0"/>
      </w:pPr>
      <w:r>
        <w:t>对接SOP03（RNA QC）与SOP05（混池/上机）。</w:t>
      </w:r>
    </w:p>
    <w:p w14:paraId="4E21F1D5">
      <w:pPr>
        <w:pStyle w:val="3"/>
        <w:widowControl/>
      </w:pPr>
      <w:r>
        <w:t>定义与缩略语</w:t>
      </w:r>
    </w:p>
    <w:p w14:paraId="395CCE93">
      <w:pPr>
        <w:pStyle w:val="16"/>
        <w:bidi w:val="0"/>
        <w:ind w:left="360" w:leftChars="0" w:hanging="360" w:firstLineChars="0"/>
      </w:pPr>
      <w:r>
        <w:t>UDI：唯一双端索引（如可用建议使用）</w:t>
      </w:r>
    </w:p>
    <w:p w14:paraId="78254E3F">
      <w:pPr>
        <w:pStyle w:val="16"/>
        <w:bidi w:val="0"/>
        <w:ind w:left="360" w:leftChars="0" w:hanging="360" w:firstLineChars="0"/>
      </w:pPr>
      <w:r>
        <w:t>NTC：无模板对照</w:t>
      </w:r>
    </w:p>
    <w:p w14:paraId="70B3BE90">
      <w:pPr>
        <w:pStyle w:val="16"/>
        <w:bidi w:val="0"/>
        <w:ind w:left="360" w:leftChars="0" w:hanging="360" w:firstLineChars="0"/>
      </w:pPr>
      <w:r>
        <w:t>接头二聚体：仅接头形成的伪影峰</w:t>
      </w:r>
    </w:p>
    <w:p w14:paraId="6BCA807D">
      <w:pPr>
        <w:pStyle w:val="3"/>
        <w:widowControl/>
      </w:pPr>
      <w:r>
        <w:t>职责</w:t>
      </w:r>
    </w:p>
    <w:p w14:paraId="779B8DD5">
      <w:pPr>
        <w:pStyle w:val="16"/>
        <w:bidi w:val="0"/>
        <w:ind w:left="360" w:leftChars="0" w:hanging="360" w:firstLineChars="0"/>
      </w:pPr>
      <w:r>
        <w:t>建库人员：执行建库；维护批记录与索引表。</w:t>
      </w:r>
    </w:p>
    <w:p w14:paraId="71AEDF6B">
      <w:pPr>
        <w:pStyle w:val="16"/>
        <w:bidi w:val="0"/>
        <w:ind w:left="360" w:leftChars="0" w:hanging="360" w:firstLineChars="0"/>
      </w:pPr>
      <w:r>
        <w:t>QC复核：核对索引表与QC；批准混池。</w:t>
      </w:r>
    </w:p>
    <w:p w14:paraId="25F850F6">
      <w:pPr>
        <w:pStyle w:val="3"/>
        <w:widowControl/>
      </w:pPr>
      <w:r>
        <w:t>材料与设备</w:t>
      </w:r>
    </w:p>
    <w:p w14:paraId="75042357">
      <w:pPr>
        <w:pStyle w:val="16"/>
        <w:bidi w:val="0"/>
        <w:ind w:left="360" w:leftChars="0" w:hanging="360" w:firstLineChars="0"/>
      </w:pPr>
      <w:r>
        <w:t>TruSeq Stranded mRNA建库试剂盒；Index Set A/B或UDI。</w:t>
      </w:r>
    </w:p>
    <w:p w14:paraId="4C5FCE6F">
      <w:pPr>
        <w:pStyle w:val="16"/>
        <w:bidi w:val="0"/>
        <w:ind w:left="360" w:leftChars="0" w:hanging="360" w:firstLineChars="0"/>
      </w:pPr>
      <w:r>
        <w:t>磁力架；校准移液器；PCR仪；板式离心机。</w:t>
      </w:r>
    </w:p>
    <w:p w14:paraId="6B3794CB">
      <w:pPr>
        <w:pStyle w:val="16"/>
        <w:bidi w:val="0"/>
        <w:ind w:left="360" w:leftChars="0" w:hanging="360" w:firstLineChars="0"/>
      </w:pPr>
      <w:r>
        <w:t>TapeStation/Bioanalyzer；Qubit（或同等）。</w:t>
      </w:r>
    </w:p>
    <w:p w14:paraId="025E3CF9">
      <w:pPr>
        <w:pStyle w:val="3"/>
        <w:widowControl/>
      </w:pPr>
      <w:r>
        <w:t>操作流程</w:t>
      </w:r>
    </w:p>
    <w:p w14:paraId="605C0E53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确认RNA符合SOP03 PASS；记录RNA编号与投入量。</w:t>
      </w:r>
    </w:p>
    <w:p w14:paraId="1926329C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建立批记录：试剂批号、操作者、板图、索引表、对照（NTC；可选阳性对照）。</w:t>
      </w:r>
    </w:p>
    <w:p w14:paraId="6166DF7F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按说明进行poly-A富集、片段化与cDNA合成；记录关键条件。</w:t>
      </w:r>
    </w:p>
    <w:p w14:paraId="0A1E50BB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按分配索引连接接头；双人复核索引表。</w:t>
      </w:r>
    </w:p>
    <w:p w14:paraId="652BF8F9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PCR扩增：记录循环数；随后磁珠纯化洗脱。</w:t>
      </w:r>
    </w:p>
    <w:p w14:paraId="05F57E10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文库质控：片段分布（主峰约260 bp）与浓度；归档报告。</w:t>
      </w:r>
    </w:p>
    <w:p w14:paraId="0DF61A8B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文库保存并按SOP05混池上机。</w:t>
      </w:r>
    </w:p>
    <w:p w14:paraId="3BDB1047">
      <w:pPr>
        <w:pStyle w:val="3"/>
        <w:widowControl/>
      </w:pPr>
      <w:r>
        <w:t>质量控制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623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02075A0">
            <w:pPr>
              <w:spacing w:after="0" w:line="240" w:lineRule="auto"/>
            </w:pPr>
            <w:r>
              <w:t>质控点</w:t>
            </w:r>
          </w:p>
        </w:tc>
        <w:tc>
          <w:tcPr>
            <w:tcW w:w="1666" w:type="pct"/>
          </w:tcPr>
          <w:p w14:paraId="62C6BCB0">
            <w:pPr>
              <w:spacing w:after="0" w:line="240" w:lineRule="auto"/>
            </w:pPr>
            <w:r>
              <w:t>接受标准（默认）</w:t>
            </w:r>
          </w:p>
        </w:tc>
        <w:tc>
          <w:tcPr>
            <w:tcW w:w="1666" w:type="pct"/>
          </w:tcPr>
          <w:p w14:paraId="48B3A750">
            <w:pPr>
              <w:spacing w:after="0" w:line="240" w:lineRule="auto"/>
            </w:pPr>
            <w:r>
              <w:t>不满足时</w:t>
            </w:r>
          </w:p>
        </w:tc>
      </w:tr>
      <w:tr w14:paraId="5E31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9ED6C31">
            <w:pPr>
              <w:spacing w:after="0" w:line="240" w:lineRule="auto"/>
            </w:pPr>
            <w:r>
              <w:t>索引表复核</w:t>
            </w:r>
          </w:p>
        </w:tc>
        <w:tc>
          <w:tcPr>
            <w:tcW w:w="1666" w:type="pct"/>
          </w:tcPr>
          <w:p w14:paraId="0F4D2A0E">
            <w:pPr>
              <w:spacing w:after="0" w:line="240" w:lineRule="auto"/>
            </w:pPr>
            <w:r>
              <w:t>完成双人复核</w:t>
            </w:r>
          </w:p>
        </w:tc>
        <w:tc>
          <w:tcPr>
            <w:tcW w:w="1666" w:type="pct"/>
          </w:tcPr>
          <w:p w14:paraId="0285CF51">
            <w:pPr>
              <w:spacing w:after="0" w:line="240" w:lineRule="auto"/>
            </w:pPr>
            <w:r>
              <w:t>暂停；更正；记录偏差</w:t>
            </w:r>
          </w:p>
        </w:tc>
      </w:tr>
      <w:tr w14:paraId="5EF7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6C18048">
            <w:pPr>
              <w:spacing w:after="0" w:line="240" w:lineRule="auto"/>
            </w:pPr>
            <w:r>
              <w:t>文库大小</w:t>
            </w:r>
          </w:p>
        </w:tc>
        <w:tc>
          <w:tcPr>
            <w:tcW w:w="1666" w:type="pct"/>
          </w:tcPr>
          <w:p w14:paraId="243E0AB6">
            <w:pPr>
              <w:spacing w:after="0" w:line="240" w:lineRule="auto"/>
            </w:pPr>
            <w:r>
              <w:t>主峰约260 bp；接头伪影少</w:t>
            </w:r>
          </w:p>
        </w:tc>
        <w:tc>
          <w:tcPr>
            <w:tcW w:w="1666" w:type="pct"/>
          </w:tcPr>
          <w:p w14:paraId="609BA925">
            <w:pPr>
              <w:spacing w:after="0" w:line="240" w:lineRule="auto"/>
            </w:pPr>
            <w:r>
              <w:t>磁珠清理；复测</w:t>
            </w:r>
          </w:p>
        </w:tc>
      </w:tr>
      <w:tr w14:paraId="09B7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0603C91">
            <w:pPr>
              <w:spacing w:after="0" w:line="240" w:lineRule="auto"/>
            </w:pPr>
            <w:r>
              <w:t>文库浓度</w:t>
            </w:r>
          </w:p>
        </w:tc>
        <w:tc>
          <w:tcPr>
            <w:tcW w:w="1666" w:type="pct"/>
          </w:tcPr>
          <w:p w14:paraId="481C1643">
            <w:pPr>
              <w:spacing w:after="0" w:line="240" w:lineRule="auto"/>
            </w:pPr>
            <w:r>
              <w:t>满足混池计划</w:t>
            </w:r>
          </w:p>
        </w:tc>
        <w:tc>
          <w:tcPr>
            <w:tcW w:w="1666" w:type="pct"/>
          </w:tcPr>
          <w:p w14:paraId="17902157">
            <w:pPr>
              <w:spacing w:after="0" w:line="240" w:lineRule="auto"/>
            </w:pPr>
            <w:r>
              <w:t>复定量；可行则浓缩</w:t>
            </w:r>
          </w:p>
        </w:tc>
      </w:tr>
      <w:tr w14:paraId="6F01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47B96B1">
            <w:pPr>
              <w:spacing w:after="0" w:line="240" w:lineRule="auto"/>
            </w:pPr>
            <w:r>
              <w:t>NTC</w:t>
            </w:r>
          </w:p>
        </w:tc>
        <w:tc>
          <w:tcPr>
            <w:tcW w:w="1666" w:type="pct"/>
          </w:tcPr>
          <w:p w14:paraId="73ADDDC3">
            <w:pPr>
              <w:spacing w:after="0" w:line="240" w:lineRule="auto"/>
            </w:pPr>
            <w:r>
              <w:t>无可检测文库峰</w:t>
            </w:r>
          </w:p>
        </w:tc>
        <w:tc>
          <w:tcPr>
            <w:tcW w:w="1666" w:type="pct"/>
          </w:tcPr>
          <w:p w14:paraId="09638F99">
            <w:pPr>
              <w:spacing w:after="0" w:line="240" w:lineRule="auto"/>
            </w:pPr>
            <w:r>
              <w:t>调查污染；批次隔离</w:t>
            </w:r>
          </w:p>
        </w:tc>
      </w:tr>
    </w:tbl>
    <w:p w14:paraId="354D507F">
      <w:pPr>
        <w:pStyle w:val="3"/>
        <w:widowControl/>
      </w:pPr>
      <w:r>
        <w:t>偏差与CAPA</w:t>
      </w:r>
    </w:p>
    <w:p w14:paraId="5F181CA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索引错配风险、污染信号或NTC失败为重大偏差（SOP08）。</w:t>
      </w:r>
    </w:p>
    <w:p w14:paraId="0B3210D6">
      <w:pPr>
        <w:pStyle w:val="167"/>
        <w:widowControl/>
      </w:pPr>
      <w:r>
        <w:t>参考文献</w:t>
      </w:r>
    </w:p>
    <w:p w14:paraId="7F815922">
      <w:pPr>
        <w:pStyle w:val="166"/>
        <w:widowControl/>
        <w:numPr>
          <w:ilvl w:val="0"/>
          <w:numId w:val="8"/>
        </w:numPr>
        <w:ind w:left="360" w:leftChars="0" w:hanging="360" w:firstLineChars="0"/>
      </w:pPr>
      <w:r>
        <w:t>TDSC研究方案（Trials投稿包），现行批准版本。</w:t>
      </w:r>
    </w:p>
    <w:p w14:paraId="0C8D519C">
      <w:pPr>
        <w:pStyle w:val="166"/>
        <w:widowControl/>
        <w:numPr>
          <w:ilvl w:val="0"/>
          <w:numId w:val="8"/>
        </w:numPr>
        <w:ind w:left="360" w:leftChars="0" w:hanging="360" w:firstLineChars="0"/>
      </w:pPr>
      <w:r>
        <w:t>TB22检测机构技术SOP：PAXgene Blood RNA流程与NextSeq1000 mRNA测序流程（现行版本）。</w:t>
      </w:r>
    </w:p>
    <w:p w14:paraId="1F26381B">
      <w:pPr>
        <w:pStyle w:val="166"/>
        <w:widowControl/>
        <w:numPr>
          <w:ilvl w:val="0"/>
          <w:numId w:val="8"/>
        </w:numPr>
        <w:ind w:left="360" w:leftChars="0" w:hanging="360" w:firstLineChars="0"/>
      </w:pPr>
      <w:r>
        <w:t>TDSC TB22 SOP01/02/05/07（内部SOP体系），现行批准版本。</w:t>
      </w:r>
    </w:p>
    <w:p w14:paraId="64BCB159">
      <w:pPr>
        <w:pStyle w:val="164"/>
        <w:widowControl/>
      </w:pPr>
      <w:r>
        <w:t>附录</w:t>
      </w:r>
    </w:p>
    <w:p w14:paraId="2000C47B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附录04-1：建库批记录模板。</w:t>
      </w:r>
    </w:p>
    <w:p w14:paraId="3C2A26C7">
      <w:pPr>
        <w:pStyle w:val="19"/>
        <w:widowControl/>
        <w:numPr>
          <w:ilvl w:val="0"/>
          <w:numId w:val="9"/>
        </w:numPr>
      </w:pPr>
      <w:r>
        <w:t>附录04-2：索引表与复核记录模板。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8E2D6"/>
    <w:multiLevelType w:val="singleLevel"/>
    <w:tmpl w:val="87F8E2D6"/>
    <w:lvl w:ilvl="0" w:tentative="0">
      <w:start w:val="0"/>
      <w:numFmt w:val="bullet"/>
      <w:lvlText w:val=""/>
      <w:lvlJc w:val="left"/>
      <w:pPr>
        <w:tabs>
          <w:tab w:val="left" w:pos="210"/>
        </w:tabs>
        <w:ind w:left="360" w:hanging="360"/>
      </w:pPr>
      <w:rPr>
        <w:rFonts w:hint="default" w:ascii="Symbol" w:hAnsi="Symbol"/>
      </w:rPr>
    </w:lvl>
  </w:abstractNum>
  <w:abstractNum w:abstractNumId="1">
    <w:nsid w:val="E24BDB4C"/>
    <w:multiLevelType w:val="singleLevel"/>
    <w:tmpl w:val="E24BDB4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D579665"/>
    <w:multiLevelType w:val="singleLevel"/>
    <w:tmpl w:val="4D579665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CE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paragraph" w:customStyle="1" w:styleId="165">
    <w:name w:val="目录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9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  <w:style w:type="paragraph" w:customStyle="1" w:styleId="166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67">
    <w:name w:val="参考文献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673</Words>
  <Characters>967</Characters>
  <Lines>0</Lines>
  <Paragraphs>0</Paragraphs>
  <TotalTime>0</TotalTime>
  <ScaleCrop>false</ScaleCrop>
  <LinksUpToDate>false</LinksUpToDate>
  <CharactersWithSpaces>1023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2026-03-13T07:07:46Z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54B954650B5D4B899DFA750630FC7F61_12</vt:lpwstr>
  </property>
</Properties>
</file>