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A3B9C">
      <w:pPr>
        <w:pStyle w:val="31"/>
        <w:widowControl/>
        <w:ind w:firstLine="3534" w:firstLineChars="1100"/>
      </w:pPr>
      <w:r>
        <w:t>TDSC Study</w:t>
      </w:r>
    </w:p>
    <w:p w14:paraId="3C1F1618">
      <w:pPr>
        <w:pStyle w:val="31"/>
        <w:widowControl/>
      </w:pPr>
      <w:r>
        <w:t>TB22-SOP05 NextSeq 1000 mRNA测序运行设置（文库混池、变性与上机）</w:t>
      </w:r>
    </w:p>
    <w:p w14:paraId="38C74377">
      <w:pPr>
        <w:jc w:val="center"/>
      </w:pPr>
      <w:r>
        <w:t>文件编号：TDSC-TB22-SOP05    版本：V1.0    生效日期：2026-02-09</w:t>
      </w:r>
    </w:p>
    <w:p w14:paraId="3A5A48C7"/>
    <w:p w14:paraId="12BC4D9F">
      <w:pPr>
        <w:pStyle w:val="3"/>
        <w:widowControl/>
      </w:pPr>
      <w:r>
        <w:t>文件控制信息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3"/>
        <w:gridCol w:w="6977"/>
      </w:tblGrid>
      <w:tr w14:paraId="34FDC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pct"/>
            <w:vAlign w:val="center"/>
          </w:tcPr>
          <w:p w14:paraId="02336561">
            <w:pPr>
              <w:pStyle w:val="19"/>
              <w:widowControl/>
            </w:pPr>
            <w:r>
              <w:t>起草</w:t>
            </w:r>
          </w:p>
        </w:tc>
        <w:tc>
          <w:tcPr>
            <w:tcW w:w="3502" w:type="pct"/>
            <w:vAlign w:val="center"/>
          </w:tcPr>
          <w:p w14:paraId="54CCF604">
            <w:pPr>
              <w:pStyle w:val="19"/>
              <w:widowControl/>
            </w:pPr>
            <w:r>
              <w:t>TDSC中心实验室</w:t>
            </w:r>
          </w:p>
        </w:tc>
      </w:tr>
      <w:tr w14:paraId="510E1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pct"/>
            <w:vAlign w:val="center"/>
          </w:tcPr>
          <w:p w14:paraId="74C2526C">
            <w:pPr>
              <w:pStyle w:val="19"/>
              <w:widowControl/>
            </w:pPr>
            <w:r>
              <w:t>审核</w:t>
            </w:r>
          </w:p>
        </w:tc>
        <w:tc>
          <w:tcPr>
            <w:tcW w:w="3502" w:type="pct"/>
            <w:vAlign w:val="center"/>
          </w:tcPr>
          <w:p w14:paraId="6462F27A">
            <w:pPr>
              <w:pStyle w:val="19"/>
              <w:widowControl/>
            </w:pPr>
            <w:r>
              <w:t>TDSC测序平台</w:t>
            </w:r>
          </w:p>
        </w:tc>
      </w:tr>
      <w:tr w14:paraId="1631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pct"/>
            <w:vAlign w:val="center"/>
          </w:tcPr>
          <w:p w14:paraId="761B3AC5">
            <w:pPr>
              <w:pStyle w:val="19"/>
              <w:widowControl/>
            </w:pPr>
            <w:r>
              <w:t>批准</w:t>
            </w:r>
          </w:p>
        </w:tc>
        <w:tc>
          <w:tcPr>
            <w:tcW w:w="3502" w:type="pct"/>
            <w:vAlign w:val="center"/>
          </w:tcPr>
          <w:p w14:paraId="7BEDFDB3">
            <w:pPr>
              <w:pStyle w:val="19"/>
              <w:widowControl/>
            </w:pPr>
            <w:r>
              <w:t>实验室负责人</w:t>
            </w:r>
          </w:p>
        </w:tc>
      </w:tr>
      <w:tr w14:paraId="78EF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pct"/>
            <w:vAlign w:val="center"/>
          </w:tcPr>
          <w:p w14:paraId="39E24CF4">
            <w:pPr>
              <w:pStyle w:val="19"/>
              <w:widowControl/>
            </w:pPr>
            <w:r>
              <w:t>保密级别</w:t>
            </w:r>
          </w:p>
        </w:tc>
        <w:tc>
          <w:tcPr>
            <w:tcW w:w="3502" w:type="pct"/>
            <w:vAlign w:val="center"/>
          </w:tcPr>
          <w:p w14:paraId="655AB23F">
            <w:pPr>
              <w:pStyle w:val="19"/>
              <w:widowControl/>
            </w:pPr>
            <w:r>
              <w:t>保密 – 仅限TDSC试验使用</w:t>
            </w:r>
          </w:p>
        </w:tc>
      </w:tr>
      <w:tr w14:paraId="1BF18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pct"/>
            <w:vAlign w:val="center"/>
          </w:tcPr>
          <w:p w14:paraId="2B0F85DB">
            <w:pPr>
              <w:pStyle w:val="19"/>
              <w:widowControl/>
            </w:pPr>
            <w:r>
              <w:t>替代版本</w:t>
            </w:r>
          </w:p>
        </w:tc>
        <w:tc>
          <w:tcPr>
            <w:tcW w:w="3502" w:type="pct"/>
            <w:vAlign w:val="center"/>
          </w:tcPr>
          <w:p w14:paraId="6E2F4DB5">
            <w:pPr>
              <w:pStyle w:val="19"/>
              <w:widowControl/>
            </w:pPr>
            <w:r>
              <w:t>无（新文件）</w:t>
            </w:r>
          </w:p>
        </w:tc>
      </w:tr>
      <w:tr w14:paraId="7334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pct"/>
            <w:vAlign w:val="center"/>
          </w:tcPr>
          <w:p w14:paraId="144C9AAB">
            <w:pPr>
              <w:pStyle w:val="19"/>
              <w:widowControl/>
            </w:pPr>
            <w:r>
              <w:t>适用范围</w:t>
            </w:r>
          </w:p>
        </w:tc>
        <w:tc>
          <w:tcPr>
            <w:tcW w:w="3502" w:type="pct"/>
            <w:vAlign w:val="center"/>
          </w:tcPr>
          <w:p w14:paraId="73D0FA52">
            <w:pPr>
              <w:pStyle w:val="19"/>
              <w:widowControl/>
            </w:pPr>
            <w:r>
              <w:t>TDSC各分中心与中心实验室</w:t>
            </w:r>
          </w:p>
        </w:tc>
      </w:tr>
      <w:tr w14:paraId="234C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7" w:type="pct"/>
            <w:vAlign w:val="center"/>
          </w:tcPr>
          <w:p w14:paraId="49ED34BE">
            <w:pPr>
              <w:pStyle w:val="19"/>
              <w:widowControl/>
            </w:pPr>
            <w:r>
              <w:t>分发范围</w:t>
            </w:r>
          </w:p>
        </w:tc>
        <w:tc>
          <w:tcPr>
            <w:tcW w:w="3502" w:type="pct"/>
            <w:vAlign w:val="center"/>
          </w:tcPr>
          <w:p w14:paraId="0A7DBD48">
            <w:pPr>
              <w:pStyle w:val="19"/>
              <w:widowControl/>
            </w:pPr>
            <w:r>
              <w:t>研究者、分中心工作人员、中心实验室、数据管理团队</w:t>
            </w:r>
          </w:p>
        </w:tc>
      </w:tr>
    </w:tbl>
    <w:p w14:paraId="4664EB72"/>
    <w:p w14:paraId="365C949D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0C70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5DB1134">
            <w:pPr>
              <w:pStyle w:val="19"/>
              <w:widowControl/>
            </w:pPr>
            <w:r>
              <w:t>版本</w:t>
            </w:r>
          </w:p>
        </w:tc>
        <w:tc>
          <w:tcPr>
            <w:tcW w:w="1250" w:type="pct"/>
          </w:tcPr>
          <w:p w14:paraId="5B73E9B0">
            <w:pPr>
              <w:pStyle w:val="19"/>
              <w:widowControl/>
            </w:pPr>
            <w:r>
              <w:t>日期</w:t>
            </w:r>
          </w:p>
        </w:tc>
        <w:tc>
          <w:tcPr>
            <w:tcW w:w="1250" w:type="pct"/>
          </w:tcPr>
          <w:p w14:paraId="53E34C50">
            <w:pPr>
              <w:pStyle w:val="19"/>
              <w:widowControl/>
            </w:pPr>
            <w:r>
              <w:t>修订说明</w:t>
            </w:r>
          </w:p>
        </w:tc>
        <w:tc>
          <w:tcPr>
            <w:tcW w:w="1250" w:type="pct"/>
          </w:tcPr>
          <w:p w14:paraId="00CAE8EE">
            <w:pPr>
              <w:pStyle w:val="19"/>
              <w:widowControl/>
            </w:pPr>
            <w:r>
              <w:t>负责人</w:t>
            </w:r>
          </w:p>
        </w:tc>
      </w:tr>
      <w:tr w14:paraId="7A3F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A97A12B">
            <w:pPr>
              <w:pStyle w:val="19"/>
              <w:widowControl/>
            </w:pPr>
            <w:r>
              <w:t>V1.0</w:t>
            </w:r>
          </w:p>
        </w:tc>
        <w:tc>
          <w:tcPr>
            <w:tcW w:w="1250" w:type="pct"/>
          </w:tcPr>
          <w:p w14:paraId="1DC7978B">
            <w:pPr>
              <w:pStyle w:val="19"/>
              <w:widowControl/>
            </w:pPr>
            <w:r>
              <w:t>2026-02-09</w:t>
            </w:r>
          </w:p>
        </w:tc>
        <w:tc>
          <w:tcPr>
            <w:tcW w:w="1250" w:type="pct"/>
          </w:tcPr>
          <w:p w14:paraId="60BCA110">
            <w:pPr>
              <w:pStyle w:val="19"/>
              <w:widowControl/>
            </w:pPr>
            <w:r>
              <w:t>首次发布</w:t>
            </w:r>
          </w:p>
        </w:tc>
        <w:tc>
          <w:tcPr>
            <w:tcW w:w="1250" w:type="pct"/>
          </w:tcPr>
          <w:p w14:paraId="578AF180">
            <w:pPr>
              <w:pStyle w:val="19"/>
              <w:widowControl/>
            </w:pPr>
            <w:r>
              <w:t>TDSC团队</w:t>
            </w:r>
          </w:p>
        </w:tc>
      </w:tr>
    </w:tbl>
    <w:p w14:paraId="3F9319C1"/>
    <w:p w14:paraId="4C47847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1FCD8F95">
      <w:pPr>
        <w:pStyle w:val="19"/>
        <w:widowControl/>
      </w:pPr>
      <w:r>
        <w:t>规范TB22 mRNA文库在NextSeq 1000上机前的准备流程：文库质控、10 nM混池、制备含1% PhiX的1 nM终混合液及加样上机。</w:t>
      </w:r>
    </w:p>
    <w:p w14:paraId="39AE2ED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0B7BC3EE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适用于Illumina NextSeq 1000/2000（MID Output）平台执行TB22测序。</w:t>
      </w:r>
    </w:p>
    <w:p w14:paraId="546C97A8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文库构建（如TruSeq Stranded mRNA）另有验证流程；本SOP从“已完成建库、待测序”开始。</w:t>
      </w:r>
    </w:p>
    <w:p w14:paraId="4A442C4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关键定义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43BA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ED7C4D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  <w:lang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  <w:lang/>
              </w:rPr>
              <w:t>RSB</w:t>
            </w:r>
          </w:p>
        </w:tc>
        <w:tc>
          <w:tcPr>
            <w:tcW w:w="6236" w:type="dxa"/>
          </w:tcPr>
          <w:p w14:paraId="0274480C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  <w:lang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  <w:lang/>
              </w:rPr>
              <w:t>Resuspension Buffer；可用10 mM Tris-HCl（pH 8.5）+0.1% Tween 20替代</w:t>
            </w:r>
          </w:p>
        </w:tc>
      </w:tr>
      <w:tr w14:paraId="352A3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135D82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  <w:lang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  <w:lang/>
              </w:rPr>
              <w:t>PhiX</w:t>
            </w:r>
          </w:p>
        </w:tc>
        <w:tc>
          <w:tcPr>
            <w:tcW w:w="6236" w:type="dxa"/>
          </w:tcPr>
          <w:p w14:paraId="557AA7B5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  <w:lang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  <w:lang/>
              </w:rPr>
              <w:t>Illumina PhiX对照文库（用于运行质控）</w:t>
            </w:r>
          </w:p>
        </w:tc>
      </w:tr>
      <w:tr w14:paraId="1FEC3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0DCEE3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  <w:lang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  <w:lang/>
              </w:rPr>
              <w:t>MID Output</w:t>
            </w:r>
          </w:p>
        </w:tc>
        <w:tc>
          <w:tcPr>
            <w:tcW w:w="6236" w:type="dxa"/>
          </w:tcPr>
          <w:p w14:paraId="3A40A0FB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  <w:lang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  <w:lang/>
              </w:rPr>
              <w:t>P2试剂对应的中等通量运行模式</w:t>
            </w:r>
          </w:p>
        </w:tc>
      </w:tr>
      <w:tr w14:paraId="29F0B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34B61B8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  <w:lang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  <w:lang/>
              </w:rPr>
              <w:t>TapeStation</w:t>
            </w:r>
          </w:p>
        </w:tc>
        <w:tc>
          <w:tcPr>
            <w:tcW w:w="6236" w:type="dxa"/>
          </w:tcPr>
          <w:p w14:paraId="19005F91">
            <w:pPr>
              <w:spacing w:after="0" w:line="240" w:lineRule="auto"/>
              <w:rPr>
                <w:rFonts w:ascii="Times New Roman" w:hAnsi="Calibri" w:eastAsia="宋体" w:cs="Times New Roman"/>
                <w:sz w:val="24"/>
                <w:szCs w:val="20"/>
                <w:lang/>
              </w:rPr>
            </w:pPr>
            <w:r>
              <w:rPr>
                <w:rFonts w:ascii="Times New Roman" w:hAnsi="Calibri" w:eastAsia="宋体" w:cs="Times New Roman"/>
                <w:sz w:val="24"/>
                <w:szCs w:val="20"/>
                <w:lang/>
              </w:rPr>
              <w:t>Agilent TapeStation，用于文库片段大小/质量评估</w:t>
            </w:r>
          </w:p>
        </w:tc>
      </w:tr>
    </w:tbl>
    <w:p w14:paraId="5E87CA4A">
      <w:pPr>
        <w:rPr>
          <w:rFonts w:ascii="Times New Roman" w:hAnsi="Calibri" w:eastAsia="宋体" w:cs="Times New Roman"/>
          <w:sz w:val="24"/>
          <w:szCs w:val="20"/>
          <w:lang/>
        </w:rPr>
      </w:pPr>
    </w:p>
    <w:p w14:paraId="5C63056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物资与设备</w:t>
      </w:r>
    </w:p>
    <w:p w14:paraId="0A50497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Illumina NextSeq 1000/2000 P2 试剂（100 cycles）v3（或平台批准等效品）。</w:t>
      </w:r>
    </w:p>
    <w:p w14:paraId="6D15248D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NextSeq卡匣（-20°C保存；上机前一天4°C解冻）。</w:t>
      </w:r>
    </w:p>
    <w:p w14:paraId="434C5DC2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RSB缓冲液或10 mM Tris-HCl（pH 8.5）+0.1% Tween 20。</w:t>
      </w:r>
    </w:p>
    <w:p w14:paraId="46CD37FC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PhiX对照文库（10 nM库存）、Qubit、Agilent TapeStation（或同等设备）、离心机、移液器与滤芯枪头。</w:t>
      </w:r>
    </w:p>
    <w:p w14:paraId="352A2CE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操作流程</w:t>
      </w:r>
    </w:p>
    <w:p w14:paraId="31541370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文库质控（混池前）</w:t>
      </w:r>
    </w:p>
    <w:p w14:paraId="7D95F37E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使用Qubit等定量文库浓度，并用TapeStation确认片段大小分布。</w:t>
      </w:r>
    </w:p>
    <w:p w14:paraId="7154FE80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终PCR产物预期大小约260 bp；如出现接头/杂带，按验证流程进行磁珠纯化。</w:t>
      </w:r>
    </w:p>
    <w:p w14:paraId="2E5A190C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文库归一化并混池至10 nM</w:t>
      </w:r>
    </w:p>
    <w:p w14:paraId="298B65B3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使用RSB或10 mM Tris-HCl（pH 8.5 + 0.1% Tween 20）将每个文库归一化至10 nM。</w:t>
      </w:r>
    </w:p>
    <w:p w14:paraId="31F98669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按等摩尔量混合形成10 nM样本文库混合液（记录混池方案与板号）。</w:t>
      </w:r>
    </w:p>
    <w:p w14:paraId="2569D19E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制备含1% PhiX的1 nM终混合液（Protocol A）</w:t>
      </w:r>
    </w:p>
    <w:p w14:paraId="39DBECA9">
      <w:pPr>
        <w:pStyle w:val="19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制备2 nM混合液：取10 µL 10 nM文库混合液 + 40 µL 10 mM Tris-HCl（pH 8.5 + 0.1% Tween 20），得到2 nM。</w:t>
      </w:r>
    </w:p>
    <w:p w14:paraId="2ECA922D">
      <w:pPr>
        <w:pStyle w:val="19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制备1 nM混合液：取50 µL 2 nM混合液 + 50 µL RSB（含0.1% Tween 20），得到1 nM。</w:t>
      </w:r>
    </w:p>
    <w:p w14:paraId="5C21DF86">
      <w:pPr>
        <w:pStyle w:val="19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制备1 nM PhiX：10 µL 10 nM PhiX + 90 µL RSB（含0.1% Tween 20），分装后-20°C保存。</w:t>
      </w:r>
    </w:p>
    <w:p w14:paraId="7D013505">
      <w:pPr>
        <w:pStyle w:val="19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加入1% PhiX：从1 nM混合液中吸取并弃去1 µL，再加入1 µL 1 nM PhiX（最终为1% PhiX）。</w:t>
      </w:r>
    </w:p>
    <w:p w14:paraId="48E3E483">
      <w:pPr>
        <w:pStyle w:val="19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取20 µL终混合液加入NextSeq卡匣指定加样孔。</w:t>
      </w:r>
    </w:p>
    <w:p w14:paraId="7073B794">
      <w:pPr>
        <w:pStyle w:val="4"/>
        <w:widowControl/>
      </w:pPr>
      <w:r>
        <w:t>5.4 卡匣解冻与运行启动</w:t>
      </w:r>
    </w:p>
    <w:p w14:paraId="21F25B05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卡匣上机前一天置于4°C解冻，次日早晨按厂家建议回温至室温。</w:t>
      </w:r>
    </w:p>
    <w:p w14:paraId="46DC3A00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混合液短暂离心并检查</w:t>
      </w:r>
      <w:bookmarkStart w:id="0" w:name="_GoBack"/>
      <w:bookmarkEnd w:id="0"/>
      <w:r>
        <w:t>是否有气泡后再加样。</w:t>
      </w:r>
    </w:p>
    <w:p w14:paraId="3A409422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建立并核对样本表（样本编号、Index、读长/循环数）。</w:t>
      </w:r>
    </w:p>
    <w:p w14:paraId="6A3890DC">
      <w:pPr>
        <w:pStyle w:val="19"/>
        <w:widowControl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启动运行并监测实时质控指标。</w:t>
      </w:r>
    </w:p>
    <w:p w14:paraId="0E1119B9">
      <w:pPr>
        <w:pStyle w:val="3"/>
        <w:widowControl/>
        <w:numPr>
          <w:ilvl w:val="0"/>
          <w:numId w:val="15"/>
        </w:numPr>
        <w:ind w:left="0" w:leftChars="0" w:firstLine="0" w:firstLineChars="0"/>
        <w:rPr>
          <w:b/>
          <w:bdr w:val="none" w:sz="0" w:space="0"/>
        </w:rPr>
      </w:pPr>
      <w:r>
        <w:t>运行质控与放行</w:t>
      </w:r>
    </w:p>
    <w:p w14:paraId="61874E05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记录运行编号、试剂批号、卡匣编号、操作者、开始/结束时间。</w:t>
      </w:r>
    </w:p>
    <w:p w14:paraId="20C8D8D1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监测关键指标（如产量、%Q30、PhiX错误率），并与平台阈值比对。</w:t>
      </w:r>
    </w:p>
    <w:p w14:paraId="4E9F1730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如运行未达放行标准，需记录偏差、开展根因分析并评估是否重测（使用保留文库）。</w:t>
      </w:r>
    </w:p>
    <w:p w14:paraId="0D2A3E73">
      <w:pPr>
        <w:pStyle w:val="3"/>
        <w:widowControl/>
        <w:numPr>
          <w:ilvl w:val="0"/>
          <w:numId w:val="15"/>
        </w:numPr>
        <w:ind w:left="0" w:leftChars="0" w:firstLine="0" w:firstLineChars="0"/>
        <w:rPr>
          <w:b/>
          <w:bdr w:val="none" w:sz="0" w:space="0"/>
        </w:rPr>
      </w:pPr>
      <w:r>
        <w:t>数据交付与保存</w:t>
      </w:r>
    </w:p>
    <w:p w14:paraId="24CDD86C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按分析流程导出原始数据（BCL）和/或FASTQ，并生成校验值（checksum）。</w:t>
      </w:r>
    </w:p>
    <w:p w14:paraId="2FAD4B7D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通过批准的安全通道传输至受控生信工作区。</w:t>
      </w:r>
    </w:p>
    <w:p w14:paraId="57AB3DC0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归档运行文件夹、样本表与质控报告，并启用只读审计保护。</w:t>
      </w:r>
    </w:p>
    <w:p w14:paraId="25BC669D">
      <w:pPr>
        <w:pStyle w:val="3"/>
        <w:widowControl/>
        <w:numPr>
          <w:ilvl w:val="0"/>
          <w:numId w:val="15"/>
        </w:numPr>
        <w:ind w:left="0" w:leftChars="0" w:firstLine="0" w:firstLineChars="0"/>
        <w:rPr>
          <w:b/>
          <w:bdr w:val="none" w:sz="0" w:space="0"/>
        </w:rPr>
      </w:pPr>
      <w:r>
        <w:t>参考文件</w:t>
      </w:r>
    </w:p>
    <w:p w14:paraId="29ACDD02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测序平台原始SOP（NextSeq1000 MID Output mRNA）。</w:t>
      </w:r>
    </w:p>
    <w:p w14:paraId="02F6FB94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TDSC研究方案（现行批准版本）。</w:t>
      </w:r>
    </w:p>
    <w:p w14:paraId="7C96E6C5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EE606"/>
    <w:multiLevelType w:val="singleLevel"/>
    <w:tmpl w:val="8A4EE60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8DF38DE3"/>
    <w:multiLevelType w:val="singleLevel"/>
    <w:tmpl w:val="8DF38DE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9AF85F8C"/>
    <w:multiLevelType w:val="singleLevel"/>
    <w:tmpl w:val="9AF85F8C"/>
    <w:lvl w:ilvl="0" w:tentative="0">
      <w:start w:val="6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9B18F6D8"/>
    <w:multiLevelType w:val="singleLevel"/>
    <w:tmpl w:val="9B18F6D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C18C537D"/>
    <w:multiLevelType w:val="singleLevel"/>
    <w:tmpl w:val="C18C537D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5">
    <w:nsid w:val="C85E8030"/>
    <w:multiLevelType w:val="singleLevel"/>
    <w:tmpl w:val="C85E803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F4147440"/>
    <w:multiLevelType w:val="singleLevel"/>
    <w:tmpl w:val="F414744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153D076D"/>
    <w:multiLevelType w:val="singleLevel"/>
    <w:tmpl w:val="153D076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39B6D5B3"/>
    <w:multiLevelType w:val="singleLevel"/>
    <w:tmpl w:val="39B6D5B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4DA12A86"/>
    <w:multiLevelType w:val="singleLevel"/>
    <w:tmpl w:val="4DA12A8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4EEA42EB"/>
    <w:multiLevelType w:val="singleLevel"/>
    <w:tmpl w:val="4EEA42EB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69F6E38A"/>
    <w:multiLevelType w:val="singleLevel"/>
    <w:tmpl w:val="69F6E38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6B91CF09"/>
    <w:multiLevelType w:val="singleLevel"/>
    <w:tmpl w:val="6B91CF0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11"/>
  </w:num>
  <w:num w:numId="3">
    <w:abstractNumId w:val="15"/>
  </w:num>
  <w:num w:numId="4">
    <w:abstractNumId w:val="9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16"/>
  </w:num>
  <w:num w:numId="10">
    <w:abstractNumId w:val="4"/>
  </w:num>
  <w:num w:numId="11">
    <w:abstractNumId w:val="17"/>
  </w:num>
  <w:num w:numId="12">
    <w:abstractNumId w:val="13"/>
  </w:num>
  <w:num w:numId="13">
    <w:abstractNumId w:val="1"/>
  </w:num>
  <w:num w:numId="14">
    <w:abstractNumId w:val="0"/>
  </w:num>
  <w:num w:numId="15">
    <w:abstractNumId w:val="2"/>
  </w:num>
  <w:num w:numId="16">
    <w:abstractNumId w:val="12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8145E"/>
    <w:rsid w:val="5F25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1070</Words>
  <Characters>1609</Characters>
  <Lines>0</Lines>
  <Paragraphs>0</Paragraphs>
  <TotalTime>1</TotalTime>
  <ScaleCrop>false</ScaleCrop>
  <LinksUpToDate>false</LinksUpToDate>
  <CharactersWithSpaces>1731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B2F7011F3579469B95885A4866E161E8_12</vt:lpwstr>
  </property>
</Properties>
</file>