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1A7C9">
      <w:pPr>
        <w:pStyle w:val="31"/>
        <w:widowControl/>
      </w:pPr>
      <w:r>
        <w:t>TDSC-TB22-SOP06：生信分析流程与TB22评分计算（锁定模型）</w:t>
      </w:r>
    </w:p>
    <w:p w14:paraId="27F38946">
      <w:pPr>
        <w:pStyle w:val="19"/>
        <w:widowControl/>
        <w:ind w:firstLine="480" w:firstLineChars="200"/>
      </w:pPr>
      <w:r>
        <w:t>文件编号：TDSC-TB22-SOP06    版本：V1.0    日期：2026-02-09</w:t>
      </w:r>
    </w:p>
    <w:p w14:paraId="61A3DF45"/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9E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E8BF471">
            <w:pPr>
              <w:spacing w:after="0" w:line="240" w:lineRule="auto"/>
            </w:pPr>
            <w:r>
              <w:t>起草</w:t>
            </w:r>
          </w:p>
        </w:tc>
        <w:tc>
          <w:tcPr>
            <w:tcW w:w="2500" w:type="pct"/>
          </w:tcPr>
          <w:p w14:paraId="52C89B62">
            <w:pPr>
              <w:spacing w:after="0" w:line="240" w:lineRule="auto"/>
            </w:pPr>
          </w:p>
        </w:tc>
      </w:tr>
      <w:tr w14:paraId="5373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DEC812F">
            <w:pPr>
              <w:spacing w:after="0" w:line="240" w:lineRule="auto"/>
            </w:pPr>
            <w:r>
              <w:t>审核</w:t>
            </w:r>
          </w:p>
        </w:tc>
        <w:tc>
          <w:tcPr>
            <w:tcW w:w="2500" w:type="pct"/>
          </w:tcPr>
          <w:p w14:paraId="1C19FDF3">
            <w:pPr>
              <w:spacing w:after="0" w:line="240" w:lineRule="auto"/>
            </w:pPr>
          </w:p>
        </w:tc>
      </w:tr>
      <w:tr w14:paraId="579F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B1692BC">
            <w:pPr>
              <w:spacing w:after="0" w:line="240" w:lineRule="auto"/>
            </w:pPr>
            <w:r>
              <w:t>批准</w:t>
            </w:r>
          </w:p>
        </w:tc>
        <w:tc>
          <w:tcPr>
            <w:tcW w:w="2500" w:type="pct"/>
          </w:tcPr>
          <w:p w14:paraId="0ECA9F0F">
            <w:pPr>
              <w:spacing w:after="0" w:line="240" w:lineRule="auto"/>
            </w:pPr>
          </w:p>
        </w:tc>
      </w:tr>
      <w:tr w14:paraId="2F116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068AAEF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2500" w:type="pct"/>
          </w:tcPr>
          <w:p w14:paraId="2B4E16E0">
            <w:pPr>
              <w:spacing w:after="0" w:line="240" w:lineRule="auto"/>
            </w:pPr>
            <w:r>
              <w:t>2026-02-09</w:t>
            </w:r>
          </w:p>
        </w:tc>
      </w:tr>
      <w:tr w14:paraId="4E43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C38EF8A">
            <w:pPr>
              <w:spacing w:after="0" w:line="240" w:lineRule="auto"/>
            </w:pPr>
            <w:r>
              <w:t>保密等级</w:t>
            </w:r>
          </w:p>
        </w:tc>
        <w:tc>
          <w:tcPr>
            <w:tcW w:w="2500" w:type="pct"/>
          </w:tcPr>
          <w:p w14:paraId="5A23FEB3">
            <w:pPr>
              <w:spacing w:after="0" w:line="240" w:lineRule="auto"/>
            </w:pPr>
            <w:r>
              <w:t>内部资料 / 保密</w:t>
            </w:r>
          </w:p>
        </w:tc>
      </w:tr>
    </w:tbl>
    <w:p w14:paraId="571034CD"/>
    <w:p w14:paraId="2EA79667">
      <w:pPr>
        <w:pStyle w:val="165"/>
        <w:widowControl/>
        <w:outlineLvl w:val="9"/>
      </w:pPr>
      <w:r>
        <w:t>目录（请在Word中更新域）：</w:t>
      </w:r>
    </w:p>
    <w:p w14:paraId="60B7CAA4">
      <w:pPr>
        <w:pStyle w:val="19"/>
        <w:widowControl/>
      </w:pPr>
      <w:r>
        <w:t>1. 目的  2. 适用范围  3. 定义  4. 职责  5. 操作流程  6. 记录  7. 质量控制  8. 偏差与CAPA  9. 参考文献  10. 附录</w:t>
      </w:r>
    </w:p>
    <w:p w14:paraId="0DCE109F"/>
    <w:p w14:paraId="02747D53">
      <w:pPr>
        <w:pStyle w:val="3"/>
        <w:widowControl/>
      </w:pPr>
      <w:r>
        <w:t>目的</w:t>
      </w:r>
      <w:bookmarkStart w:id="0" w:name="_GoBack"/>
      <w:bookmarkEnd w:id="0"/>
    </w:p>
    <w:p w14:paraId="32E4ED2B">
      <w:pPr>
        <w:pStyle w:val="19"/>
        <w:widowControl/>
      </w:pPr>
      <w:r>
        <w:t>规定TB22生信分析的可复现流程：数据完整性检查、流程版本控制与锁定模型评分。</w:t>
      </w:r>
    </w:p>
    <w:p w14:paraId="34D238F9">
      <w:pPr>
        <w:pStyle w:val="3"/>
        <w:widowControl/>
      </w:pPr>
      <w:r>
        <w:t>适用范围</w:t>
      </w:r>
    </w:p>
    <w:p w14:paraId="7210CB0C">
      <w:pPr>
        <w:pStyle w:val="16"/>
        <w:bidi w:val="0"/>
        <w:ind w:left="360" w:leftChars="0" w:hanging="360" w:firstLineChars="0"/>
      </w:pPr>
      <w:r>
        <w:t>适用于中心生信团队生成TB22评分并供SOP07出报告。</w:t>
      </w:r>
    </w:p>
    <w:p w14:paraId="00CEE3E3">
      <w:pPr>
        <w:pStyle w:val="16"/>
        <w:bidi w:val="0"/>
        <w:ind w:left="360" w:leftChars="0" w:hanging="360" w:firstLineChars="0"/>
      </w:pPr>
      <w:r>
        <w:t>除非方案修订明确规定，否则输出不用于改变临床治疗。</w:t>
      </w:r>
    </w:p>
    <w:p w14:paraId="02DEC9AF">
      <w:pPr>
        <w:pStyle w:val="3"/>
        <w:widowControl/>
      </w:pPr>
      <w:r>
        <w:t>定义与缩略语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1C2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8E7AD1C">
            <w:pPr>
              <w:spacing w:after="0" w:line="240" w:lineRule="auto"/>
            </w:pPr>
            <w:r>
              <w:t>术语</w:t>
            </w:r>
          </w:p>
        </w:tc>
        <w:tc>
          <w:tcPr>
            <w:tcW w:w="2500" w:type="pct"/>
          </w:tcPr>
          <w:p w14:paraId="20646C3C">
            <w:pPr>
              <w:spacing w:after="0" w:line="240" w:lineRule="auto"/>
            </w:pPr>
            <w:r>
              <w:t>定义</w:t>
            </w:r>
          </w:p>
        </w:tc>
      </w:tr>
      <w:tr w14:paraId="6F7E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E8F6C76">
            <w:pPr>
              <w:spacing w:after="0" w:line="240" w:lineRule="auto"/>
            </w:pPr>
            <w:r>
              <w:t>FASTQ</w:t>
            </w:r>
          </w:p>
        </w:tc>
        <w:tc>
          <w:tcPr>
            <w:tcW w:w="2500" w:type="pct"/>
          </w:tcPr>
          <w:p w14:paraId="09C7ED19">
            <w:pPr>
              <w:spacing w:after="0" w:line="240" w:lineRule="auto"/>
            </w:pPr>
            <w:r>
              <w:t>原始reads文件</w:t>
            </w:r>
          </w:p>
        </w:tc>
      </w:tr>
      <w:tr w14:paraId="7D12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A578092">
            <w:pPr>
              <w:spacing w:after="0" w:line="240" w:lineRule="auto"/>
            </w:pPr>
            <w:r>
              <w:t>BAM</w:t>
            </w:r>
          </w:p>
        </w:tc>
        <w:tc>
          <w:tcPr>
            <w:tcW w:w="2500" w:type="pct"/>
          </w:tcPr>
          <w:p w14:paraId="5AB36D22">
            <w:pPr>
              <w:spacing w:after="0" w:line="240" w:lineRule="auto"/>
            </w:pPr>
            <w:r>
              <w:t>比对后文件</w:t>
            </w:r>
          </w:p>
        </w:tc>
      </w:tr>
      <w:tr w14:paraId="1355D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2180D59">
            <w:pPr>
              <w:spacing w:after="0" w:line="240" w:lineRule="auto"/>
            </w:pPr>
            <w:r>
              <w:t>锁定模型</w:t>
            </w:r>
          </w:p>
        </w:tc>
        <w:tc>
          <w:tcPr>
            <w:tcW w:w="2500" w:type="pct"/>
          </w:tcPr>
          <w:p w14:paraId="1DEABC11">
            <w:pPr>
              <w:spacing w:after="0" w:line="240" w:lineRule="auto"/>
            </w:pPr>
            <w:r>
              <w:t>带版本号与校验和的固定评分文件</w:t>
            </w:r>
          </w:p>
        </w:tc>
      </w:tr>
      <w:tr w14:paraId="67EA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3C7F713">
            <w:pPr>
              <w:spacing w:after="0" w:line="240" w:lineRule="auto"/>
            </w:pPr>
            <w:r>
              <w:t>容器</w:t>
            </w:r>
          </w:p>
        </w:tc>
        <w:tc>
          <w:tcPr>
            <w:tcW w:w="2500" w:type="pct"/>
          </w:tcPr>
          <w:p w14:paraId="30326A0F">
            <w:pPr>
              <w:spacing w:after="0" w:line="240" w:lineRule="auto"/>
            </w:pPr>
            <w:r>
              <w:t>可复现运行环境</w:t>
            </w:r>
          </w:p>
        </w:tc>
      </w:tr>
    </w:tbl>
    <w:p w14:paraId="10A422C6">
      <w:pPr>
        <w:pStyle w:val="3"/>
        <w:widowControl/>
      </w:pPr>
      <w:r>
        <w:t>职责</w:t>
      </w:r>
    </w:p>
    <w:p w14:paraId="5CC0BA97">
      <w:pPr>
        <w:pStyle w:val="16"/>
        <w:bidi w:val="0"/>
        <w:ind w:left="360" w:leftChars="0" w:hanging="360" w:firstLineChars="0"/>
      </w:pPr>
      <w:r>
        <w:t>生信分析员：运行流程并生成QC与评分。</w:t>
      </w:r>
    </w:p>
    <w:p w14:paraId="2FA7CB66">
      <w:pPr>
        <w:pStyle w:val="16"/>
        <w:bidi w:val="0"/>
        <w:ind w:left="360" w:leftChars="0" w:hanging="360" w:firstLineChars="0"/>
      </w:pPr>
      <w:r>
        <w:t>生信负责人：维护锁定流程/模型并批准变更。</w:t>
      </w:r>
    </w:p>
    <w:p w14:paraId="069CE211">
      <w:pPr>
        <w:pStyle w:val="16"/>
        <w:bidi w:val="0"/>
        <w:ind w:left="360" w:leftChars="0" w:hanging="360" w:firstLineChars="0"/>
      </w:pPr>
      <w:r>
        <w:t>QC复核：复核指标与PASS/FAIL标记。</w:t>
      </w:r>
    </w:p>
    <w:p w14:paraId="1D4396F0">
      <w:pPr>
        <w:pStyle w:val="3"/>
        <w:widowControl/>
      </w:pPr>
      <w:r>
        <w:t>操作流程</w:t>
      </w:r>
    </w:p>
    <w:p w14:paraId="79E2ADBB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接收运行包并核对校验和/完整性。</w:t>
      </w:r>
    </w:p>
    <w:p w14:paraId="66C55EBA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生成样本FASTQ并归档日志。</w:t>
      </w:r>
    </w:p>
    <w:p w14:paraId="4F417035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按锁定参数进行FASTQ质控与trim。</w:t>
      </w:r>
    </w:p>
    <w:p w14:paraId="45221E9A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比对/定量并生成基因计数；记录参考版本。</w:t>
      </w:r>
    </w:p>
    <w:p w14:paraId="2A920B60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使用锁定模型（版本+校验和）计算TB22评分并生成QC汇总。</w:t>
      </w:r>
    </w:p>
    <w:p w14:paraId="43F66C5E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打包供SOP07出报告并归档审计追踪。</w:t>
      </w:r>
    </w:p>
    <w:p w14:paraId="18EE5AB3">
      <w:pPr>
        <w:pStyle w:val="3"/>
        <w:widowControl/>
      </w:pPr>
      <w:r>
        <w:t>质量控制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0F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5B81A097">
            <w:pPr>
              <w:spacing w:after="0" w:line="240" w:lineRule="auto"/>
            </w:pPr>
            <w:r>
              <w:t>指标</w:t>
            </w:r>
          </w:p>
        </w:tc>
        <w:tc>
          <w:tcPr>
            <w:tcW w:w="1666" w:type="pct"/>
          </w:tcPr>
          <w:p w14:paraId="5AC61497">
            <w:pPr>
              <w:spacing w:after="0" w:line="240" w:lineRule="auto"/>
            </w:pPr>
            <w:r>
              <w:t>默认阈值</w:t>
            </w:r>
          </w:p>
        </w:tc>
        <w:tc>
          <w:tcPr>
            <w:tcW w:w="1666" w:type="pct"/>
          </w:tcPr>
          <w:p w14:paraId="6A691C63">
            <w:pPr>
              <w:spacing w:after="0" w:line="240" w:lineRule="auto"/>
            </w:pPr>
            <w:r>
              <w:t>异常条件</w:t>
            </w:r>
          </w:p>
        </w:tc>
      </w:tr>
      <w:tr w14:paraId="0989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479539D">
            <w:pPr>
              <w:spacing w:after="0" w:line="240" w:lineRule="auto"/>
            </w:pPr>
            <w:r>
              <w:t>每样本reads</w:t>
            </w:r>
          </w:p>
        </w:tc>
        <w:tc>
          <w:tcPr>
            <w:tcW w:w="1666" w:type="pct"/>
          </w:tcPr>
          <w:p w14:paraId="571EF59E">
            <w:pPr>
              <w:spacing w:after="0" w:line="240" w:lineRule="auto"/>
            </w:pPr>
            <w:r>
              <w:t>≥500万</w:t>
            </w:r>
          </w:p>
        </w:tc>
        <w:tc>
          <w:tcPr>
            <w:tcW w:w="1666" w:type="pct"/>
          </w:tcPr>
          <w:p w14:paraId="7ECA1751">
            <w:pPr>
              <w:spacing w:after="0" w:line="240" w:lineRule="auto"/>
            </w:pPr>
            <w:r>
              <w:t>&lt;500万</w:t>
            </w:r>
          </w:p>
        </w:tc>
      </w:tr>
      <w:tr w14:paraId="75EA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7FD289A">
            <w:pPr>
              <w:spacing w:after="0" w:line="240" w:lineRule="auto"/>
            </w:pPr>
            <w:r>
              <w:t>%Q30</w:t>
            </w:r>
          </w:p>
        </w:tc>
        <w:tc>
          <w:tcPr>
            <w:tcW w:w="1666" w:type="pct"/>
          </w:tcPr>
          <w:p w14:paraId="1B00E6CF">
            <w:pPr>
              <w:spacing w:after="0" w:line="240" w:lineRule="auto"/>
            </w:pPr>
            <w:r>
              <w:t>≥80%</w:t>
            </w:r>
          </w:p>
        </w:tc>
        <w:tc>
          <w:tcPr>
            <w:tcW w:w="1666" w:type="pct"/>
          </w:tcPr>
          <w:p w14:paraId="77622AB0">
            <w:pPr>
              <w:spacing w:after="0" w:line="240" w:lineRule="auto"/>
            </w:pPr>
            <w:r>
              <w:t>&lt;80%</w:t>
            </w:r>
          </w:p>
        </w:tc>
      </w:tr>
      <w:tr w14:paraId="594D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891D16A">
            <w:pPr>
              <w:spacing w:after="0" w:line="240" w:lineRule="auto"/>
            </w:pPr>
            <w:r>
              <w:t>比对率</w:t>
            </w:r>
          </w:p>
        </w:tc>
        <w:tc>
          <w:tcPr>
            <w:tcW w:w="1666" w:type="pct"/>
          </w:tcPr>
          <w:p w14:paraId="3FAD4F9D">
            <w:pPr>
              <w:spacing w:after="0" w:line="240" w:lineRule="auto"/>
            </w:pPr>
            <w:r>
              <w:t>≥70%</w:t>
            </w:r>
          </w:p>
        </w:tc>
        <w:tc>
          <w:tcPr>
            <w:tcW w:w="1666" w:type="pct"/>
          </w:tcPr>
          <w:p w14:paraId="5E0EAF79">
            <w:pPr>
              <w:spacing w:after="0" w:line="240" w:lineRule="auto"/>
            </w:pPr>
            <w:r>
              <w:t>&lt;70%</w:t>
            </w:r>
          </w:p>
        </w:tc>
      </w:tr>
      <w:tr w14:paraId="688E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1E925FE">
            <w:pPr>
              <w:spacing w:after="0" w:line="240" w:lineRule="auto"/>
            </w:pPr>
            <w:r>
              <w:t>检出基因数(CPM&gt;1)</w:t>
            </w:r>
          </w:p>
        </w:tc>
        <w:tc>
          <w:tcPr>
            <w:tcW w:w="1666" w:type="pct"/>
          </w:tcPr>
          <w:p w14:paraId="301DA834">
            <w:pPr>
              <w:spacing w:after="0" w:line="240" w:lineRule="auto"/>
            </w:pPr>
            <w:r>
              <w:t>≥10,000</w:t>
            </w:r>
          </w:p>
        </w:tc>
        <w:tc>
          <w:tcPr>
            <w:tcW w:w="1666" w:type="pct"/>
          </w:tcPr>
          <w:p w14:paraId="67F4AB39">
            <w:pPr>
              <w:spacing w:after="0" w:line="240" w:lineRule="auto"/>
            </w:pPr>
            <w:r>
              <w:t>&lt;10,000</w:t>
            </w:r>
          </w:p>
        </w:tc>
      </w:tr>
    </w:tbl>
    <w:p w14:paraId="3A95D6D8">
      <w:pPr>
        <w:pStyle w:val="3"/>
        <w:widowControl/>
      </w:pPr>
      <w:r>
        <w:t>偏差与CAPA</w:t>
      </w:r>
    </w:p>
    <w:p w14:paraId="2D3984C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疑似样本错配、模型不一致或数据损坏为关键偏差（SOP08）。</w:t>
      </w:r>
    </w:p>
    <w:p w14:paraId="053DF637">
      <w:pPr>
        <w:pStyle w:val="167"/>
        <w:widowControl/>
      </w:pPr>
      <w:r>
        <w:t>参考文献</w:t>
      </w:r>
    </w:p>
    <w:p w14:paraId="49D2AF33">
      <w:pPr>
        <w:pStyle w:val="166"/>
        <w:widowControl/>
        <w:numPr>
          <w:ilvl w:val="0"/>
          <w:numId w:val="8"/>
        </w:numPr>
        <w:ind w:left="360" w:leftChars="0" w:hanging="360" w:firstLineChars="0"/>
      </w:pPr>
      <w:r>
        <w:t>TDSC研究方案（Trials投稿包），现行批准版本。</w:t>
      </w:r>
    </w:p>
    <w:p w14:paraId="4EE56982">
      <w:pPr>
        <w:pStyle w:val="166"/>
        <w:widowControl/>
        <w:numPr>
          <w:ilvl w:val="0"/>
          <w:numId w:val="8"/>
        </w:numPr>
        <w:ind w:left="360" w:leftChars="0" w:hanging="360" w:firstLineChars="0"/>
      </w:pPr>
      <w:r>
        <w:t>TB22检测机构技术SOP：PAXgene Blood RNA流程与NextSeq1000 mRNA测序流程（现行版本）。</w:t>
      </w:r>
    </w:p>
    <w:p w14:paraId="6048D50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TDSC TB22 SOP01/02/05/07（内部SOP体系），现行批准版本。</w:t>
      </w:r>
    </w:p>
    <w:p w14:paraId="2E0338E6">
      <w:pPr>
        <w:pStyle w:val="164"/>
        <w:widowControl/>
      </w:pPr>
      <w:r>
        <w:t>附录</w:t>
      </w:r>
    </w:p>
    <w:p w14:paraId="4092D23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附录06-1：流程发布说明模板（版本/校验和/参考）。</w:t>
      </w:r>
    </w:p>
    <w:p w14:paraId="1186BA1D">
      <w:pPr>
        <w:pStyle w:val="19"/>
        <w:widowControl/>
        <w:numPr>
          <w:ilvl w:val="0"/>
          <w:numId w:val="9"/>
        </w:numPr>
      </w:pPr>
      <w:r>
        <w:t>附录06-2：TB22模型登记表模板。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0538CD3"/>
    <w:multiLevelType w:val="singleLevel"/>
    <w:tmpl w:val="10538CD3"/>
    <w:lvl w:ilvl="0" w:tentative="0">
      <w:start w:val="0"/>
      <w:numFmt w:val="bullet"/>
      <w:lvlText w:val=""/>
      <w:lvlJc w:val="left"/>
      <w:pPr>
        <w:tabs>
          <w:tab w:val="left" w:pos="210"/>
        </w:tabs>
        <w:ind w:left="360" w:hanging="360"/>
      </w:pPr>
      <w:rPr>
        <w:rFonts w:hint="default" w:ascii="Symbol" w:hAnsi="Symbol"/>
      </w:rPr>
    </w:lvl>
  </w:abstractNum>
  <w:abstractNum w:abstractNumId="7">
    <w:nsid w:val="3D782D96"/>
    <w:multiLevelType w:val="singleLevel"/>
    <w:tmpl w:val="3D782D9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513FF5CF"/>
    <w:multiLevelType w:val="singleLevel"/>
    <w:tmpl w:val="513FF5CF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5A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paragraph" w:customStyle="1" w:styleId="165">
    <w:name w:val="目录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9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  <w:style w:type="paragraph" w:customStyle="1" w:styleId="166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67">
    <w:name w:val="参考文献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585</Words>
  <Characters>817</Characters>
  <Lines>0</Lines>
  <Paragraphs>0</Paragraphs>
  <TotalTime>0</TotalTime>
  <ScaleCrop>false</ScaleCrop>
  <LinksUpToDate>false</LinksUpToDate>
  <CharactersWithSpaces>860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D2CCA976AD4041ECAF32282B817EADC0_12</vt:lpwstr>
  </property>
</Properties>
</file>