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9404A">
      <w:pPr>
        <w:pStyle w:val="31"/>
        <w:widowControl/>
        <w:ind w:firstLine="3213" w:firstLineChars="1000"/>
      </w:pPr>
      <w:bookmarkStart w:id="0" w:name="_GoBack"/>
      <w:bookmarkEnd w:id="0"/>
      <w:r>
        <w:t>TDSC Study</w:t>
      </w:r>
    </w:p>
    <w:p w14:paraId="7CFC507F">
      <w:pPr>
        <w:pStyle w:val="31"/>
        <w:widowControl/>
      </w:pPr>
      <w:r>
        <w:t>TB22-SOP07 TB22结果报告、盲态与EDC接口（PASS/FAIL决策门）</w:t>
      </w:r>
    </w:p>
    <w:p w14:paraId="7E86FB9D">
      <w:pPr>
        <w:jc w:val="center"/>
      </w:pPr>
      <w:r>
        <w:t>文件编号：TDSC-TB22-SOP07    版本：V1.0    生效日期：2026-02-09</w:t>
      </w:r>
    </w:p>
    <w:p w14:paraId="378EA313"/>
    <w:p w14:paraId="3597B774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51F6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C5226ED">
            <w:pPr>
              <w:pStyle w:val="19"/>
              <w:widowControl/>
            </w:pPr>
            <w:r>
              <w:t>起草</w:t>
            </w:r>
          </w:p>
        </w:tc>
        <w:tc>
          <w:tcPr>
            <w:tcW w:w="2500" w:type="pct"/>
            <w:vAlign w:val="center"/>
          </w:tcPr>
          <w:p w14:paraId="22BD05A1">
            <w:pPr>
              <w:pStyle w:val="19"/>
              <w:widowControl/>
            </w:pPr>
            <w:r>
              <w:t>TDSC生物标志物与数据治理团队</w:t>
            </w:r>
          </w:p>
        </w:tc>
      </w:tr>
      <w:tr w14:paraId="6BA3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4D93CA6">
            <w:pPr>
              <w:pStyle w:val="19"/>
              <w:widowControl/>
            </w:pPr>
            <w:r>
              <w:t>审核</w:t>
            </w:r>
          </w:p>
        </w:tc>
        <w:tc>
          <w:tcPr>
            <w:tcW w:w="2500" w:type="pct"/>
            <w:vAlign w:val="center"/>
          </w:tcPr>
          <w:p w14:paraId="2D3584FA">
            <w:pPr>
              <w:pStyle w:val="19"/>
              <w:widowControl/>
            </w:pPr>
            <w:r>
              <w:t>TDSC指导委员会/DSMB联络</w:t>
            </w:r>
          </w:p>
        </w:tc>
      </w:tr>
      <w:tr w14:paraId="4819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3E4C4AD">
            <w:pPr>
              <w:pStyle w:val="19"/>
              <w:widowControl/>
            </w:pPr>
            <w:r>
              <w:t>批准</w:t>
            </w:r>
          </w:p>
        </w:tc>
        <w:tc>
          <w:tcPr>
            <w:tcW w:w="2500" w:type="pct"/>
            <w:vAlign w:val="center"/>
          </w:tcPr>
          <w:p w14:paraId="530F9373">
            <w:pPr>
              <w:pStyle w:val="19"/>
              <w:widowControl/>
            </w:pPr>
            <w:r>
              <w:t>PI与数据治理负责人</w:t>
            </w:r>
          </w:p>
        </w:tc>
      </w:tr>
      <w:tr w14:paraId="6EF5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BC0867F">
            <w:pPr>
              <w:pStyle w:val="19"/>
              <w:widowControl/>
            </w:pPr>
            <w:r>
              <w:t>保密级别</w:t>
            </w:r>
          </w:p>
        </w:tc>
        <w:tc>
          <w:tcPr>
            <w:tcW w:w="2500" w:type="pct"/>
            <w:vAlign w:val="center"/>
          </w:tcPr>
          <w:p w14:paraId="12ED091C">
            <w:pPr>
              <w:pStyle w:val="19"/>
              <w:widowControl/>
            </w:pPr>
            <w:r>
              <w:t>保密 – 仅限TDSC试验使用</w:t>
            </w:r>
          </w:p>
        </w:tc>
      </w:tr>
      <w:tr w14:paraId="4830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242E008">
            <w:pPr>
              <w:pStyle w:val="19"/>
              <w:widowControl/>
            </w:pPr>
            <w:r>
              <w:t>替代版本</w:t>
            </w:r>
          </w:p>
        </w:tc>
        <w:tc>
          <w:tcPr>
            <w:tcW w:w="2500" w:type="pct"/>
            <w:vAlign w:val="center"/>
          </w:tcPr>
          <w:p w14:paraId="1E68CDD9">
            <w:pPr>
              <w:pStyle w:val="19"/>
              <w:widowControl/>
            </w:pPr>
            <w:r>
              <w:t>无（新文件）</w:t>
            </w:r>
          </w:p>
        </w:tc>
      </w:tr>
      <w:tr w14:paraId="2DF2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B698DFA">
            <w:pPr>
              <w:pStyle w:val="19"/>
              <w:widowControl/>
            </w:pPr>
            <w:r>
              <w:t>适用范围</w:t>
            </w:r>
          </w:p>
        </w:tc>
        <w:tc>
          <w:tcPr>
            <w:tcW w:w="2500" w:type="pct"/>
            <w:vAlign w:val="center"/>
          </w:tcPr>
          <w:p w14:paraId="0F12FBFF">
            <w:pPr>
              <w:pStyle w:val="19"/>
              <w:widowControl/>
            </w:pPr>
            <w:r>
              <w:t>TDSC各分中心与中心实验室</w:t>
            </w:r>
          </w:p>
        </w:tc>
      </w:tr>
      <w:tr w14:paraId="35A16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83FD8D2">
            <w:pPr>
              <w:pStyle w:val="19"/>
              <w:widowControl/>
            </w:pPr>
            <w:r>
              <w:t>分发范围</w:t>
            </w:r>
          </w:p>
        </w:tc>
        <w:tc>
          <w:tcPr>
            <w:tcW w:w="2500" w:type="pct"/>
            <w:vAlign w:val="center"/>
          </w:tcPr>
          <w:p w14:paraId="0395B63B">
            <w:pPr>
              <w:pStyle w:val="19"/>
              <w:widowControl/>
            </w:pPr>
            <w:r>
              <w:t>研究者、分中心工作人员、中心实验室、数据管理团队</w:t>
            </w:r>
          </w:p>
        </w:tc>
      </w:tr>
    </w:tbl>
    <w:p w14:paraId="701DBC5D"/>
    <w:p w14:paraId="19F8ED77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6402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727DC2A">
            <w:pPr>
              <w:pStyle w:val="19"/>
              <w:widowControl/>
            </w:pPr>
            <w:r>
              <w:t>版本</w:t>
            </w:r>
          </w:p>
        </w:tc>
        <w:tc>
          <w:tcPr>
            <w:tcW w:w="1250" w:type="pct"/>
          </w:tcPr>
          <w:p w14:paraId="233176EF">
            <w:pPr>
              <w:pStyle w:val="19"/>
              <w:widowControl/>
            </w:pPr>
            <w:r>
              <w:t>日期</w:t>
            </w:r>
          </w:p>
        </w:tc>
        <w:tc>
          <w:tcPr>
            <w:tcW w:w="1250" w:type="pct"/>
          </w:tcPr>
          <w:p w14:paraId="59B0D4DD">
            <w:pPr>
              <w:pStyle w:val="19"/>
              <w:widowControl/>
            </w:pPr>
            <w:r>
              <w:t>修订说明</w:t>
            </w:r>
          </w:p>
        </w:tc>
        <w:tc>
          <w:tcPr>
            <w:tcW w:w="1250" w:type="pct"/>
          </w:tcPr>
          <w:p w14:paraId="018A84D8">
            <w:pPr>
              <w:pStyle w:val="19"/>
              <w:widowControl/>
            </w:pPr>
            <w:r>
              <w:t>负责人</w:t>
            </w:r>
          </w:p>
        </w:tc>
      </w:tr>
      <w:tr w14:paraId="2133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9334F57">
            <w:pPr>
              <w:pStyle w:val="19"/>
              <w:widowControl/>
            </w:pPr>
            <w:r>
              <w:t>V1.0</w:t>
            </w:r>
          </w:p>
        </w:tc>
        <w:tc>
          <w:tcPr>
            <w:tcW w:w="1250" w:type="pct"/>
          </w:tcPr>
          <w:p w14:paraId="74CF1F8B">
            <w:pPr>
              <w:pStyle w:val="19"/>
              <w:widowControl/>
            </w:pPr>
            <w:r>
              <w:t>2026-02-09</w:t>
            </w:r>
          </w:p>
        </w:tc>
        <w:tc>
          <w:tcPr>
            <w:tcW w:w="1250" w:type="pct"/>
          </w:tcPr>
          <w:p w14:paraId="6BC94432">
            <w:pPr>
              <w:pStyle w:val="19"/>
              <w:widowControl/>
            </w:pPr>
            <w:r>
              <w:t>首次发布</w:t>
            </w:r>
          </w:p>
        </w:tc>
        <w:tc>
          <w:tcPr>
            <w:tcW w:w="1250" w:type="pct"/>
          </w:tcPr>
          <w:p w14:paraId="747B6821">
            <w:pPr>
              <w:pStyle w:val="19"/>
              <w:widowControl/>
            </w:pPr>
            <w:r>
              <w:t>TDSC团队</w:t>
            </w:r>
          </w:p>
        </w:tc>
      </w:tr>
    </w:tbl>
    <w:p w14:paraId="2EA3F8B8"/>
    <w:p w14:paraId="37C13EA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131B772C">
      <w:pPr>
        <w:pStyle w:val="19"/>
        <w:widowControl/>
      </w:pPr>
      <w:r>
        <w:t>规定TB22结果的生成、质控与回传方式，在保持临床团队盲态的同时，落实阈值与算法版本的治理与锁定。</w:t>
      </w:r>
    </w:p>
    <w:p w14:paraId="026D536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1C8870DA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适用于TB22检测相关人员（中心实验室与生信）、数据管理团队与试验管理层。</w:t>
      </w:r>
    </w:p>
    <w:p w14:paraId="0F68FF39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覆盖报告类型、访问控制、EDC的Pass/Fail实现与变更控制。</w:t>
      </w:r>
    </w:p>
    <w:p w14:paraId="049F5EC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治理原则</w:t>
      </w:r>
    </w:p>
    <w:p w14:paraId="1B075F5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锁定：TB22阈值、检测平台与算法/版本标识必须在队列B首次M6随机前、以及任何非盲比较分析前完成锁定。</w:t>
      </w:r>
    </w:p>
    <w:p w14:paraId="2DAD83F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盲态：临床治疗团队不得接触TB22数值结果；EDC仅展示队列B M6随机所需的PASS/FAIL结论。</w:t>
      </w:r>
    </w:p>
    <w:p w14:paraId="2A7E7445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审计追踪：每份结果必须包含算法版本、阈值版本、运行编号与质控状态；任何更改均需授权与记录理由。</w:t>
      </w:r>
    </w:p>
    <w:p w14:paraId="34710FE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角色与访问权限</w:t>
      </w:r>
    </w:p>
    <w:p w14:paraId="0D1BFD0C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中心实验室/生信：生成TB22数值评分、质控指标，并依据锁定阈值给出PASS/FAIL。</w:t>
      </w:r>
    </w:p>
    <w:p w14:paraId="566CB913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数据管理：将PASS/FAIL导入EDC决策模块；维护用户权限与可见性限制。</w:t>
      </w:r>
    </w:p>
    <w:p w14:paraId="10A2D44E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临床治疗团队与分中心：仅可查看队列B M6的PASS/FAIL与样本采集状态；不得查看数值。</w:t>
      </w:r>
    </w:p>
    <w:p w14:paraId="3D6E6E06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统计团队（受限权限）：在锁库后按治理规则获取数值结果用于预设的探索性分析。</w:t>
      </w:r>
    </w:p>
    <w:p w14:paraId="3AA3205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报告类型与内容</w:t>
      </w:r>
    </w:p>
    <w:p w14:paraId="36AEE2F9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分析报告（受限）</w:t>
      </w:r>
    </w:p>
    <w:p w14:paraId="15B01899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包含TB22数值评分、RNA/文库/运行质控指标、算法标识、模型版本、阈值版本及运行编号。</w:t>
      </w:r>
    </w:p>
    <w:p w14:paraId="4100D4BC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存放于受限生物标志物库；临床治疗团队不可见。</w:t>
      </w:r>
    </w:p>
    <w:p w14:paraId="52C62303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EDC决策输出（业务用）</w:t>
      </w:r>
    </w:p>
    <w:p w14:paraId="6BD53364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仅包含：受试者编号、访视（M6）、PASS/FAIL、完成时间、质控状态、报告编号。</w:t>
      </w:r>
    </w:p>
    <w:p w14:paraId="7AAFFBDC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导入EDC用于队列B M6随机资格判定（与方案规定的临床/影像安全门共同决定）。</w:t>
      </w:r>
    </w:p>
    <w:p w14:paraId="5FFD85A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队列差异化规则</w:t>
      </w:r>
    </w:p>
    <w:p w14:paraId="217EB26F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队列A：TB22用于探索性分析；试验期间不向EDC释放PASS/FAIL，结果保持封存。</w:t>
      </w:r>
    </w:p>
    <w:p w14:paraId="2144A433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队列B：第6个月EDC仅展示双重应答者判定所需的PASS/FAIL；数值对临床团队保持封存。</w:t>
      </w:r>
    </w:p>
    <w:p w14:paraId="3EDA251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周转时间（TAT）与升级机制</w:t>
      </w:r>
    </w:p>
    <w:p w14:paraId="49F21EFE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队列B M6 PASS/FAIL的目标TAT应在试验启动前写入实验室服务协议（建议：中心实验室签收后7个工作日内）。</w:t>
      </w:r>
    </w:p>
    <w:p w14:paraId="2580D0E4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如TAT可能超时（设备故障、质控失败、元数据缺失等），需24小时内通知数据管理与运营负责人。</w:t>
      </w:r>
    </w:p>
    <w:p w14:paraId="1471A061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延迟结果需记录偏差，并评估对随机时间安排的影响。</w:t>
      </w:r>
    </w:p>
    <w:p w14:paraId="0C39D23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数据交换规范</w:t>
      </w:r>
    </w:p>
    <w:p w14:paraId="1250C31D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文件命名：TDSC_TB22_&lt;受试者编号&gt;_&lt;访视&gt;_&lt;报告编号&gt;_&lt;YYYYMMDD&gt;.csv（EDC决策输出）。</w:t>
      </w:r>
    </w:p>
    <w:p w14:paraId="44B749E8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传输通道：批准的安全SFTP/门户；传输与存储均需加密。</w:t>
      </w:r>
    </w:p>
    <w:p w14:paraId="2B58C42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完整性：生成校验值（如SHA-256）并保留传输日志。</w:t>
      </w:r>
    </w:p>
    <w:p w14:paraId="41E1F325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EDC导入：双人复核（录入-复核）+自动校验（受试者/访视匹配、唯一性、质控状态）。</w:t>
      </w:r>
    </w:p>
    <w:p w14:paraId="62F2725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质量复核与签发</w:t>
      </w:r>
    </w:p>
    <w:p w14:paraId="102AD2C6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完成分析质控（RNA/文库/运行指标满足放行）。</w:t>
      </w:r>
    </w:p>
    <w:p w14:paraId="70603FCF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按锁定阈值计算PASS/FAIL，并记录算法/版本标识。</w:t>
      </w:r>
    </w:p>
    <w:p w14:paraId="78923182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独立复核受试者编号与访视（M6）映射，防止错配。</w:t>
      </w:r>
    </w:p>
    <w:p w14:paraId="7DE55A40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中心实验室主管签发后，向数据管理团队释放用于EDC导入的结果。</w:t>
      </w:r>
    </w:p>
    <w:p w14:paraId="739CAD4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变更控制</w:t>
      </w:r>
    </w:p>
    <w:p w14:paraId="26911F00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TB22阈值、算法/模型、报告格式或分析流程的任何变更均需提交变更申请、开展影响评估，并由PI与治理组批准。</w:t>
      </w:r>
    </w:p>
    <w:p w14:paraId="73DD5CC3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锁定后原则上禁止用于队列B业务决策的变更；如必须变更，需走研究方案修订并完成伦理/监管审批。</w:t>
      </w:r>
    </w:p>
    <w:p w14:paraId="62E4219E">
      <w:pPr>
        <w:pStyle w:val="164"/>
        <w:widowControl/>
      </w:pPr>
      <w:r>
        <w:t>附录A：最小数据字段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66D2A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3CAABB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字段</w:t>
            </w:r>
          </w:p>
        </w:tc>
        <w:tc>
          <w:tcPr>
            <w:tcW w:w="2500" w:type="pct"/>
          </w:tcPr>
          <w:p w14:paraId="10ADE83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说明</w:t>
            </w:r>
          </w:p>
        </w:tc>
      </w:tr>
      <w:tr w14:paraId="7CE5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9D2AF2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受试者编号</w:t>
            </w:r>
          </w:p>
        </w:tc>
        <w:tc>
          <w:tcPr>
            <w:tcW w:w="2500" w:type="pct"/>
          </w:tcPr>
          <w:p w14:paraId="20CFCE3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试验受试者标识</w:t>
            </w:r>
          </w:p>
        </w:tc>
      </w:tr>
      <w:tr w14:paraId="69A3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9BEBE5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队列</w:t>
            </w:r>
          </w:p>
        </w:tc>
        <w:tc>
          <w:tcPr>
            <w:tcW w:w="2500" w:type="pct"/>
          </w:tcPr>
          <w:p w14:paraId="0CC5CEA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A或B</w:t>
            </w:r>
          </w:p>
        </w:tc>
      </w:tr>
      <w:tr w14:paraId="7505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7A7DB1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访视</w:t>
            </w:r>
          </w:p>
        </w:tc>
        <w:tc>
          <w:tcPr>
            <w:tcW w:w="2500" w:type="pct"/>
          </w:tcPr>
          <w:p w14:paraId="4A40E79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决策输出为M6；其他访视用于分析记录</w:t>
            </w:r>
          </w:p>
        </w:tc>
      </w:tr>
      <w:tr w14:paraId="7438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17B6E5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样本链路编号</w:t>
            </w:r>
          </w:p>
        </w:tc>
        <w:tc>
          <w:tcPr>
            <w:tcW w:w="2500" w:type="pct"/>
          </w:tcPr>
          <w:p w14:paraId="16DA4CA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采血管编号、RNA编号、文库编号、运行编号</w:t>
            </w:r>
          </w:p>
        </w:tc>
      </w:tr>
      <w:tr w14:paraId="0D990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0B2B86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TB22数值评分</w:t>
            </w:r>
          </w:p>
        </w:tc>
        <w:tc>
          <w:tcPr>
            <w:tcW w:w="2500" w:type="pct"/>
          </w:tcPr>
          <w:p w14:paraId="52612B1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受限字段；不导入EDC临床可见视图</w:t>
            </w:r>
          </w:p>
        </w:tc>
      </w:tr>
      <w:tr w14:paraId="611A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65E5A34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PASS/FAIL</w:t>
            </w:r>
          </w:p>
        </w:tc>
        <w:tc>
          <w:tcPr>
            <w:tcW w:w="2500" w:type="pct"/>
          </w:tcPr>
          <w:p w14:paraId="49FA255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队列B M6业务分类输出</w:t>
            </w:r>
          </w:p>
        </w:tc>
      </w:tr>
      <w:tr w14:paraId="5C45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2F4290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算法标识/版本</w:t>
            </w:r>
          </w:p>
        </w:tc>
        <w:tc>
          <w:tcPr>
            <w:tcW w:w="2500" w:type="pct"/>
          </w:tcPr>
          <w:p w14:paraId="3CEE7D6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锁定版本</w:t>
            </w:r>
          </w:p>
        </w:tc>
      </w:tr>
      <w:tr w14:paraId="55E6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F007DA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阈值版本</w:t>
            </w:r>
          </w:p>
        </w:tc>
        <w:tc>
          <w:tcPr>
            <w:tcW w:w="2500" w:type="pct"/>
          </w:tcPr>
          <w:p w14:paraId="610A825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锁定版本</w:t>
            </w:r>
          </w:p>
        </w:tc>
      </w:tr>
      <w:tr w14:paraId="3C14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C806544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质控状态</w:t>
            </w:r>
          </w:p>
        </w:tc>
        <w:tc>
          <w:tcPr>
            <w:tcW w:w="2500" w:type="pct"/>
          </w:tcPr>
          <w:p w14:paraId="1F98DE6A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通过/不通过/条件通过（含备注）</w:t>
            </w:r>
          </w:p>
        </w:tc>
      </w:tr>
      <w:tr w14:paraId="03C2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C3204C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结果释放时间</w:t>
            </w:r>
          </w:p>
        </w:tc>
        <w:tc>
          <w:tcPr>
            <w:tcW w:w="2500" w:type="pct"/>
          </w:tcPr>
          <w:p w14:paraId="7620926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日期/时间</w:t>
            </w:r>
          </w:p>
        </w:tc>
      </w:tr>
      <w:tr w14:paraId="7049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DDA3EB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签发人</w:t>
            </w:r>
          </w:p>
        </w:tc>
        <w:tc>
          <w:tcPr>
            <w:tcW w:w="2500" w:type="pct"/>
          </w:tcPr>
          <w:p w14:paraId="357C1D9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授权审批人</w:t>
            </w:r>
          </w:p>
        </w:tc>
      </w:tr>
    </w:tbl>
    <w:p w14:paraId="773E94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13091"/>
    <w:multiLevelType w:val="singleLevel"/>
    <w:tmpl w:val="8BE1309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9D435C33"/>
    <w:multiLevelType w:val="singleLevel"/>
    <w:tmpl w:val="9D435C3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A58DA6F5"/>
    <w:multiLevelType w:val="singleLevel"/>
    <w:tmpl w:val="A58DA6F5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3">
    <w:nsid w:val="AEDD9676"/>
    <w:multiLevelType w:val="singleLevel"/>
    <w:tmpl w:val="AEDD967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D1EA5A9B"/>
    <w:multiLevelType w:val="singleLevel"/>
    <w:tmpl w:val="D1EA5A9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D5568F63"/>
    <w:multiLevelType w:val="singleLevel"/>
    <w:tmpl w:val="D5568F6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DCF66747"/>
    <w:multiLevelType w:val="singleLevel"/>
    <w:tmpl w:val="DCF6674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E0C9254E"/>
    <w:multiLevelType w:val="singleLevel"/>
    <w:tmpl w:val="E0C9254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EC9A779F"/>
    <w:multiLevelType w:val="singleLevel"/>
    <w:tmpl w:val="EC9A779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F90314E6"/>
    <w:multiLevelType w:val="singleLevel"/>
    <w:tmpl w:val="F90314E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18D2ED45"/>
    <w:multiLevelType w:val="singleLevel"/>
    <w:tmpl w:val="18D2ED4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434E9FC3"/>
    <w:multiLevelType w:val="singleLevel"/>
    <w:tmpl w:val="434E9FC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5242338E"/>
    <w:multiLevelType w:val="singleLevel"/>
    <w:tmpl w:val="5242338E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12"/>
  </w:num>
  <w:num w:numId="5">
    <w:abstractNumId w:val="10"/>
  </w:num>
  <w:num w:numId="6">
    <w:abstractNumId w:val="13"/>
  </w:num>
  <w:num w:numId="7">
    <w:abstractNumId w:val="9"/>
  </w:num>
  <w:num w:numId="8">
    <w:abstractNumId w:val="7"/>
  </w:num>
  <w:num w:numId="9">
    <w:abstractNumId w:val="1"/>
  </w:num>
  <w:num w:numId="10">
    <w:abstractNumId w:val="6"/>
  </w:num>
  <w:num w:numId="11">
    <w:abstractNumId w:val="2"/>
  </w:num>
  <w:num w:numId="12">
    <w:abstractNumId w:val="16"/>
  </w:num>
  <w:num w:numId="13">
    <w:abstractNumId w:val="15"/>
  </w:num>
  <w:num w:numId="14">
    <w:abstractNumId w:val="8"/>
  </w:num>
  <w:num w:numId="15">
    <w:abstractNumId w:val="3"/>
  </w:num>
  <w:num w:numId="16">
    <w:abstractNumId w:val="4"/>
  </w:num>
  <w:num w:numId="17">
    <w:abstractNumId w:val="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F4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160" w:after="40" w:line="240" w:lineRule="auto"/>
      <w:jc w:val="left"/>
      <w:outlineLvl w:val="1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200" w:after="80" w:line="240" w:lineRule="auto"/>
      <w:jc w:val="left"/>
      <w:outlineLvl w:val="2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spacing w:before="160" w:after="40" w:line="240" w:lineRule="auto"/>
      <w:jc w:val="left"/>
      <w:outlineLvl w:val="3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1404</Words>
  <Characters>1707</Characters>
  <Lines>0</Lines>
  <Paragraphs>0</Paragraphs>
  <TotalTime>0</TotalTime>
  <ScaleCrop>false</ScaleCrop>
  <LinksUpToDate>false</LinksUpToDate>
  <CharactersWithSpaces>1737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16BD89C083B948299FD5AC9FFF898887_12</vt:lpwstr>
  </property>
</Properties>
</file>