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F51A8">
      <w:pPr>
        <w:pStyle w:val="31"/>
        <w:widowControl/>
      </w:pPr>
      <w:r>
        <w:t>TDSC-TB22-SOP08：质量管理体系（放行、CAPA、重测、KPI）</w:t>
      </w:r>
    </w:p>
    <w:p w14:paraId="35B17EB6">
      <w:pPr>
        <w:pStyle w:val="19"/>
        <w:widowControl/>
        <w:ind w:firstLine="480" w:firstLineChars="200"/>
      </w:pPr>
      <w:r>
        <w:t>文件编号：TDSC-TB22-SOP08    版本：V1.0    日期：2026-02-09</w:t>
      </w:r>
    </w:p>
    <w:p w14:paraId="5C032AA2"/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8E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FD1422B">
            <w:pPr>
              <w:spacing w:after="0" w:line="240" w:lineRule="auto"/>
            </w:pPr>
            <w:r>
              <w:t>起草</w:t>
            </w:r>
          </w:p>
        </w:tc>
        <w:tc>
          <w:tcPr>
            <w:tcW w:w="2500" w:type="pct"/>
          </w:tcPr>
          <w:p w14:paraId="225EA07B">
            <w:pPr>
              <w:spacing w:after="0" w:line="240" w:lineRule="auto"/>
            </w:pPr>
          </w:p>
        </w:tc>
      </w:tr>
      <w:tr w14:paraId="4C06D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B422E66">
            <w:pPr>
              <w:spacing w:after="0" w:line="240" w:lineRule="auto"/>
            </w:pPr>
            <w:r>
              <w:t>审核</w:t>
            </w:r>
          </w:p>
        </w:tc>
        <w:tc>
          <w:tcPr>
            <w:tcW w:w="2500" w:type="pct"/>
          </w:tcPr>
          <w:p w14:paraId="74F94026">
            <w:pPr>
              <w:spacing w:after="0" w:line="240" w:lineRule="auto"/>
            </w:pPr>
          </w:p>
        </w:tc>
      </w:tr>
      <w:tr w14:paraId="5BB4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EFC72B2">
            <w:pPr>
              <w:spacing w:after="0" w:line="240" w:lineRule="auto"/>
            </w:pPr>
            <w:r>
              <w:t>批准</w:t>
            </w:r>
          </w:p>
        </w:tc>
        <w:tc>
          <w:tcPr>
            <w:tcW w:w="2500" w:type="pct"/>
          </w:tcPr>
          <w:p w14:paraId="1B9371DE">
            <w:pPr>
              <w:spacing w:after="0" w:line="240" w:lineRule="auto"/>
            </w:pPr>
          </w:p>
        </w:tc>
      </w:tr>
      <w:tr w14:paraId="2244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1217502">
            <w:pPr>
              <w:spacing w:after="0" w:line="240" w:lineRule="auto"/>
            </w:pPr>
            <w:r>
              <w:t>生效日期</w:t>
            </w:r>
          </w:p>
        </w:tc>
        <w:tc>
          <w:tcPr>
            <w:tcW w:w="2500" w:type="pct"/>
          </w:tcPr>
          <w:p w14:paraId="056190C4">
            <w:pPr>
              <w:spacing w:after="0" w:line="240" w:lineRule="auto"/>
            </w:pPr>
            <w:r>
              <w:t>2026-02-09</w:t>
            </w:r>
          </w:p>
        </w:tc>
      </w:tr>
      <w:tr w14:paraId="6A4E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1F57644">
            <w:pPr>
              <w:spacing w:after="0" w:line="240" w:lineRule="auto"/>
            </w:pPr>
            <w:r>
              <w:t>保密等级</w:t>
            </w:r>
          </w:p>
        </w:tc>
        <w:tc>
          <w:tcPr>
            <w:tcW w:w="2500" w:type="pct"/>
          </w:tcPr>
          <w:p w14:paraId="190E7702">
            <w:pPr>
              <w:spacing w:after="0" w:line="240" w:lineRule="auto"/>
            </w:pPr>
            <w:r>
              <w:t>内部资料 / 保密</w:t>
            </w:r>
          </w:p>
        </w:tc>
      </w:tr>
    </w:tbl>
    <w:p w14:paraId="25C0DD88"/>
    <w:p w14:paraId="6FFB63F1">
      <w:pPr>
        <w:pStyle w:val="165"/>
        <w:widowControl/>
        <w:outlineLvl w:val="9"/>
      </w:pPr>
      <w:r>
        <w:t>目录（请在Word中更新域）：</w:t>
      </w:r>
    </w:p>
    <w:p w14:paraId="373CA51B">
      <w:pPr>
        <w:pStyle w:val="19"/>
        <w:widowControl/>
      </w:pPr>
      <w:r>
        <w:t>1. 目的  2. 适用范围  3. 定义  4. 职责  5. 操作流程  6. 记录  7. 质量控制  8. 偏差与CAPA  9. 参考文献  10. 附录</w:t>
      </w:r>
    </w:p>
    <w:p w14:paraId="4A73827F"/>
    <w:p w14:paraId="0DE26AC5">
      <w:pPr>
        <w:pStyle w:val="3"/>
        <w:widowControl/>
      </w:pPr>
      <w:r>
        <w:t>目的</w:t>
      </w:r>
    </w:p>
    <w:p w14:paraId="6458E731">
      <w:pPr>
        <w:pStyle w:val="19"/>
        <w:widowControl/>
      </w:pPr>
      <w:r>
        <w:t>定义TB22质量管理体系：培训、放行、偏差/CAPA、重测规则、审计与KPI监测。</w:t>
      </w:r>
    </w:p>
    <w:p w14:paraId="0E4CCDA2">
      <w:pPr>
        <w:pStyle w:val="3"/>
        <w:widowControl/>
      </w:pPr>
      <w:r>
        <w:t>适用范围</w:t>
      </w:r>
    </w:p>
    <w:p w14:paraId="162BA9E3">
      <w:pPr>
        <w:pStyle w:val="16"/>
        <w:bidi w:val="0"/>
        <w:ind w:left="360" w:leftChars="0" w:hanging="360" w:firstLineChars="0"/>
      </w:pPr>
      <w:r>
        <w:t>适用于TB22 SOP01–SOP07，保障研究级数据产出。</w:t>
      </w:r>
    </w:p>
    <w:p w14:paraId="3F06E5C6">
      <w:pPr>
        <w:pStyle w:val="3"/>
        <w:widowControl/>
      </w:pPr>
      <w:r>
        <w:t>职责</w:t>
      </w:r>
    </w:p>
    <w:p w14:paraId="4EC28EF1">
      <w:pPr>
        <w:pStyle w:val="16"/>
        <w:bidi w:val="0"/>
        <w:ind w:left="360" w:leftChars="0" w:hanging="360" w:firstLineChars="0"/>
      </w:pPr>
      <w:r>
        <w:t>分中心协调员：SOP01执行与发运。</w:t>
      </w:r>
    </w:p>
    <w:p w14:paraId="16808305">
      <w:pPr>
        <w:pStyle w:val="16"/>
        <w:bidi w:val="0"/>
        <w:ind w:left="360" w:leftChars="0" w:hanging="360" w:firstLineChars="0"/>
      </w:pPr>
      <w:r>
        <w:t>中心实验室负责人：SOP02–SOP05执行与设备/试剂管理。</w:t>
      </w:r>
    </w:p>
    <w:p w14:paraId="7AC8CE2B">
      <w:pPr>
        <w:pStyle w:val="16"/>
        <w:bidi w:val="0"/>
        <w:ind w:left="360" w:leftChars="0" w:hanging="360" w:firstLineChars="0"/>
      </w:pPr>
      <w:r>
        <w:t>生信负责人：SOP06发布与变更控制。</w:t>
      </w:r>
    </w:p>
    <w:p w14:paraId="10EA0EB7">
      <w:pPr>
        <w:pStyle w:val="16"/>
        <w:bidi w:val="0"/>
        <w:ind w:left="360" w:leftChars="0" w:hanging="360" w:firstLineChars="0"/>
      </w:pPr>
      <w:r>
        <w:t>QA/QC：审计、CAPA追踪与KPI报告。</w:t>
      </w:r>
    </w:p>
    <w:p w14:paraId="450E5821">
      <w:pPr>
        <w:pStyle w:val="3"/>
        <w:widowControl/>
      </w:pPr>
      <w:r>
        <w:t>操作流程</w:t>
      </w:r>
    </w:p>
    <w:p w14:paraId="1FAFBC67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t>培训与能力</w:t>
      </w:r>
    </w:p>
    <w:p w14:paraId="7ADCF918">
      <w:pPr>
        <w:pStyle w:val="19"/>
        <w:widowControl/>
        <w:numPr>
          <w:ilvl w:val="0"/>
          <w:numId w:val="7"/>
        </w:numPr>
      </w:pPr>
      <w:r>
        <w:t>上线前按角色培训；年度复训；能力签核。</w:t>
      </w:r>
    </w:p>
    <w:p w14:paraId="12E1DFD5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t>放行门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3AF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B992E27">
            <w:pPr>
              <w:spacing w:after="0" w:line="240" w:lineRule="auto"/>
            </w:pPr>
            <w:r>
              <w:t>阶段</w:t>
            </w:r>
          </w:p>
        </w:tc>
        <w:tc>
          <w:tcPr>
            <w:tcW w:w="1666" w:type="pct"/>
          </w:tcPr>
          <w:p w14:paraId="539EFEB2">
            <w:pPr>
              <w:spacing w:after="0" w:line="240" w:lineRule="auto"/>
            </w:pPr>
            <w:r>
              <w:t>放行标准（示例）</w:t>
            </w:r>
          </w:p>
        </w:tc>
        <w:tc>
          <w:tcPr>
            <w:tcW w:w="1666" w:type="pct"/>
          </w:tcPr>
          <w:p w14:paraId="433FE891">
            <w:pPr>
              <w:spacing w:after="0" w:line="240" w:lineRule="auto"/>
            </w:pPr>
            <w:r>
              <w:t>批准人</w:t>
            </w:r>
          </w:p>
        </w:tc>
      </w:tr>
      <w:tr w14:paraId="7D6C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C19F556">
            <w:pPr>
              <w:spacing w:after="0" w:line="240" w:lineRule="auto"/>
            </w:pPr>
            <w:r>
              <w:t>RNA（SOP03）</w:t>
            </w:r>
          </w:p>
        </w:tc>
        <w:tc>
          <w:tcPr>
            <w:tcW w:w="1666" w:type="pct"/>
          </w:tcPr>
          <w:p w14:paraId="21432687">
            <w:pPr>
              <w:spacing w:after="0" w:line="240" w:lineRule="auto"/>
            </w:pPr>
            <w:r>
              <w:t>QC PASS；或BORDERLINE且有充分理由与处置记录</w:t>
            </w:r>
          </w:p>
        </w:tc>
        <w:tc>
          <w:tcPr>
            <w:tcW w:w="1666" w:type="pct"/>
          </w:tcPr>
          <w:p w14:paraId="01D91E87">
            <w:pPr>
              <w:spacing w:after="0" w:line="240" w:lineRule="auto"/>
            </w:pPr>
            <w:r>
              <w:t>QC复核</w:t>
            </w:r>
          </w:p>
        </w:tc>
      </w:tr>
      <w:tr w14:paraId="0FA2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54A3D70">
            <w:pPr>
              <w:spacing w:after="0" w:line="240" w:lineRule="auto"/>
            </w:pPr>
            <w:r>
              <w:t>文库（SOP04）</w:t>
            </w:r>
          </w:p>
        </w:tc>
        <w:tc>
          <w:tcPr>
            <w:tcW w:w="1666" w:type="pct"/>
          </w:tcPr>
          <w:p w14:paraId="33DCED56">
            <w:pPr>
              <w:spacing w:after="0" w:line="240" w:lineRule="auto"/>
            </w:pPr>
            <w:r>
              <w:t>索引复核；文库QC通过；NTC阴性</w:t>
            </w:r>
          </w:p>
        </w:tc>
        <w:tc>
          <w:tcPr>
            <w:tcW w:w="1666" w:type="pct"/>
          </w:tcPr>
          <w:p w14:paraId="22E0E92F">
            <w:pPr>
              <w:spacing w:after="0" w:line="240" w:lineRule="auto"/>
            </w:pPr>
            <w:r>
              <w:t>QC复核</w:t>
            </w:r>
          </w:p>
        </w:tc>
      </w:tr>
      <w:tr w14:paraId="3BB5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24EB655">
            <w:pPr>
              <w:spacing w:after="0" w:line="240" w:lineRule="auto"/>
            </w:pPr>
            <w:r>
              <w:t>运行（SOP05）</w:t>
            </w:r>
          </w:p>
        </w:tc>
        <w:tc>
          <w:tcPr>
            <w:tcW w:w="1666" w:type="pct"/>
          </w:tcPr>
          <w:p w14:paraId="3664DAF3">
            <w:pPr>
              <w:spacing w:after="0" w:line="240" w:lineRule="auto"/>
            </w:pPr>
            <w:r>
              <w:t>混池计划与样本表锁定；上机清单完整</w:t>
            </w:r>
          </w:p>
        </w:tc>
        <w:tc>
          <w:tcPr>
            <w:tcW w:w="1666" w:type="pct"/>
          </w:tcPr>
          <w:p w14:paraId="4491894B">
            <w:pPr>
              <w:spacing w:after="0" w:line="240" w:lineRule="auto"/>
            </w:pPr>
            <w:r>
              <w:t>实验室负责人</w:t>
            </w:r>
          </w:p>
        </w:tc>
      </w:tr>
      <w:tr w14:paraId="4EBF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0A7D748">
            <w:pPr>
              <w:spacing w:after="0" w:line="240" w:lineRule="auto"/>
            </w:pPr>
            <w:r>
              <w:t>分析（SOP06）</w:t>
            </w:r>
          </w:p>
        </w:tc>
        <w:tc>
          <w:tcPr>
            <w:tcW w:w="1666" w:type="pct"/>
          </w:tcPr>
          <w:p w14:paraId="7E792871">
            <w:pPr>
              <w:spacing w:after="0" w:line="240" w:lineRule="auto"/>
            </w:pPr>
            <w:r>
              <w:t>流程/模型版本一致；QC汇总复核</w:t>
            </w:r>
          </w:p>
        </w:tc>
        <w:tc>
          <w:tcPr>
            <w:tcW w:w="1666" w:type="pct"/>
          </w:tcPr>
          <w:p w14:paraId="7DA2E93B">
            <w:pPr>
              <w:spacing w:after="0" w:line="240" w:lineRule="auto"/>
            </w:pPr>
            <w:r>
              <w:t>生信负责人</w:t>
            </w:r>
          </w:p>
        </w:tc>
      </w:tr>
      <w:tr w14:paraId="58DB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3881648">
            <w:pPr>
              <w:spacing w:after="0" w:line="240" w:lineRule="auto"/>
            </w:pPr>
            <w:r>
              <w:t>报告（SOP07）</w:t>
            </w:r>
          </w:p>
        </w:tc>
        <w:tc>
          <w:tcPr>
            <w:tcW w:w="1666" w:type="pct"/>
          </w:tcPr>
          <w:p w14:paraId="030AD2D7">
            <w:pPr>
              <w:spacing w:after="0" w:line="240" w:lineRule="auto"/>
            </w:pPr>
            <w:r>
              <w:t>结果包完整；审计追踪完好</w:t>
            </w:r>
          </w:p>
        </w:tc>
        <w:tc>
          <w:tcPr>
            <w:tcW w:w="1666" w:type="pct"/>
          </w:tcPr>
          <w:p w14:paraId="4CCEEF30">
            <w:pPr>
              <w:spacing w:after="0" w:line="240" w:lineRule="auto"/>
            </w:pPr>
            <w:r>
              <w:t>QA/QC或授权人</w:t>
            </w:r>
          </w:p>
        </w:tc>
      </w:tr>
    </w:tbl>
    <w:p w14:paraId="56E1BEE3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t>偏差与CAPA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98C3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3A5A581">
            <w:pPr>
              <w:spacing w:after="0" w:line="240" w:lineRule="auto"/>
            </w:pPr>
            <w:r>
              <w:t>等级</w:t>
            </w:r>
          </w:p>
        </w:tc>
        <w:tc>
          <w:tcPr>
            <w:tcW w:w="1666" w:type="pct"/>
          </w:tcPr>
          <w:p w14:paraId="312BFF2A">
            <w:pPr>
              <w:spacing w:after="0" w:line="240" w:lineRule="auto"/>
            </w:pPr>
            <w:r>
              <w:t>示例</w:t>
            </w:r>
          </w:p>
        </w:tc>
        <w:tc>
          <w:tcPr>
            <w:tcW w:w="1666" w:type="pct"/>
          </w:tcPr>
          <w:p w14:paraId="0A149C0D">
            <w:pPr>
              <w:spacing w:after="0" w:line="240" w:lineRule="auto"/>
            </w:pPr>
            <w:r>
              <w:t>处置</w:t>
            </w:r>
          </w:p>
        </w:tc>
      </w:tr>
      <w:tr w14:paraId="2094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5F0BDF0">
            <w:pPr>
              <w:spacing w:after="0" w:line="240" w:lineRule="auto"/>
            </w:pPr>
            <w:r>
              <w:t>一般</w:t>
            </w:r>
          </w:p>
        </w:tc>
        <w:tc>
          <w:tcPr>
            <w:tcW w:w="1666" w:type="pct"/>
          </w:tcPr>
          <w:p w14:paraId="6453A403">
            <w:pPr>
              <w:spacing w:after="0" w:line="240" w:lineRule="auto"/>
            </w:pPr>
            <w:r>
              <w:t>记录延迟</w:t>
            </w:r>
          </w:p>
        </w:tc>
        <w:tc>
          <w:tcPr>
            <w:tcW w:w="1666" w:type="pct"/>
          </w:tcPr>
          <w:p w14:paraId="0478F2B9">
            <w:pPr>
              <w:spacing w:after="0" w:line="240" w:lineRule="auto"/>
            </w:pPr>
            <w:r>
              <w:t>更正；趋势监测</w:t>
            </w:r>
          </w:p>
        </w:tc>
      </w:tr>
      <w:tr w14:paraId="432A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49C9E7">
            <w:pPr>
              <w:spacing w:after="0" w:line="240" w:lineRule="auto"/>
            </w:pPr>
            <w:r>
              <w:t>重大</w:t>
            </w:r>
          </w:p>
        </w:tc>
        <w:tc>
          <w:tcPr>
            <w:tcW w:w="1666" w:type="pct"/>
          </w:tcPr>
          <w:p w14:paraId="55C811E5">
            <w:pPr>
              <w:spacing w:after="0" w:line="240" w:lineRule="auto"/>
            </w:pPr>
            <w:r>
              <w:t>温控偏差；需重测的QC失败</w:t>
            </w:r>
          </w:p>
        </w:tc>
        <w:tc>
          <w:tcPr>
            <w:tcW w:w="1666" w:type="pct"/>
          </w:tcPr>
          <w:p w14:paraId="0BA34ADA">
            <w:pPr>
              <w:spacing w:after="0" w:line="240" w:lineRule="auto"/>
            </w:pPr>
            <w:r>
              <w:t>调查+CAPA；QA复核</w:t>
            </w:r>
          </w:p>
        </w:tc>
      </w:tr>
      <w:tr w14:paraId="0273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BE4EF1F">
            <w:pPr>
              <w:spacing w:after="0" w:line="240" w:lineRule="auto"/>
            </w:pPr>
            <w:r>
              <w:t>关键</w:t>
            </w:r>
          </w:p>
        </w:tc>
        <w:tc>
          <w:tcPr>
            <w:tcW w:w="1666" w:type="pct"/>
          </w:tcPr>
          <w:p w14:paraId="5062FEEA">
            <w:pPr>
              <w:spacing w:after="0" w:line="240" w:lineRule="auto"/>
            </w:pPr>
            <w:r>
              <w:t>样本错配；NTC污染；模型不一致；数据损坏</w:t>
            </w:r>
          </w:p>
        </w:tc>
        <w:tc>
          <w:tcPr>
            <w:tcW w:w="1666" w:type="pct"/>
          </w:tcPr>
          <w:p w14:paraId="0AD03762">
            <w:pPr>
              <w:spacing w:after="0" w:line="240" w:lineRule="auto"/>
            </w:pPr>
            <w:r>
              <w:t>隔离；立即根因分析；通知PI/QA；重测/重跑</w:t>
            </w:r>
          </w:p>
        </w:tc>
      </w:tr>
    </w:tbl>
    <w:p w14:paraId="66745ADE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t>重测/重跑规则</w:t>
      </w:r>
    </w:p>
    <w:p w14:paraId="2F63A298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RNA FAIL：优先复提1次；仍FAIL则窗口内申请重采并在EDC记录。</w:t>
      </w:r>
    </w:p>
    <w:p w14:paraId="4314949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文库QC失败：RNA有余量则允许1次重清理或重建库；记录。</w:t>
      </w:r>
    </w:p>
    <w:p w14:paraId="2F6870DB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运行失败：优先从混池文库重跑；否则重建库；需调查。</w:t>
      </w:r>
    </w:p>
    <w:p w14:paraId="2970EFAB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生信复分析仅允许使用同一锁定流程/模型（除非已验证变更获批）。</w:t>
      </w:r>
    </w:p>
    <w:p w14:paraId="209342EF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bookmarkStart w:id="0" w:name="_GoBack"/>
      <w:bookmarkEnd w:id="0"/>
      <w:r>
        <w:t>KPI监测</w:t>
      </w:r>
    </w:p>
    <w:p w14:paraId="1FE86DA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月度看板：周转时间、PASS率、偏差率、运输温控偏差。</w:t>
      </w:r>
    </w:p>
    <w:p w14:paraId="15E69341">
      <w:pPr>
        <w:pStyle w:val="167"/>
        <w:widowControl/>
      </w:pPr>
      <w:r>
        <w:t>参考文献</w:t>
      </w:r>
    </w:p>
    <w:p w14:paraId="61B408FB">
      <w:pPr>
        <w:pStyle w:val="166"/>
        <w:widowControl/>
        <w:numPr>
          <w:ilvl w:val="0"/>
          <w:numId w:val="9"/>
        </w:numPr>
        <w:ind w:left="360" w:leftChars="0" w:hanging="360" w:firstLineChars="0"/>
      </w:pPr>
      <w:r>
        <w:t>TDSC研究方案（Trials投稿包），现行批准版本。</w:t>
      </w:r>
    </w:p>
    <w:p w14:paraId="0AE4AC48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TB22检测机构技术SOP：PAXgene Blood RNA流程与NextSeq1000 mRNA测序流程（现行版本）。</w:t>
      </w:r>
    </w:p>
    <w:p w14:paraId="1D0831DA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TDSC TB22 SOP01/02/05/07（内部SOP体系），现行批准版本。</w:t>
      </w:r>
    </w:p>
    <w:p w14:paraId="216BD7DC">
      <w:pPr>
        <w:pStyle w:val="164"/>
        <w:widowControl/>
      </w:pPr>
      <w:r>
        <w:t>附录</w:t>
      </w:r>
    </w:p>
    <w:p w14:paraId="5F3AEE5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附录08-1：偏差/CAPA登记表模板。</w:t>
      </w:r>
    </w:p>
    <w:p w14:paraId="0C0448E2">
      <w:pPr>
        <w:pStyle w:val="19"/>
        <w:widowControl/>
        <w:numPr>
          <w:ilvl w:val="0"/>
          <w:numId w:val="7"/>
        </w:numPr>
      </w:pPr>
      <w:r>
        <w:t>附录08-2：KPI字段定义。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78A15"/>
    <w:multiLevelType w:val="singleLevel"/>
    <w:tmpl w:val="B3B78A1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343008D"/>
    <w:multiLevelType w:val="singleLevel"/>
    <w:tmpl w:val="2343008D"/>
    <w:lvl w:ilvl="0" w:tentative="0">
      <w:start w:val="0"/>
      <w:numFmt w:val="bullet"/>
      <w:lvlText w:val=""/>
      <w:lvlJc w:val="left"/>
      <w:pPr>
        <w:tabs>
          <w:tab w:val="left" w:pos="210"/>
        </w:tabs>
        <w:ind w:left="360" w:hanging="360"/>
      </w:pPr>
      <w:rPr>
        <w:rFonts w:hint="default" w:ascii="Symbol" w:hAnsi="Symbol"/>
      </w:rPr>
    </w:lvl>
  </w:abstractNum>
  <w:abstractNum w:abstractNumId="8">
    <w:nsid w:val="54196F82"/>
    <w:multiLevelType w:val="singleLevel"/>
    <w:tmpl w:val="54196F82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E8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paragraph" w:customStyle="1" w:styleId="165">
    <w:name w:val="目录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9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  <w:style w:type="paragraph" w:customStyle="1" w:styleId="166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67">
    <w:name w:val="参考文献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719</Words>
  <Characters>994</Characters>
  <Lines>0</Lines>
  <Paragraphs>0</Paragraphs>
  <TotalTime>0</TotalTime>
  <ScaleCrop>false</ScaleCrop>
  <LinksUpToDate>false</LinksUpToDate>
  <CharactersWithSpaces>1045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1E6E790E0A6748A1BD566E48374E0EC4_12</vt:lpwstr>
  </property>
</Properties>
</file>