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AE25ED">
      <w:pPr>
        <w:pStyle w:val="31"/>
        <w:widowControl/>
        <w:ind w:left="638" w:leftChars="290" w:firstLine="0" w:firstLineChars="0"/>
      </w:pPr>
      <w:r>
        <w:t>国家重大专项 | TB-DM共病多学科管理创新模式研究</w:t>
      </w:r>
      <w:r>
        <w:br w:type="textWrapping"/>
      </w:r>
      <w:bookmarkStart w:id="0" w:name="_GoBack"/>
      <w:bookmarkEnd w:id="0"/>
      <w:r>
        <w:t>利福喷丁给药实施与药代采样/分析（可选）操作手册</w:t>
      </w:r>
    </w:p>
    <w:p w14:paraId="2BBF792C">
      <w:pPr>
        <w:pStyle w:val="26"/>
        <w:widowControl/>
      </w:pPr>
      <w:r>
        <w:t>（与TDSC研究方案V2.0及已完成SOP体系对齐版）</w:t>
      </w:r>
    </w:p>
    <w:p w14:paraId="410AACDD">
      <w:pPr>
        <w:pStyle w:val="19"/>
        <w:widowControl/>
      </w:pPr>
      <w:r>
        <w:t>文件编号：SOP-RPT-PD-2026-001    版本：V1.1    生效日期：2026-03-04    密级：内部受控</w:t>
      </w:r>
    </w:p>
    <w:p w14:paraId="0769FC8A"/>
    <w:p w14:paraId="36D699AA">
      <w:pPr>
        <w:pStyle w:val="3"/>
        <w:widowControl/>
      </w:pPr>
      <w:r>
        <w:t>文件控制与版本管理</w:t>
      </w:r>
    </w:p>
    <w:p w14:paraId="412DACF6">
      <w:pPr>
        <w:pStyle w:val="4"/>
        <w:widowControl/>
      </w:pPr>
      <w:r>
        <w:t>1. 文件版本历史</w:t>
      </w:r>
    </w:p>
    <w:tbl>
      <w:tblPr>
        <w:tblStyle w:val="33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4"/>
        <w:gridCol w:w="1915"/>
        <w:gridCol w:w="1915"/>
        <w:gridCol w:w="1915"/>
        <w:gridCol w:w="1915"/>
      </w:tblGrid>
      <w:tr w14:paraId="475C9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  <w:vAlign w:val="top"/>
          </w:tcPr>
          <w:p w14:paraId="6117552E">
            <w:pPr>
              <w:spacing w:after="0"/>
            </w:pPr>
            <w:r>
              <w:t>版本</w:t>
            </w:r>
          </w:p>
        </w:tc>
        <w:tc>
          <w:tcPr>
            <w:tcW w:w="1000" w:type="pct"/>
            <w:vAlign w:val="top"/>
          </w:tcPr>
          <w:p w14:paraId="71C3A750">
            <w:pPr>
              <w:spacing w:after="0"/>
            </w:pPr>
            <w:r>
              <w:t>日期</w:t>
            </w:r>
          </w:p>
        </w:tc>
        <w:tc>
          <w:tcPr>
            <w:tcW w:w="1000" w:type="pct"/>
            <w:vAlign w:val="top"/>
          </w:tcPr>
          <w:p w14:paraId="529E474F">
            <w:pPr>
              <w:spacing w:after="0"/>
            </w:pPr>
            <w:r>
              <w:t>修订内容摘要</w:t>
            </w:r>
          </w:p>
        </w:tc>
        <w:tc>
          <w:tcPr>
            <w:tcW w:w="1000" w:type="pct"/>
            <w:vAlign w:val="top"/>
          </w:tcPr>
          <w:p w14:paraId="7FB6EEF1">
            <w:pPr>
              <w:spacing w:after="0"/>
            </w:pPr>
            <w:r>
              <w:t>编制/修订</w:t>
            </w:r>
          </w:p>
        </w:tc>
        <w:tc>
          <w:tcPr>
            <w:tcW w:w="1000" w:type="pct"/>
            <w:vAlign w:val="top"/>
          </w:tcPr>
          <w:p w14:paraId="3C5F4ADE">
            <w:pPr>
              <w:spacing w:after="0"/>
            </w:pPr>
            <w:r>
              <w:t>批准</w:t>
            </w:r>
          </w:p>
        </w:tc>
      </w:tr>
      <w:tr w14:paraId="3DF26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  <w:vAlign w:val="top"/>
          </w:tcPr>
          <w:p w14:paraId="2B47D972">
            <w:pPr>
              <w:spacing w:after="0"/>
            </w:pPr>
            <w:r>
              <w:t>V1.0</w:t>
            </w:r>
          </w:p>
        </w:tc>
        <w:tc>
          <w:tcPr>
            <w:tcW w:w="1000" w:type="pct"/>
            <w:vAlign w:val="top"/>
          </w:tcPr>
          <w:p w14:paraId="444DA761">
            <w:pPr>
              <w:spacing w:after="0"/>
            </w:pPr>
            <w:r>
              <w:t>2026-02</w:t>
            </w:r>
          </w:p>
        </w:tc>
        <w:tc>
          <w:tcPr>
            <w:tcW w:w="1000" w:type="pct"/>
            <w:vAlign w:val="top"/>
          </w:tcPr>
          <w:p w14:paraId="6685FC37">
            <w:pPr>
              <w:spacing w:after="0"/>
            </w:pPr>
            <w:r>
              <w:t>初版发布（原始手册）。</w:t>
            </w:r>
          </w:p>
        </w:tc>
        <w:tc>
          <w:tcPr>
            <w:tcW w:w="1000" w:type="pct"/>
            <w:vAlign w:val="top"/>
          </w:tcPr>
          <w:p w14:paraId="6784D7CA">
            <w:pPr>
              <w:spacing w:after="0"/>
            </w:pPr>
            <w:r>
              <w:t>李巍</w:t>
            </w:r>
          </w:p>
        </w:tc>
        <w:tc>
          <w:tcPr>
            <w:tcW w:w="1000" w:type="pct"/>
            <w:vAlign w:val="top"/>
          </w:tcPr>
          <w:p w14:paraId="04B73372">
            <w:pPr>
              <w:spacing w:after="0"/>
            </w:pPr>
            <w:r>
              <w:t>课题组</w:t>
            </w:r>
          </w:p>
        </w:tc>
      </w:tr>
      <w:tr w14:paraId="5C6DD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  <w:vAlign w:val="top"/>
          </w:tcPr>
          <w:p w14:paraId="1D996D0F">
            <w:pPr>
              <w:spacing w:after="0"/>
            </w:pPr>
            <w:r>
              <w:t>V1.1</w:t>
            </w:r>
          </w:p>
        </w:tc>
        <w:tc>
          <w:tcPr>
            <w:tcW w:w="1000" w:type="pct"/>
            <w:vAlign w:val="top"/>
          </w:tcPr>
          <w:p w14:paraId="5289EAEC">
            <w:pPr>
              <w:spacing w:after="0"/>
            </w:pPr>
            <w:r>
              <w:t>2026-03-04</w:t>
            </w:r>
          </w:p>
        </w:tc>
        <w:tc>
          <w:tcPr>
            <w:tcW w:w="1000" w:type="pct"/>
            <w:vAlign w:val="top"/>
          </w:tcPr>
          <w:p w14:paraId="35A789A6">
            <w:pPr>
              <w:spacing w:after="0"/>
            </w:pPr>
            <w:r>
              <w:t>与TDSC研究方案V2.0及SOP体系对齐：统一利福喷丁剂量口径为A1=20 mg/kg/日、A2=15 mg/kg/日（最高1200 mg/日）；删除/降级“基于TDM的临床剂量调整”与“NAT2指导异烟肼调量”为研究性/受控访问；补齐信息隔离、偏差/CAPA、数据管理与稽查接口。</w:t>
            </w:r>
          </w:p>
        </w:tc>
        <w:tc>
          <w:tcPr>
            <w:tcW w:w="1000" w:type="pct"/>
            <w:vAlign w:val="top"/>
          </w:tcPr>
          <w:p w14:paraId="366F9151">
            <w:pPr>
              <w:spacing w:after="0"/>
            </w:pPr>
            <w:r>
              <w:t>修订：项目SOP组</w:t>
            </w:r>
          </w:p>
        </w:tc>
        <w:tc>
          <w:tcPr>
            <w:tcW w:w="1000" w:type="pct"/>
            <w:vAlign w:val="top"/>
          </w:tcPr>
          <w:p w14:paraId="6ADBEF14">
            <w:pPr>
              <w:spacing w:after="0"/>
            </w:pPr>
            <w:r>
              <w:t>________</w:t>
            </w:r>
          </w:p>
        </w:tc>
      </w:tr>
    </w:tbl>
    <w:p w14:paraId="5DDEE1E7"/>
    <w:p w14:paraId="172F45BF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范围、目的与关键声明</w:t>
      </w:r>
    </w:p>
    <w:p w14:paraId="383DA2B4">
      <w:pPr>
        <w:pStyle w:val="4"/>
        <w:widowControl/>
        <w:numPr>
          <w:ilvl w:val="0"/>
          <w:numId w:val="8"/>
        </w:numPr>
        <w:ind w:left="0" w:leftChars="0" w:firstLine="0" w:firstLineChars="0"/>
        <w:rPr>
          <w:b/>
          <w:bdr w:val="none" w:sz="0" w:space="0"/>
        </w:rPr>
      </w:pPr>
      <w:r>
        <w:t>文件目的</w:t>
      </w:r>
    </w:p>
    <w:p w14:paraId="1A664707">
      <w:pPr>
        <w:pStyle w:val="19"/>
        <w:widowControl/>
      </w:pPr>
      <w:r>
        <w:rPr>
          <w:b w:val="0"/>
        </w:rPr>
        <w:t>本手册用于规范TB-DM人群中利福喷丁（Rifapentine, RPT）在TDSC研究框架内的给药实施要点，以及（如获伦理批准并在分中心具备条件时）与药代动力学/药物基因组学相关的采样、样本处理、生物分析与数据闭环流程。</w:t>
      </w:r>
    </w:p>
    <w:p w14:paraId="0BFD0E51">
      <w:pPr>
        <w:pStyle w:val="4"/>
        <w:widowControl/>
        <w:numPr>
          <w:ilvl w:val="0"/>
          <w:numId w:val="8"/>
        </w:numPr>
        <w:ind w:left="0" w:leftChars="0" w:firstLine="0" w:firstLineChars="0"/>
        <w:rPr>
          <w:b/>
          <w:bdr w:val="none" w:sz="0" w:space="0"/>
        </w:rPr>
      </w:pPr>
      <w:r>
        <w:t>适用范围</w:t>
      </w:r>
    </w:p>
    <w:p w14:paraId="12C424A6">
      <w:pPr>
        <w:pStyle w:val="16"/>
        <w:bidi w:val="0"/>
        <w:ind w:left="360" w:leftChars="0" w:hanging="360" w:firstLineChars="0"/>
      </w:pPr>
      <w:r>
        <w:t>适用对象：TDSC研究中接受含利福喷丁方案的受试者（A1/A2等）。</w:t>
      </w:r>
    </w:p>
    <w:p w14:paraId="62163906">
      <w:pPr>
        <w:pStyle w:val="16"/>
        <w:bidi w:val="0"/>
        <w:ind w:left="360" w:leftChars="0" w:hanging="360" w:firstLineChars="0"/>
      </w:pPr>
      <w:r>
        <w:t>适用人员：临床医生、临床药师、研究护士、检验/实验室人员、数据管理与质量管理人员。</w:t>
      </w:r>
    </w:p>
    <w:p w14:paraId="2580321A">
      <w:pPr>
        <w:pStyle w:val="16"/>
        <w:bidi w:val="0"/>
        <w:ind w:left="360" w:leftChars="0" w:hanging="360" w:firstLineChars="0"/>
      </w:pPr>
      <w:r>
        <w:t>适用场景：日常给药与依从性管理（所有中心）；药代/生物分析相关流程仅限“获批的可选子研究/中心能力范围内”。</w:t>
      </w:r>
    </w:p>
    <w:p w14:paraId="391FE24B">
      <w:pPr>
        <w:pStyle w:val="4"/>
        <w:widowControl/>
        <w:numPr>
          <w:ilvl w:val="0"/>
          <w:numId w:val="8"/>
        </w:numPr>
        <w:ind w:left="0" w:leftChars="0" w:firstLine="0" w:firstLineChars="0"/>
        <w:rPr>
          <w:b/>
          <w:bdr w:val="none" w:sz="0" w:space="0"/>
        </w:rPr>
      </w:pPr>
      <w:r>
        <w:t>关键声明（与TDSC主试验一致）</w:t>
      </w:r>
    </w:p>
    <w:p w14:paraId="4C965B67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本手册不替代TDSC研究方案与受控SOP。涉及受试者资格、随机与分配、随访与失访、数据管理、偏差/CAPA等，分别以SOP13/12/18/19/20为准。</w:t>
      </w:r>
    </w:p>
    <w:p w14:paraId="0616E9FF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TDSC为开放标签试验，但关键终点评估（CEC）与探索性结果披露受控；探索性药代/基因结果默认不向治疗团队披露，除非伦理批准且符合受控访问流程（SOP12）。</w:t>
      </w:r>
    </w:p>
    <w:p w14:paraId="16725371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研究期间不得因研究性TDM/建模结果擅自调整随机分配的利福喷丁剂量。任何非方案规定的剂量改变均可能构成偏差/违背并需CAPA（SOP20）。</w:t>
      </w:r>
    </w:p>
    <w:p w14:paraId="7C5CAA67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与TDSC已完成SOP的接口</w:t>
      </w:r>
    </w:p>
    <w:p w14:paraId="53272984">
      <w:pPr>
        <w:pStyle w:val="4"/>
        <w:widowControl/>
      </w:pPr>
      <w:r>
        <w:t>2.1 关键交叉引用（单一事实来源）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 w14:paraId="3987B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vAlign w:val="top"/>
          </w:tcPr>
          <w:p w14:paraId="03A2FEC2">
            <w:pPr>
              <w:spacing w:after="0"/>
            </w:pPr>
            <w:r>
              <w:t>主题</w:t>
            </w:r>
          </w:p>
        </w:tc>
        <w:tc>
          <w:tcPr>
            <w:tcW w:w="1666" w:type="pct"/>
            <w:vAlign w:val="top"/>
          </w:tcPr>
          <w:p w14:paraId="218FEF0D">
            <w:pPr>
              <w:spacing w:after="0"/>
            </w:pPr>
            <w:r>
              <w:t>本手册覆盖范围</w:t>
            </w:r>
          </w:p>
        </w:tc>
        <w:tc>
          <w:tcPr>
            <w:tcW w:w="1666" w:type="pct"/>
            <w:vAlign w:val="top"/>
          </w:tcPr>
          <w:p w14:paraId="7E323FBB">
            <w:pPr>
              <w:spacing w:after="0"/>
            </w:pPr>
            <w:r>
              <w:t>受控SOP（优先级更高）</w:t>
            </w:r>
          </w:p>
        </w:tc>
      </w:tr>
      <w:tr w14:paraId="06298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vAlign w:val="top"/>
          </w:tcPr>
          <w:p w14:paraId="398679E1">
            <w:pPr>
              <w:spacing w:after="0"/>
            </w:pPr>
            <w:r>
              <w:t>利福喷丁剂量口径与方案组合</w:t>
            </w:r>
          </w:p>
        </w:tc>
        <w:tc>
          <w:tcPr>
            <w:tcW w:w="1666" w:type="pct"/>
            <w:vAlign w:val="top"/>
          </w:tcPr>
          <w:p w14:paraId="1048E532">
            <w:pPr>
              <w:spacing w:after="0"/>
            </w:pPr>
            <w:r>
              <w:t>仅给出执行要点与示例；最终剂量计算以SOP03为准</w:t>
            </w:r>
          </w:p>
        </w:tc>
        <w:tc>
          <w:tcPr>
            <w:tcW w:w="1666" w:type="pct"/>
            <w:vAlign w:val="top"/>
          </w:tcPr>
          <w:p w14:paraId="55C2FFDC">
            <w:pPr>
              <w:spacing w:after="0"/>
            </w:pPr>
            <w:r>
              <w:t>SOP03（药物组合与剂量表）</w:t>
            </w:r>
          </w:p>
        </w:tc>
      </w:tr>
      <w:tr w14:paraId="0C008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vAlign w:val="top"/>
          </w:tcPr>
          <w:p w14:paraId="3F0F8D33">
            <w:pPr>
              <w:spacing w:after="0"/>
            </w:pPr>
            <w:r>
              <w:t>服药方法、食物、漏服、依从性</w:t>
            </w:r>
          </w:p>
        </w:tc>
        <w:tc>
          <w:tcPr>
            <w:tcW w:w="1666" w:type="pct"/>
            <w:vAlign w:val="top"/>
          </w:tcPr>
          <w:p w14:paraId="58C04372">
            <w:pPr>
              <w:spacing w:after="0"/>
            </w:pPr>
            <w:r>
              <w:t>简要摘要</w:t>
            </w:r>
          </w:p>
        </w:tc>
        <w:tc>
          <w:tcPr>
            <w:tcW w:w="1666" w:type="pct"/>
            <w:vAlign w:val="top"/>
          </w:tcPr>
          <w:p w14:paraId="33897C8F">
            <w:pPr>
              <w:spacing w:after="0"/>
            </w:pPr>
            <w:r>
              <w:t>SOP04（服药方法与依从性）</w:t>
            </w:r>
          </w:p>
        </w:tc>
      </w:tr>
      <w:tr w14:paraId="1FD9C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vAlign w:val="top"/>
          </w:tcPr>
          <w:p w14:paraId="080396B6">
            <w:pPr>
              <w:spacing w:after="0"/>
            </w:pPr>
            <w:r>
              <w:t>AE/AESI与处置、上报时限</w:t>
            </w:r>
          </w:p>
        </w:tc>
        <w:tc>
          <w:tcPr>
            <w:tcW w:w="1666" w:type="pct"/>
            <w:vAlign w:val="top"/>
          </w:tcPr>
          <w:p w14:paraId="571091F4">
            <w:pPr>
              <w:spacing w:after="0"/>
            </w:pPr>
            <w:r>
              <w:t>原则性提示</w:t>
            </w:r>
          </w:p>
        </w:tc>
        <w:tc>
          <w:tcPr>
            <w:tcW w:w="1666" w:type="pct"/>
            <w:vAlign w:val="top"/>
          </w:tcPr>
          <w:p w14:paraId="1285BD29">
            <w:pPr>
              <w:spacing w:after="0"/>
            </w:pPr>
            <w:r>
              <w:t>SOP10（AE Playbook）；SOP06（AE捕获）</w:t>
            </w:r>
          </w:p>
        </w:tc>
      </w:tr>
      <w:tr w14:paraId="43F81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vAlign w:val="top"/>
          </w:tcPr>
          <w:p w14:paraId="6C46812D">
            <w:pPr>
              <w:spacing w:after="0"/>
            </w:pPr>
            <w:r>
              <w:t>实验室/ECG自动分级与红旗</w:t>
            </w:r>
          </w:p>
        </w:tc>
        <w:tc>
          <w:tcPr>
            <w:tcW w:w="1666" w:type="pct"/>
            <w:vAlign w:val="top"/>
          </w:tcPr>
          <w:p w14:paraId="4D04120F">
            <w:pPr>
              <w:spacing w:after="0"/>
            </w:pPr>
            <w:r>
              <w:t>提示需与EDC规则一致</w:t>
            </w:r>
          </w:p>
        </w:tc>
        <w:tc>
          <w:tcPr>
            <w:tcW w:w="1666" w:type="pct"/>
            <w:vAlign w:val="top"/>
          </w:tcPr>
          <w:p w14:paraId="68E7D1FC">
            <w:pPr>
              <w:spacing w:after="0"/>
            </w:pPr>
            <w:r>
              <w:t>SOP09（EDC自动分级）</w:t>
            </w:r>
          </w:p>
        </w:tc>
      </w:tr>
      <w:tr w14:paraId="6C743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vAlign w:val="top"/>
          </w:tcPr>
          <w:p w14:paraId="68DAC393">
            <w:pPr>
              <w:spacing w:after="0"/>
            </w:pPr>
            <w:r>
              <w:t>生物样本处理/运输/保存</w:t>
            </w:r>
          </w:p>
        </w:tc>
        <w:tc>
          <w:tcPr>
            <w:tcW w:w="1666" w:type="pct"/>
            <w:vAlign w:val="top"/>
          </w:tcPr>
          <w:p w14:paraId="0B93177F">
            <w:pPr>
              <w:spacing w:after="0"/>
            </w:pPr>
            <w:r>
              <w:t>仅保留RPT特异要点</w:t>
            </w:r>
          </w:p>
        </w:tc>
        <w:tc>
          <w:tcPr>
            <w:tcW w:w="1666" w:type="pct"/>
            <w:vAlign w:val="top"/>
          </w:tcPr>
          <w:p w14:paraId="124A72D3">
            <w:pPr>
              <w:spacing w:after="0"/>
            </w:pPr>
            <w:r>
              <w:t>SOP17（生物样本）</w:t>
            </w:r>
          </w:p>
        </w:tc>
      </w:tr>
      <w:tr w14:paraId="15736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vAlign w:val="top"/>
          </w:tcPr>
          <w:p w14:paraId="70E26843">
            <w:pPr>
              <w:spacing w:after="0"/>
            </w:pPr>
            <w:r>
              <w:t>微生物学培养/Hard Gate/复发证据链</w:t>
            </w:r>
          </w:p>
        </w:tc>
        <w:tc>
          <w:tcPr>
            <w:tcW w:w="1666" w:type="pct"/>
            <w:vAlign w:val="top"/>
          </w:tcPr>
          <w:p w14:paraId="5B699F0F">
            <w:pPr>
              <w:spacing w:after="0"/>
            </w:pPr>
            <w:r>
              <w:t>仅说明与复发/再感染/WGS接口</w:t>
            </w:r>
          </w:p>
        </w:tc>
        <w:tc>
          <w:tcPr>
            <w:tcW w:w="1666" w:type="pct"/>
            <w:vAlign w:val="top"/>
          </w:tcPr>
          <w:p w14:paraId="7C930B4C">
            <w:pPr>
              <w:spacing w:after="0"/>
            </w:pPr>
            <w:r>
              <w:t>SOP16（微生物学流程）；SOP15（CEC材料包）</w:t>
            </w:r>
          </w:p>
        </w:tc>
      </w:tr>
      <w:tr w14:paraId="6C899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vAlign w:val="top"/>
          </w:tcPr>
          <w:p w14:paraId="7E662E3B">
            <w:pPr>
              <w:spacing w:after="0"/>
            </w:pPr>
            <w:r>
              <w:t>随访窗口、追访、缺失数据</w:t>
            </w:r>
          </w:p>
        </w:tc>
        <w:tc>
          <w:tcPr>
            <w:tcW w:w="1666" w:type="pct"/>
            <w:vAlign w:val="top"/>
          </w:tcPr>
          <w:p w14:paraId="65BD7C16">
            <w:pPr>
              <w:spacing w:after="0"/>
            </w:pPr>
            <w:r>
              <w:t>不重复</w:t>
            </w:r>
          </w:p>
        </w:tc>
        <w:tc>
          <w:tcPr>
            <w:tcW w:w="1666" w:type="pct"/>
            <w:vAlign w:val="top"/>
          </w:tcPr>
          <w:p w14:paraId="6C529C5A">
            <w:pPr>
              <w:spacing w:after="0"/>
            </w:pPr>
            <w:r>
              <w:t>SOP18（随访与失访）</w:t>
            </w:r>
          </w:p>
        </w:tc>
      </w:tr>
      <w:tr w14:paraId="71CEB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vAlign w:val="top"/>
          </w:tcPr>
          <w:p w14:paraId="07006146">
            <w:pPr>
              <w:spacing w:after="0"/>
            </w:pPr>
            <w:r>
              <w:t>数据管理、查询、冻结/锁库、稽查</w:t>
            </w:r>
          </w:p>
        </w:tc>
        <w:tc>
          <w:tcPr>
            <w:tcW w:w="1666" w:type="pct"/>
            <w:vAlign w:val="top"/>
          </w:tcPr>
          <w:p w14:paraId="31D95072">
            <w:pPr>
              <w:spacing w:after="0"/>
            </w:pPr>
            <w:r>
              <w:t>不重复</w:t>
            </w:r>
          </w:p>
        </w:tc>
        <w:tc>
          <w:tcPr>
            <w:tcW w:w="1666" w:type="pct"/>
            <w:vAlign w:val="top"/>
          </w:tcPr>
          <w:p w14:paraId="3E150CC2">
            <w:pPr>
              <w:spacing w:after="0"/>
            </w:pPr>
            <w:r>
              <w:t>SOP19（数据管理与质控）</w:t>
            </w:r>
          </w:p>
        </w:tc>
      </w:tr>
      <w:tr w14:paraId="6F803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vAlign w:val="top"/>
          </w:tcPr>
          <w:p w14:paraId="62C8CC37">
            <w:pPr>
              <w:spacing w:after="0"/>
            </w:pPr>
            <w:r>
              <w:t>方案偏差/违背与CAPA</w:t>
            </w:r>
          </w:p>
        </w:tc>
        <w:tc>
          <w:tcPr>
            <w:tcW w:w="1666" w:type="pct"/>
            <w:vAlign w:val="top"/>
          </w:tcPr>
          <w:p w14:paraId="6FEFCDEC">
            <w:pPr>
              <w:spacing w:after="0"/>
            </w:pPr>
            <w:r>
              <w:t>不重复</w:t>
            </w:r>
          </w:p>
        </w:tc>
        <w:tc>
          <w:tcPr>
            <w:tcW w:w="1666" w:type="pct"/>
            <w:vAlign w:val="top"/>
          </w:tcPr>
          <w:p w14:paraId="24E54E69">
            <w:pPr>
              <w:spacing w:after="0"/>
            </w:pPr>
            <w:r>
              <w:t>SOP20（偏差/违背与CAPA）</w:t>
            </w:r>
          </w:p>
        </w:tc>
      </w:tr>
    </w:tbl>
    <w:p w14:paraId="7B790078"/>
    <w:p w14:paraId="4741FB20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利福喷丁在TDSC中的给药实施要点</w:t>
      </w:r>
    </w:p>
    <w:p w14:paraId="4D61CC14">
      <w:pPr>
        <w:pStyle w:val="4"/>
        <w:widowControl/>
        <w:numPr>
          <w:ilvl w:val="0"/>
          <w:numId w:val="10"/>
        </w:numPr>
        <w:ind w:left="0" w:leftChars="0" w:firstLine="0" w:firstLineChars="0"/>
        <w:rPr>
          <w:b/>
          <w:bdr w:val="none" w:sz="0" w:space="0"/>
        </w:rPr>
      </w:pPr>
      <w:r>
        <w:t>剂量口径（必须与SOP03一致）</w:t>
      </w:r>
    </w:p>
    <w:p w14:paraId="2D2BB07F">
      <w:pPr>
        <w:pStyle w:val="19"/>
        <w:widowControl/>
      </w:pPr>
      <w:r>
        <w:rPr>
          <w:b w:val="0"/>
        </w:rPr>
        <w:t>TDSC中利福喷丁剂量以“体重剂量（mg/kg/日）+ 最高剂量上限”定义，而非固定剂量。A1/A2方案标签中的“900/1200”等为简写标签，不代表固定剂量。</w:t>
      </w:r>
    </w:p>
    <w:p w14:paraId="592E87E4">
      <w:pPr>
        <w:pStyle w:val="19"/>
        <w:widowControl/>
        <w:numPr>
          <w:ilvl w:val="0"/>
          <w:numId w:val="11"/>
        </w:numPr>
        <w:ind w:left="360" w:leftChars="0" w:hanging="360" w:firstLineChars="0"/>
      </w:pPr>
      <w:r>
        <w:t>A1（高剂量组）：20 mg/kg/日，最高1200 mg/日。</w:t>
      </w:r>
    </w:p>
    <w:p w14:paraId="3F318A05">
      <w:pPr>
        <w:pStyle w:val="19"/>
        <w:widowControl/>
        <w:numPr>
          <w:ilvl w:val="0"/>
          <w:numId w:val="11"/>
        </w:numPr>
        <w:ind w:left="360" w:leftChars="0" w:hanging="360" w:firstLineChars="0"/>
      </w:pPr>
      <w:r>
        <w:t>A2（标准剂量组）：15 mg/kg/日，最高1200 mg/日。</w:t>
      </w:r>
    </w:p>
    <w:p w14:paraId="7AD40CFC">
      <w:pPr>
        <w:pStyle w:val="19"/>
        <w:widowControl/>
        <w:numPr>
          <w:ilvl w:val="0"/>
          <w:numId w:val="11"/>
        </w:numPr>
        <w:ind w:left="360" w:leftChars="0" w:hanging="360" w:firstLineChars="0"/>
      </w:pPr>
      <w:r>
        <w:t>剂量取整与片剂规格：按中心药房可用片剂规格执行；具体取整规则以SOP03为准。</w:t>
      </w:r>
    </w:p>
    <w:p w14:paraId="158CBE23">
      <w:pPr>
        <w:pStyle w:val="4"/>
        <w:widowControl/>
        <w:numPr>
          <w:ilvl w:val="0"/>
          <w:numId w:val="10"/>
        </w:numPr>
        <w:ind w:left="0" w:leftChars="0" w:firstLine="0" w:firstLineChars="0"/>
        <w:rPr>
          <w:b/>
          <w:bdr w:val="none" w:sz="0" w:space="0"/>
        </w:rPr>
      </w:pPr>
      <w:r>
        <w:t>与食物同服与给药记录</w:t>
      </w:r>
    </w:p>
    <w:p w14:paraId="252FE91A">
      <w:pPr>
        <w:pStyle w:val="19"/>
        <w:widowControl/>
        <w:numPr>
          <w:ilvl w:val="0"/>
          <w:numId w:val="12"/>
        </w:numPr>
        <w:ind w:left="360" w:leftChars="0" w:hanging="360" w:firstLineChars="0"/>
      </w:pPr>
      <w:r>
        <w:t>利福喷丁存在显著食物效应：建议与含脂肪餐同服以稳定暴露；避免空腹。</w:t>
      </w:r>
    </w:p>
    <w:p w14:paraId="324D93F1">
      <w:pPr>
        <w:pStyle w:val="19"/>
        <w:widowControl/>
        <w:numPr>
          <w:ilvl w:val="0"/>
          <w:numId w:val="12"/>
        </w:numPr>
        <w:ind w:left="360" w:leftChars="0" w:hanging="360" w:firstLineChars="0"/>
      </w:pPr>
      <w:r>
        <w:t>每次给药记录：给药日期、给药时间（精确到分钟，如可）、剂量（mg/片数）、是否随餐、合并用药（尤其降糖药）、当日不适症状。</w:t>
      </w:r>
    </w:p>
    <w:p w14:paraId="0A02C80A">
      <w:pPr>
        <w:pStyle w:val="4"/>
        <w:widowControl/>
        <w:numPr>
          <w:ilvl w:val="0"/>
          <w:numId w:val="10"/>
        </w:numPr>
        <w:ind w:left="0" w:leftChars="0" w:firstLine="0" w:firstLineChars="0"/>
        <w:rPr>
          <w:b/>
          <w:bdr w:val="none" w:sz="0" w:space="0"/>
        </w:rPr>
      </w:pPr>
      <w:r>
        <w:t>漏服处理（与SOP04一致）</w:t>
      </w:r>
    </w:p>
    <w:p w14:paraId="06DE4C3D">
      <w:pPr>
        <w:pStyle w:val="19"/>
        <w:widowControl/>
        <w:numPr>
          <w:ilvl w:val="0"/>
          <w:numId w:val="13"/>
        </w:numPr>
        <w:ind w:left="360" w:leftChars="0" w:hanging="360" w:firstLineChars="0"/>
      </w:pPr>
      <w:r>
        <w:t>发现漏服 &gt;12小时：可尽快补服1次；随后按原计划继续。</w:t>
      </w:r>
    </w:p>
    <w:p w14:paraId="4DEC9F43">
      <w:pPr>
        <w:pStyle w:val="19"/>
        <w:widowControl/>
        <w:numPr>
          <w:ilvl w:val="0"/>
          <w:numId w:val="13"/>
        </w:numPr>
        <w:ind w:left="360" w:leftChars="0" w:hanging="360" w:firstLineChars="0"/>
      </w:pPr>
      <w:r>
        <w:t>发现漏服 ≤12小时：跳过该次，不加倍；记录漏服原因并进行依从性干预。</w:t>
      </w:r>
    </w:p>
    <w:p w14:paraId="49F01784">
      <w:pPr>
        <w:pStyle w:val="19"/>
        <w:widowControl/>
        <w:numPr>
          <w:ilvl w:val="0"/>
          <w:numId w:val="13"/>
        </w:numPr>
        <w:ind w:left="360" w:leftChars="0" w:hanging="360" w:firstLineChars="0"/>
      </w:pPr>
      <w:r>
        <w:t>连续漏服/频繁漏服：按SOP04启动强化管理，并评估是否构成偏差/违背（SOP20）。</w:t>
      </w:r>
    </w:p>
    <w:p w14:paraId="6C02F41B">
      <w:pPr>
        <w:pStyle w:val="4"/>
        <w:widowControl/>
        <w:numPr>
          <w:ilvl w:val="0"/>
          <w:numId w:val="10"/>
        </w:numPr>
        <w:ind w:left="0" w:leftChars="0" w:firstLine="0" w:firstLineChars="0"/>
        <w:rPr>
          <w:b/>
          <w:bdr w:val="none" w:sz="0" w:space="0"/>
        </w:rPr>
      </w:pPr>
      <w:r>
        <w:t>TB-DM合并用药与DDI要点（摘要）</w:t>
      </w:r>
    </w:p>
    <w:p w14:paraId="4DC01FC8">
      <w:pPr>
        <w:pStyle w:val="19"/>
        <w:widowControl/>
        <w:numPr>
          <w:ilvl w:val="0"/>
          <w:numId w:val="14"/>
        </w:numPr>
        <w:ind w:left="360" w:leftChars="0" w:hanging="360" w:firstLineChars="0"/>
      </w:pPr>
      <w:r>
        <w:t>利福喷丁为CYP3A4/P-gp诱导剂，可能降低部分口服降糖药暴露；TB-DM人群优先使用胰岛素或相互作用较小方案（按内分泌/药师MDT决策）。</w:t>
      </w:r>
    </w:p>
    <w:p w14:paraId="34061A7C">
      <w:pPr>
        <w:pStyle w:val="19"/>
        <w:widowControl/>
        <w:numPr>
          <w:ilvl w:val="0"/>
          <w:numId w:val="14"/>
        </w:numPr>
        <w:ind w:left="360" w:leftChars="0" w:hanging="360" w:firstLineChars="0"/>
      </w:pPr>
      <w:r>
        <w:t>任何涉及药物相互作用的重大调整均需记录“原因—决策—执行—随访”闭环，并在EDC中留痕（SOP19）。</w:t>
      </w:r>
    </w:p>
    <w:p w14:paraId="60C7A8AA">
      <w:pPr>
        <w:pStyle w:val="19"/>
        <w:widowControl/>
        <w:numPr>
          <w:ilvl w:val="0"/>
          <w:numId w:val="14"/>
        </w:numPr>
        <w:ind w:left="360" w:leftChars="0" w:hanging="360" w:firstLineChars="0"/>
      </w:pPr>
      <w:r>
        <w:t>出现严重低血糖或疑似DKA/HHS：优先急救与代谢纠正，必要时暂停当日采样/研究程序，并按SOP10处置与上报。</w:t>
      </w:r>
    </w:p>
    <w:p w14:paraId="1C9EF676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可选子研究：药代/药物基因组学采样与分析（如适用）</w:t>
      </w:r>
    </w:p>
    <w:p w14:paraId="596AC092">
      <w:pPr>
        <w:pStyle w:val="4"/>
        <w:widowControl/>
        <w:numPr>
          <w:ilvl w:val="0"/>
          <w:numId w:val="15"/>
        </w:numPr>
        <w:ind w:left="0" w:leftChars="0" w:firstLine="0" w:firstLineChars="0"/>
        <w:rPr>
          <w:b/>
          <w:bdr w:val="none" w:sz="0" w:space="0"/>
        </w:rPr>
      </w:pPr>
      <w:r>
        <w:t>适用前提与信息隔离</w:t>
      </w:r>
    </w:p>
    <w:p w14:paraId="49F26BDD">
      <w:pPr>
        <w:pStyle w:val="19"/>
        <w:widowControl/>
        <w:numPr>
          <w:ilvl w:val="0"/>
          <w:numId w:val="16"/>
        </w:numPr>
        <w:ind w:left="360" w:leftChars="0" w:hanging="360" w:firstLineChars="0"/>
      </w:pPr>
      <w:r>
        <w:t>仅在获得伦理批准、受试者完成相应同意（可选附加同意）且中心具备能力时实施。</w:t>
      </w:r>
    </w:p>
    <w:p w14:paraId="02340B5B">
      <w:pPr>
        <w:pStyle w:val="19"/>
        <w:widowControl/>
        <w:numPr>
          <w:ilvl w:val="0"/>
          <w:numId w:val="16"/>
        </w:numPr>
        <w:ind w:left="360" w:leftChars="0" w:hanging="360" w:firstLineChars="0"/>
      </w:pPr>
      <w:r>
        <w:t>研究性PK/PGx结果默认不用于临床决策；如需受控访问，按SOP12流程执行并留痕。</w:t>
      </w:r>
    </w:p>
    <w:p w14:paraId="0648C133">
      <w:pPr>
        <w:pStyle w:val="19"/>
        <w:widowControl/>
        <w:numPr>
          <w:ilvl w:val="0"/>
          <w:numId w:val="16"/>
        </w:numPr>
        <w:ind w:left="360" w:leftChars="0" w:hanging="360" w:firstLineChars="0"/>
      </w:pPr>
      <w:r>
        <w:t>严禁以研究性结果改变随机分配剂量；如因安全需要调整，按研究方案与SOP10处理并报告偏差（SOP20）。</w:t>
      </w:r>
    </w:p>
    <w:p w14:paraId="3DEE46FB">
      <w:pPr>
        <w:pStyle w:val="4"/>
        <w:widowControl/>
        <w:numPr>
          <w:ilvl w:val="0"/>
          <w:numId w:val="15"/>
        </w:numPr>
        <w:ind w:left="0" w:leftChars="0" w:firstLine="0" w:firstLineChars="0"/>
        <w:rPr>
          <w:b/>
          <w:bdr w:val="none" w:sz="0" w:space="0"/>
        </w:rPr>
      </w:pPr>
      <w:r>
        <w:t>采样时机与窗口（原则）</w:t>
      </w:r>
    </w:p>
    <w:p w14:paraId="61CDFEC7">
      <w:pPr>
        <w:pStyle w:val="19"/>
        <w:widowControl/>
      </w:pPr>
      <w:r>
        <w:rPr>
          <w:b w:val="0"/>
        </w:rPr>
        <w:t>利福喷丁存在自诱导效应，稳态通常在治疗约第21天后更稳定。若开展TDM/PK采样，建议：</w:t>
      </w:r>
    </w:p>
    <w:p w14:paraId="2B90AE1C">
      <w:pPr>
        <w:pStyle w:val="19"/>
        <w:widowControl/>
        <w:numPr>
          <w:ilvl w:val="0"/>
          <w:numId w:val="17"/>
        </w:numPr>
        <w:ind w:left="360" w:leftChars="0" w:hanging="360" w:firstLineChars="0"/>
      </w:pPr>
      <w:r>
        <w:t>最早不早于治疗第10天；优选在第21天及以后；具体以子研究计划/中心排程为准。</w:t>
      </w:r>
    </w:p>
    <w:p w14:paraId="3F4ECB2E">
      <w:pPr>
        <w:pStyle w:val="19"/>
        <w:widowControl/>
        <w:numPr>
          <w:ilvl w:val="0"/>
          <w:numId w:val="17"/>
        </w:numPr>
        <w:ind w:left="360" w:leftChars="0" w:hanging="360" w:firstLineChars="0"/>
      </w:pPr>
      <w:r>
        <w:t>采样前需记录：前一剂给药时间、当日给药时间、餐食情况（是否与含脂肪餐同服）。</w:t>
      </w:r>
    </w:p>
    <w:p w14:paraId="41C1E58A">
      <w:pPr>
        <w:pStyle w:val="19"/>
        <w:widowControl/>
        <w:numPr>
          <w:ilvl w:val="0"/>
          <w:numId w:val="17"/>
        </w:numPr>
        <w:ind w:left="360" w:leftChars="0" w:hanging="360" w:firstLineChars="0"/>
      </w:pPr>
      <w:r>
        <w:t>TB-DM胃轻瘫/吸收延迟风险：如开展稀疏采样，建议包含后峰时间点以减少误差（见4.3）。</w:t>
      </w:r>
    </w:p>
    <w:p w14:paraId="70A92FF4">
      <w:pPr>
        <w:pStyle w:val="4"/>
        <w:widowControl/>
        <w:numPr>
          <w:ilvl w:val="0"/>
          <w:numId w:val="15"/>
        </w:numPr>
        <w:ind w:left="0" w:leftChars="0" w:firstLine="0" w:firstLineChars="0"/>
        <w:rPr>
          <w:b/>
          <w:bdr w:val="none" w:sz="0" w:space="0"/>
        </w:rPr>
      </w:pPr>
      <w:r>
        <w:t>采样方案（示例）</w:t>
      </w:r>
    </w:p>
    <w:p w14:paraId="74E68C21">
      <w:pPr>
        <w:pStyle w:val="19"/>
        <w:widowControl/>
      </w:pPr>
      <w:r>
        <w:rPr>
          <w:b w:val="0"/>
        </w:rPr>
        <w:t>为兼顾可行性与模型识别，可采用稀疏或密集采样。以下为示例模板，最终以子研究计划锁定为准：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4"/>
        <w:gridCol w:w="2394"/>
        <w:gridCol w:w="2394"/>
        <w:gridCol w:w="2394"/>
      </w:tblGrid>
      <w:tr w14:paraId="549E0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250" w:type="pct"/>
            <w:vAlign w:val="top"/>
          </w:tcPr>
          <w:p w14:paraId="0C837913">
            <w:pPr>
              <w:spacing w:after="0"/>
            </w:pPr>
            <w:r>
              <w:t>方案</w:t>
            </w:r>
          </w:p>
        </w:tc>
        <w:tc>
          <w:tcPr>
            <w:tcW w:w="1250" w:type="pct"/>
            <w:vAlign w:val="top"/>
          </w:tcPr>
          <w:p w14:paraId="7E7618BE">
            <w:pPr>
              <w:spacing w:after="0"/>
            </w:pPr>
            <w:r>
              <w:t>时间点（相对给药）</w:t>
            </w:r>
          </w:p>
        </w:tc>
        <w:tc>
          <w:tcPr>
            <w:tcW w:w="1250" w:type="pct"/>
            <w:vAlign w:val="top"/>
          </w:tcPr>
          <w:p w14:paraId="3310073B">
            <w:pPr>
              <w:spacing w:after="0"/>
            </w:pPr>
            <w:r>
              <w:t>建议窗口</w:t>
            </w:r>
          </w:p>
        </w:tc>
        <w:tc>
          <w:tcPr>
            <w:tcW w:w="1250" w:type="pct"/>
            <w:vAlign w:val="top"/>
          </w:tcPr>
          <w:p w14:paraId="63B1195C">
            <w:pPr>
              <w:spacing w:after="0"/>
            </w:pPr>
            <w:r>
              <w:t>用途/备注</w:t>
            </w:r>
          </w:p>
        </w:tc>
      </w:tr>
      <w:tr w14:paraId="6598D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vAlign w:val="top"/>
          </w:tcPr>
          <w:p w14:paraId="21477168">
            <w:pPr>
              <w:spacing w:after="0"/>
            </w:pPr>
            <w:r>
              <w:t>稀疏（推荐）</w:t>
            </w:r>
          </w:p>
        </w:tc>
        <w:tc>
          <w:tcPr>
            <w:tcW w:w="1250" w:type="pct"/>
            <w:vAlign w:val="top"/>
          </w:tcPr>
          <w:p w14:paraId="1876FB7B">
            <w:pPr>
              <w:spacing w:after="0"/>
            </w:pPr>
            <w:r>
              <w:t>2h、4h、6h（或8h）</w:t>
            </w:r>
          </w:p>
        </w:tc>
        <w:tc>
          <w:tcPr>
            <w:tcW w:w="1250" w:type="pct"/>
            <w:vAlign w:val="top"/>
          </w:tcPr>
          <w:p w14:paraId="68B6859B">
            <w:pPr>
              <w:spacing w:after="0"/>
            </w:pPr>
            <w:r>
              <w:t>±10/15/15(±15) min</w:t>
            </w:r>
          </w:p>
        </w:tc>
        <w:tc>
          <w:tcPr>
            <w:tcW w:w="1250" w:type="pct"/>
            <w:vAlign w:val="top"/>
          </w:tcPr>
          <w:p w14:paraId="638E2486">
            <w:pPr>
              <w:spacing w:after="0"/>
            </w:pPr>
            <w:r>
              <w:t>用于贝叶斯AUC估计；TB-DM可考虑加入8h以捕获延迟峰</w:t>
            </w:r>
          </w:p>
        </w:tc>
      </w:tr>
      <w:tr w14:paraId="360E7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vAlign w:val="top"/>
          </w:tcPr>
          <w:p w14:paraId="2CE812CA">
            <w:pPr>
              <w:spacing w:after="0"/>
            </w:pPr>
            <w:r>
              <w:t>密集（子队列）</w:t>
            </w:r>
          </w:p>
        </w:tc>
        <w:tc>
          <w:tcPr>
            <w:tcW w:w="1250" w:type="pct"/>
            <w:vAlign w:val="top"/>
          </w:tcPr>
          <w:p w14:paraId="1EEE2EC3">
            <w:pPr>
              <w:spacing w:after="0"/>
            </w:pPr>
            <w:r>
              <w:t>0、1、2、4、6、8、12、24h</w:t>
            </w:r>
          </w:p>
        </w:tc>
        <w:tc>
          <w:tcPr>
            <w:tcW w:w="1250" w:type="pct"/>
            <w:vAlign w:val="top"/>
          </w:tcPr>
          <w:p w14:paraId="11C46738">
            <w:pPr>
              <w:spacing w:after="0"/>
            </w:pPr>
            <w:r>
              <w:t>按±10/15/30 min</w:t>
            </w:r>
          </w:p>
        </w:tc>
        <w:tc>
          <w:tcPr>
            <w:tcW w:w="1250" w:type="pct"/>
            <w:vAlign w:val="top"/>
          </w:tcPr>
          <w:p w14:paraId="7DE4BF97">
            <w:pPr>
              <w:spacing w:after="0"/>
            </w:pPr>
            <w:r>
              <w:t>用于PopPK模型验证/方法学评估；对受试者负担高</w:t>
            </w:r>
          </w:p>
        </w:tc>
      </w:tr>
    </w:tbl>
    <w:p w14:paraId="63C21A91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样本处理、保存与运输（仅保留RPT特异要点）</w:t>
      </w:r>
    </w:p>
    <w:p w14:paraId="03ABE644">
      <w:pPr>
        <w:pStyle w:val="4"/>
        <w:widowControl/>
        <w:numPr>
          <w:ilvl w:val="0"/>
          <w:numId w:val="18"/>
        </w:numPr>
        <w:ind w:left="0" w:leftChars="0" w:firstLine="0" w:firstLineChars="0"/>
        <w:rPr>
          <w:b/>
          <w:bdr w:val="none" w:sz="0" w:space="0"/>
        </w:rPr>
      </w:pPr>
      <w:r>
        <w:t>采血管与处理时限</w:t>
      </w:r>
    </w:p>
    <w:p w14:paraId="18B00C31">
      <w:pPr>
        <w:pStyle w:val="19"/>
        <w:widowControl/>
        <w:numPr>
          <w:ilvl w:val="0"/>
          <w:numId w:val="19"/>
        </w:numPr>
        <w:ind w:left="360" w:leftChars="0" w:hanging="360" w:firstLineChars="0"/>
      </w:pPr>
      <w:r>
        <w:t>PK血样：推荐EDTA抗凝管；采血后尽快离心分离血浆（建议≤30分钟）。</w:t>
      </w:r>
    </w:p>
    <w:p w14:paraId="178874E4">
      <w:pPr>
        <w:pStyle w:val="19"/>
        <w:widowControl/>
        <w:numPr>
          <w:ilvl w:val="0"/>
          <w:numId w:val="19"/>
        </w:numPr>
        <w:ind w:left="360" w:leftChars="0" w:hanging="360" w:firstLineChars="0"/>
      </w:pPr>
      <w:r>
        <w:t>避免溶血；溶血样本需标记并在EDC记录（可能影响分析）。</w:t>
      </w:r>
    </w:p>
    <w:p w14:paraId="1DB65CE6">
      <w:pPr>
        <w:pStyle w:val="19"/>
        <w:widowControl/>
        <w:numPr>
          <w:ilvl w:val="0"/>
          <w:numId w:val="19"/>
        </w:numPr>
        <w:ind w:left="360" w:leftChars="0" w:hanging="360" w:firstLineChars="0"/>
      </w:pPr>
      <w:r>
        <w:t>利福霉素类光敏：全程避光（包铝箔/避光袋）。</w:t>
      </w:r>
    </w:p>
    <w:p w14:paraId="03D0DE43">
      <w:pPr>
        <w:pStyle w:val="19"/>
        <w:widowControl/>
        <w:numPr>
          <w:ilvl w:val="0"/>
          <w:numId w:val="19"/>
        </w:numPr>
        <w:ind w:left="360" w:leftChars="0" w:hanging="360" w:firstLineChars="0"/>
      </w:pPr>
      <w:r>
        <w:t>严禁热灭活处理（如58°C 40分钟）用于含RPT血浆样本。</w:t>
      </w:r>
    </w:p>
    <w:p w14:paraId="64C81176">
      <w:pPr>
        <w:pStyle w:val="4"/>
        <w:widowControl/>
        <w:numPr>
          <w:ilvl w:val="0"/>
          <w:numId w:val="18"/>
        </w:numPr>
        <w:ind w:left="0" w:leftChars="0" w:firstLine="0" w:firstLineChars="0"/>
        <w:rPr>
          <w:b/>
          <w:bdr w:val="none" w:sz="0" w:space="0"/>
        </w:rPr>
      </w:pPr>
      <w:r>
        <w:t>冻存与运输</w:t>
      </w:r>
    </w:p>
    <w:p w14:paraId="7CDF942C">
      <w:pPr>
        <w:pStyle w:val="19"/>
        <w:widowControl/>
        <w:numPr>
          <w:ilvl w:val="0"/>
          <w:numId w:val="20"/>
        </w:numPr>
        <w:ind w:left="360" w:leftChars="0" w:hanging="360" w:firstLineChars="0"/>
      </w:pPr>
      <w:r>
        <w:t>血浆分装≥2管（主/备），标签双人核对（受试者ID、时间点、日期、批次）。</w:t>
      </w:r>
    </w:p>
    <w:p w14:paraId="6AEB4F8E">
      <w:pPr>
        <w:pStyle w:val="19"/>
        <w:widowControl/>
        <w:numPr>
          <w:ilvl w:val="0"/>
          <w:numId w:val="20"/>
        </w:numPr>
        <w:ind w:left="360" w:leftChars="0" w:hanging="360" w:firstLineChars="0"/>
      </w:pPr>
      <w:r>
        <w:t>-80°C优先；如短暂过渡-20°C需限定时长并记录温度偏差（按SOP17）。</w:t>
      </w:r>
    </w:p>
    <w:p w14:paraId="3826D314">
      <w:pPr>
        <w:pStyle w:val="19"/>
        <w:widowControl/>
        <w:numPr>
          <w:ilvl w:val="0"/>
          <w:numId w:val="20"/>
        </w:numPr>
        <w:ind w:left="360" w:leftChars="0" w:hanging="360" w:firstLineChars="0"/>
      </w:pPr>
      <w:r>
        <w:t>干冰运输并配温度记录仪；任何温度偏差触发偏差记录与CAPA（SOP20）。</w:t>
      </w:r>
    </w:p>
    <w:p w14:paraId="5F8F6EF1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生物分析与数据闭环（中心实验室/药理组）</w:t>
      </w:r>
    </w:p>
    <w:p w14:paraId="105E0B95">
      <w:pPr>
        <w:pStyle w:val="4"/>
        <w:widowControl/>
        <w:numPr>
          <w:ilvl w:val="0"/>
          <w:numId w:val="21"/>
        </w:numPr>
        <w:ind w:left="0" w:leftChars="0" w:firstLine="0" w:firstLineChars="0"/>
        <w:rPr>
          <w:b/>
          <w:bdr w:val="none" w:sz="0" w:space="0"/>
        </w:rPr>
      </w:pPr>
      <w:r>
        <w:t>LC-MS/MS分析（概要）</w:t>
      </w:r>
    </w:p>
    <w:p w14:paraId="6021CE22">
      <w:pPr>
        <w:pStyle w:val="19"/>
        <w:widowControl/>
        <w:numPr>
          <w:ilvl w:val="0"/>
          <w:numId w:val="22"/>
        </w:numPr>
        <w:ind w:left="360" w:leftChars="0" w:hanging="360" w:firstLineChars="0"/>
      </w:pPr>
      <w:r>
        <w:t>分析物：RPT及其活性代谢物25-去乙酰利福喷丁（dRPT）。</w:t>
      </w:r>
    </w:p>
    <w:p w14:paraId="162C49B0">
      <w:pPr>
        <w:pStyle w:val="19"/>
        <w:widowControl/>
        <w:numPr>
          <w:ilvl w:val="0"/>
          <w:numId w:val="22"/>
        </w:numPr>
        <w:ind w:left="360" w:leftChars="0" w:hanging="360" w:firstLineChars="0"/>
      </w:pPr>
      <w:r>
        <w:t>方法学验证与批次接受标准遵循ICH M10；具体参数与QC要求见附录A（实验室摘要）。</w:t>
      </w:r>
    </w:p>
    <w:p w14:paraId="4477F5D1">
      <w:pPr>
        <w:pStyle w:val="19"/>
        <w:widowControl/>
        <w:numPr>
          <w:ilvl w:val="0"/>
          <w:numId w:val="22"/>
        </w:numPr>
        <w:ind w:left="360" w:leftChars="0" w:hanging="360" w:firstLineChars="0"/>
      </w:pPr>
      <w:r>
        <w:t>结果进入研究数据库/EDC的路径与权限管理按SOP19；结果默认不向治疗团队披露（SOP12）。</w:t>
      </w:r>
    </w:p>
    <w:p w14:paraId="62A870F4">
      <w:pPr>
        <w:pStyle w:val="4"/>
        <w:widowControl/>
        <w:numPr>
          <w:ilvl w:val="0"/>
          <w:numId w:val="21"/>
        </w:numPr>
        <w:ind w:left="0" w:leftChars="0" w:firstLine="0" w:firstLineChars="0"/>
        <w:rPr>
          <w:b/>
          <w:bdr w:val="none" w:sz="0" w:space="0"/>
        </w:rPr>
      </w:pPr>
      <w:r>
        <w:t>TAT与质量指标（建议）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 w14:paraId="7619E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vAlign w:val="top"/>
          </w:tcPr>
          <w:p w14:paraId="79E8DE0F">
            <w:pPr>
              <w:spacing w:after="0"/>
            </w:pPr>
            <w:r>
              <w:t>指标</w:t>
            </w:r>
          </w:p>
        </w:tc>
        <w:tc>
          <w:tcPr>
            <w:tcW w:w="1666" w:type="pct"/>
            <w:vAlign w:val="top"/>
          </w:tcPr>
          <w:p w14:paraId="6A8DF6E7">
            <w:pPr>
              <w:spacing w:after="0"/>
            </w:pPr>
            <w:r>
              <w:t>目标值（建议）</w:t>
            </w:r>
          </w:p>
        </w:tc>
        <w:tc>
          <w:tcPr>
            <w:tcW w:w="1666" w:type="pct"/>
            <w:vAlign w:val="top"/>
          </w:tcPr>
          <w:p w14:paraId="59A91778">
            <w:pPr>
              <w:spacing w:after="0"/>
            </w:pPr>
            <w:r>
              <w:t>记录与责任</w:t>
            </w:r>
          </w:p>
        </w:tc>
      </w:tr>
      <w:tr w14:paraId="27A4B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vAlign w:val="top"/>
          </w:tcPr>
          <w:p w14:paraId="355862FE">
            <w:pPr>
              <w:spacing w:after="0"/>
            </w:pPr>
            <w:r>
              <w:t>采样时间准确率</w:t>
            </w:r>
          </w:p>
        </w:tc>
        <w:tc>
          <w:tcPr>
            <w:tcW w:w="1666" w:type="pct"/>
            <w:vAlign w:val="top"/>
          </w:tcPr>
          <w:p w14:paraId="22F40820">
            <w:pPr>
              <w:spacing w:after="0"/>
            </w:pPr>
            <w:r>
              <w:t>≥90%</w:t>
            </w:r>
          </w:p>
        </w:tc>
        <w:tc>
          <w:tcPr>
            <w:tcW w:w="1666" w:type="pct"/>
            <w:vAlign w:val="top"/>
          </w:tcPr>
          <w:p w14:paraId="1A29F98E">
            <w:pPr>
              <w:spacing w:after="0"/>
            </w:pPr>
            <w:r>
              <w:t>研究护士/CRC记录；PMO月度汇总（SOP19）</w:t>
            </w:r>
          </w:p>
        </w:tc>
      </w:tr>
      <w:tr w14:paraId="54B1E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vAlign w:val="top"/>
          </w:tcPr>
          <w:p w14:paraId="7260745F">
            <w:pPr>
              <w:spacing w:after="0"/>
            </w:pPr>
            <w:r>
              <w:t>样本溶血率</w:t>
            </w:r>
          </w:p>
        </w:tc>
        <w:tc>
          <w:tcPr>
            <w:tcW w:w="1666" w:type="pct"/>
            <w:vAlign w:val="top"/>
          </w:tcPr>
          <w:p w14:paraId="3A8B1A2F">
            <w:pPr>
              <w:spacing w:after="0"/>
            </w:pPr>
            <w:r>
              <w:t>≤5%</w:t>
            </w:r>
          </w:p>
        </w:tc>
        <w:tc>
          <w:tcPr>
            <w:tcW w:w="1666" w:type="pct"/>
            <w:vAlign w:val="top"/>
          </w:tcPr>
          <w:p w14:paraId="53256DAF">
            <w:pPr>
              <w:spacing w:after="0"/>
            </w:pPr>
            <w:r>
              <w:t>实验室批次记录</w:t>
            </w:r>
          </w:p>
        </w:tc>
      </w:tr>
      <w:tr w14:paraId="1E2E7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vAlign w:val="top"/>
          </w:tcPr>
          <w:p w14:paraId="4B71BB3B">
            <w:pPr>
              <w:spacing w:after="0"/>
            </w:pPr>
            <w:r>
              <w:t>样本温度偏差率</w:t>
            </w:r>
          </w:p>
        </w:tc>
        <w:tc>
          <w:tcPr>
            <w:tcW w:w="1666" w:type="pct"/>
            <w:vAlign w:val="top"/>
          </w:tcPr>
          <w:p w14:paraId="6DEC6BC2">
            <w:pPr>
              <w:spacing w:after="0"/>
            </w:pPr>
            <w:r>
              <w:t>≤2%</w:t>
            </w:r>
          </w:p>
        </w:tc>
        <w:tc>
          <w:tcPr>
            <w:tcW w:w="1666" w:type="pct"/>
            <w:vAlign w:val="top"/>
          </w:tcPr>
          <w:p w14:paraId="48F5D1E9">
            <w:pPr>
              <w:spacing w:after="0"/>
            </w:pPr>
            <w:r>
              <w:t>运输台账+温度记录仪；触发CAPA（SOP20）</w:t>
            </w:r>
          </w:p>
        </w:tc>
      </w:tr>
      <w:tr w14:paraId="7910F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vAlign w:val="top"/>
          </w:tcPr>
          <w:p w14:paraId="537FD9E9">
            <w:pPr>
              <w:spacing w:after="0"/>
            </w:pPr>
            <w:r>
              <w:t>中心实验室出具浓度结果TAT</w:t>
            </w:r>
          </w:p>
        </w:tc>
        <w:tc>
          <w:tcPr>
            <w:tcW w:w="1666" w:type="pct"/>
            <w:vAlign w:val="top"/>
          </w:tcPr>
          <w:p w14:paraId="2DDCC776">
            <w:pPr>
              <w:spacing w:after="0"/>
            </w:pPr>
            <w:r>
              <w:t>≤72小时（示例）</w:t>
            </w:r>
          </w:p>
        </w:tc>
        <w:tc>
          <w:tcPr>
            <w:tcW w:w="1666" w:type="pct"/>
            <w:vAlign w:val="top"/>
          </w:tcPr>
          <w:p w14:paraId="095655AE">
            <w:pPr>
              <w:spacing w:after="0"/>
            </w:pPr>
            <w:r>
              <w:t>中心实验室记录；实际以能力为准</w:t>
            </w:r>
          </w:p>
        </w:tc>
      </w:tr>
      <w:tr w14:paraId="7FB96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vAlign w:val="top"/>
          </w:tcPr>
          <w:p w14:paraId="27A7AA00">
            <w:pPr>
              <w:spacing w:after="0"/>
            </w:pPr>
            <w:r>
              <w:t>数据查询关闭周期</w:t>
            </w:r>
          </w:p>
        </w:tc>
        <w:tc>
          <w:tcPr>
            <w:tcW w:w="1666" w:type="pct"/>
            <w:vAlign w:val="top"/>
          </w:tcPr>
          <w:p w14:paraId="1A8EA700">
            <w:pPr>
              <w:spacing w:after="0"/>
            </w:pPr>
            <w:r>
              <w:t>≤14天（示例）</w:t>
            </w:r>
          </w:p>
        </w:tc>
        <w:tc>
          <w:tcPr>
            <w:tcW w:w="1666" w:type="pct"/>
            <w:vAlign w:val="top"/>
          </w:tcPr>
          <w:p w14:paraId="72E20966">
            <w:pPr>
              <w:spacing w:after="0"/>
            </w:pPr>
            <w:r>
              <w:t>数据管理跟踪（SOP19）</w:t>
            </w:r>
          </w:p>
        </w:tc>
      </w:tr>
    </w:tbl>
    <w:p w14:paraId="1A2B0A48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建模与结果输出（研究用途）</w:t>
      </w:r>
    </w:p>
    <w:p w14:paraId="65916D21">
      <w:pPr>
        <w:pStyle w:val="4"/>
        <w:widowControl/>
        <w:numPr>
          <w:ilvl w:val="0"/>
          <w:numId w:val="23"/>
        </w:numPr>
        <w:ind w:left="0" w:leftChars="0" w:firstLine="0" w:firstLineChars="0"/>
        <w:rPr>
          <w:b/>
          <w:bdr w:val="none" w:sz="0" w:space="0"/>
        </w:rPr>
      </w:pPr>
      <w:r>
        <w:t>模型知情分析（MIPD）边界</w:t>
      </w:r>
    </w:p>
    <w:p w14:paraId="49CE7A7B">
      <w:pPr>
        <w:pStyle w:val="19"/>
        <w:widowControl/>
        <w:numPr>
          <w:ilvl w:val="0"/>
          <w:numId w:val="24"/>
        </w:numPr>
        <w:ind w:left="360" w:leftChars="0" w:hanging="360" w:firstLineChars="0"/>
      </w:pPr>
      <w:r>
        <w:t>可采用MAP贝叶斯方法结合PopPK先验与个体浓度估计稳态AUC，用于研究性暴露-效应/方法学分析。</w:t>
      </w:r>
    </w:p>
    <w:p w14:paraId="51E23A8B">
      <w:pPr>
        <w:pStyle w:val="19"/>
        <w:widowControl/>
        <w:numPr>
          <w:ilvl w:val="0"/>
          <w:numId w:val="24"/>
        </w:numPr>
        <w:ind w:left="360" w:leftChars="0" w:hanging="360" w:firstLineChars="0"/>
      </w:pPr>
      <w:r>
        <w:t>研究期间不以AUC结果调整随机分配剂量；如伦理批准允许返回结果，必须走受控披露流程（SOP12）并评估偏倚风险（SOP20）。</w:t>
      </w:r>
    </w:p>
    <w:p w14:paraId="652E3F76">
      <w:pPr>
        <w:pStyle w:val="4"/>
        <w:widowControl/>
        <w:numPr>
          <w:ilvl w:val="0"/>
          <w:numId w:val="23"/>
        </w:numPr>
        <w:ind w:left="0" w:leftChars="0" w:firstLine="0" w:firstLineChars="0"/>
        <w:rPr>
          <w:b/>
          <w:bdr w:val="none" w:sz="0" w:space="0"/>
        </w:rPr>
      </w:pPr>
      <w:r>
        <w:t>报告模板</w:t>
      </w:r>
    </w:p>
    <w:p w14:paraId="23F226CA">
      <w:pPr>
        <w:pStyle w:val="19"/>
        <w:widowControl/>
        <w:numPr>
          <w:ilvl w:val="0"/>
          <w:numId w:val="25"/>
        </w:numPr>
        <w:ind w:left="360" w:leftChars="0" w:hanging="360" w:firstLineChars="0"/>
      </w:pPr>
      <w:r>
        <w:t>研究性报告应标注“仅研究用途/不用于临床决策”。</w:t>
      </w:r>
    </w:p>
    <w:p w14:paraId="59E96450">
      <w:pPr>
        <w:pStyle w:val="19"/>
        <w:widowControl/>
        <w:numPr>
          <w:ilvl w:val="0"/>
          <w:numId w:val="25"/>
        </w:numPr>
        <w:ind w:left="360" w:leftChars="0" w:hanging="360" w:firstLineChars="0"/>
      </w:pPr>
      <w:r>
        <w:t>报告最小字段：受试者ID、给药剂量、给药与采样时间、浓度值、模型版本、AUC估计值与不确定性、数据质控状态。</w:t>
      </w:r>
    </w:p>
    <w:p w14:paraId="40B8F5D7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偏差/CAPA与稽查准备（与TDSC SOP一致）</w:t>
      </w:r>
    </w:p>
    <w:p w14:paraId="291E84BB">
      <w:pPr>
        <w:pStyle w:val="4"/>
        <w:widowControl/>
        <w:numPr>
          <w:ilvl w:val="0"/>
          <w:numId w:val="26"/>
        </w:numPr>
        <w:ind w:left="0" w:leftChars="0" w:firstLine="0" w:firstLineChars="0"/>
        <w:rPr>
          <w:b/>
          <w:bdr w:val="none" w:sz="0" w:space="0"/>
        </w:rPr>
      </w:pPr>
      <w:r>
        <w:t>高频偏差触发点（示例）</w:t>
      </w:r>
    </w:p>
    <w:p w14:paraId="4264502A">
      <w:pPr>
        <w:pStyle w:val="19"/>
        <w:widowControl/>
        <w:numPr>
          <w:ilvl w:val="0"/>
          <w:numId w:val="27"/>
        </w:numPr>
        <w:ind w:left="360" w:leftChars="0" w:hanging="360" w:firstLineChars="0"/>
      </w:pPr>
      <w:r>
        <w:t>未按窗口采样或关键时间点缺失；给药时间/采样时间记录不完整。</w:t>
      </w:r>
    </w:p>
    <w:p w14:paraId="07F904E4">
      <w:pPr>
        <w:pStyle w:val="19"/>
        <w:widowControl/>
        <w:numPr>
          <w:ilvl w:val="0"/>
          <w:numId w:val="27"/>
        </w:numPr>
        <w:ind w:left="360" w:leftChars="0" w:hanging="360" w:firstLineChars="0"/>
      </w:pPr>
      <w:r>
        <w:t>样本标签错误、主备管缺失、温度偏差、运输延误。</w:t>
      </w:r>
    </w:p>
    <w:p w14:paraId="2F67099E">
      <w:pPr>
        <w:pStyle w:val="19"/>
        <w:widowControl/>
        <w:numPr>
          <w:ilvl w:val="0"/>
          <w:numId w:val="27"/>
        </w:numPr>
        <w:ind w:left="360" w:leftChars="0" w:hanging="360" w:firstLineChars="0"/>
      </w:pPr>
      <w:r>
        <w:t>研究性结果被非授权人员查看或用于临床决策（信息隔离破坏）。</w:t>
      </w:r>
    </w:p>
    <w:p w14:paraId="27A35292">
      <w:pPr>
        <w:pStyle w:val="19"/>
        <w:widowControl/>
        <w:numPr>
          <w:ilvl w:val="0"/>
          <w:numId w:val="27"/>
        </w:numPr>
        <w:ind w:left="360" w:leftChars="0" w:hanging="360" w:firstLineChars="0"/>
      </w:pPr>
      <w:r>
        <w:t>随意改变随机分配剂量（非安全理由）。</w:t>
      </w:r>
    </w:p>
    <w:p w14:paraId="31B65413">
      <w:pPr>
        <w:pStyle w:val="4"/>
        <w:widowControl/>
        <w:numPr>
          <w:ilvl w:val="0"/>
          <w:numId w:val="26"/>
        </w:numPr>
        <w:ind w:left="0" w:leftChars="0" w:firstLine="0" w:firstLineChars="0"/>
        <w:rPr>
          <w:b/>
          <w:bdr w:val="none" w:sz="0" w:space="0"/>
        </w:rPr>
      </w:pPr>
      <w:r>
        <w:t>处理流程</w:t>
      </w:r>
    </w:p>
    <w:p w14:paraId="26E13A16">
      <w:pPr>
        <w:pStyle w:val="19"/>
        <w:widowControl/>
        <w:numPr>
          <w:ilvl w:val="0"/>
          <w:numId w:val="28"/>
        </w:numPr>
        <w:ind w:left="360" w:leftChars="0" w:hanging="360" w:firstLineChars="0"/>
      </w:pPr>
      <w:r>
        <w:t>记录→分级（重大/非重大）→根因分析→CAPA→验证关闭，详见SOP20。</w:t>
      </w:r>
    </w:p>
    <w:p w14:paraId="01FF590F">
      <w:pPr>
        <w:pStyle w:val="19"/>
        <w:widowControl/>
        <w:numPr>
          <w:ilvl w:val="0"/>
          <w:numId w:val="28"/>
        </w:numPr>
        <w:ind w:left="360" w:leftChars="0" w:hanging="360" w:firstLineChars="0"/>
      </w:pPr>
      <w:r>
        <w:t>涉及数据与样本链条的关键偏差需同步数据管理（SOP19）与质量管理/伦理要求。</w:t>
      </w:r>
    </w:p>
    <w:p w14:paraId="1617B266">
      <w:r>
        <w:br w:type="page"/>
      </w:r>
    </w:p>
    <w:p w14:paraId="6463D643">
      <w:pPr>
        <w:pStyle w:val="19"/>
        <w:widowControl/>
      </w:pPr>
      <w:r>
        <w:t>附录</w:t>
      </w:r>
    </w:p>
    <w:p w14:paraId="3A542D2B">
      <w:pPr>
        <w:pStyle w:val="4"/>
        <w:jc w:val="left"/>
      </w:pPr>
      <w:r>
        <w:t>附录A：LC-MS/MS方法学与批次接受标准（摘要）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8"/>
        <w:gridCol w:w="4788"/>
      </w:tblGrid>
      <w:tr w14:paraId="14DD7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top"/>
          </w:tcPr>
          <w:p w14:paraId="498D130E">
            <w:pPr>
              <w:spacing w:after="0"/>
            </w:pPr>
            <w:r>
              <w:t>项目</w:t>
            </w:r>
          </w:p>
        </w:tc>
        <w:tc>
          <w:tcPr>
            <w:tcW w:w="2500" w:type="pct"/>
            <w:vAlign w:val="top"/>
          </w:tcPr>
          <w:p w14:paraId="6C113603">
            <w:pPr>
              <w:spacing w:after="0"/>
            </w:pPr>
            <w:r>
              <w:t>要求（示例）</w:t>
            </w:r>
          </w:p>
        </w:tc>
      </w:tr>
      <w:tr w14:paraId="48AA8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top"/>
          </w:tcPr>
          <w:p w14:paraId="008ADCD1">
            <w:pPr>
              <w:spacing w:after="0"/>
            </w:pPr>
            <w:r>
              <w:t>LLOQ</w:t>
            </w:r>
          </w:p>
        </w:tc>
        <w:tc>
          <w:tcPr>
            <w:tcW w:w="2500" w:type="pct"/>
            <w:vAlign w:val="top"/>
          </w:tcPr>
          <w:p w14:paraId="514855FD">
            <w:pPr>
              <w:spacing w:after="0"/>
            </w:pPr>
            <w:r>
              <w:t>RPT 60 ng/mL；dRPT 30 ng/mL（以实验室验证为准）</w:t>
            </w:r>
          </w:p>
        </w:tc>
      </w:tr>
      <w:tr w14:paraId="2F77D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top"/>
          </w:tcPr>
          <w:p w14:paraId="0B3FA454">
            <w:pPr>
              <w:spacing w:after="0"/>
            </w:pPr>
            <w:r>
              <w:t>校准曲线</w:t>
            </w:r>
          </w:p>
        </w:tc>
        <w:tc>
          <w:tcPr>
            <w:tcW w:w="2500" w:type="pct"/>
            <w:vAlign w:val="top"/>
          </w:tcPr>
          <w:p w14:paraId="19303E6E">
            <w:pPr>
              <w:spacing w:after="0"/>
            </w:pPr>
            <w:r>
              <w:t>每批≥6点；≥75%在±15%（LLOQ±20%）</w:t>
            </w:r>
          </w:p>
        </w:tc>
      </w:tr>
      <w:tr w14:paraId="0E2C3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top"/>
          </w:tcPr>
          <w:p w14:paraId="3B6E7B42">
            <w:pPr>
              <w:spacing w:after="0"/>
            </w:pPr>
            <w:r>
              <w:t>QC</w:t>
            </w:r>
          </w:p>
        </w:tc>
        <w:tc>
          <w:tcPr>
            <w:tcW w:w="2500" w:type="pct"/>
            <w:vAlign w:val="top"/>
          </w:tcPr>
          <w:p w14:paraId="4ECE475C">
            <w:pPr>
              <w:spacing w:after="0"/>
            </w:pPr>
            <w:r>
              <w:t>≥3水平；每水平≥2个；≥67%在±15%（LLOQ±20%）</w:t>
            </w:r>
          </w:p>
        </w:tc>
      </w:tr>
      <w:tr w14:paraId="45310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top"/>
          </w:tcPr>
          <w:p w14:paraId="34522B67">
            <w:pPr>
              <w:spacing w:after="0"/>
            </w:pPr>
            <w:r>
              <w:t>禁忌处理</w:t>
            </w:r>
          </w:p>
        </w:tc>
        <w:tc>
          <w:tcPr>
            <w:tcW w:w="2500" w:type="pct"/>
            <w:vAlign w:val="top"/>
          </w:tcPr>
          <w:p w14:paraId="2FA03E01">
            <w:pPr>
              <w:spacing w:after="0"/>
            </w:pPr>
            <w:r>
              <w:t>严禁热灭活；全程避光；记录冻融次数</w:t>
            </w:r>
          </w:p>
        </w:tc>
      </w:tr>
    </w:tbl>
    <w:p w14:paraId="39B35A05">
      <w:pPr>
        <w:pStyle w:val="4"/>
        <w:jc w:val="left"/>
      </w:pPr>
      <w:r>
        <w:t>附录B：PK采样记录表（模板）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</w:tblGrid>
      <w:tr w14:paraId="4FB64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6" w:type="pct"/>
            <w:vAlign w:val="top"/>
          </w:tcPr>
          <w:p w14:paraId="765F9A4E">
            <w:pPr>
              <w:spacing w:after="0"/>
            </w:pPr>
            <w:r>
              <w:t>受试者ID</w:t>
            </w:r>
          </w:p>
        </w:tc>
        <w:tc>
          <w:tcPr>
            <w:tcW w:w="416" w:type="pct"/>
            <w:vAlign w:val="top"/>
          </w:tcPr>
          <w:p w14:paraId="109B948B">
            <w:pPr>
              <w:spacing w:after="0"/>
            </w:pPr>
            <w:r>
              <w:t>给药日期</w:t>
            </w:r>
          </w:p>
        </w:tc>
        <w:tc>
          <w:tcPr>
            <w:tcW w:w="416" w:type="pct"/>
            <w:vAlign w:val="top"/>
          </w:tcPr>
          <w:p w14:paraId="35ADD414">
            <w:pPr>
              <w:spacing w:after="0"/>
            </w:pPr>
            <w:r>
              <w:t>给药时间</w:t>
            </w:r>
          </w:p>
        </w:tc>
        <w:tc>
          <w:tcPr>
            <w:tcW w:w="416" w:type="pct"/>
            <w:vAlign w:val="top"/>
          </w:tcPr>
          <w:p w14:paraId="1180E788">
            <w:pPr>
              <w:spacing w:after="0"/>
            </w:pPr>
            <w:r>
              <w:t>剂量（mg/片数）</w:t>
            </w:r>
          </w:p>
        </w:tc>
        <w:tc>
          <w:tcPr>
            <w:tcW w:w="416" w:type="pct"/>
            <w:vAlign w:val="top"/>
          </w:tcPr>
          <w:p w14:paraId="58815DAD">
            <w:pPr>
              <w:spacing w:after="0"/>
            </w:pPr>
            <w:r>
              <w:t>是否随餐</w:t>
            </w:r>
          </w:p>
        </w:tc>
        <w:tc>
          <w:tcPr>
            <w:tcW w:w="416" w:type="pct"/>
            <w:vAlign w:val="top"/>
          </w:tcPr>
          <w:p w14:paraId="58F039F4">
            <w:pPr>
              <w:spacing w:after="0"/>
            </w:pPr>
            <w:r>
              <w:t>时间点</w:t>
            </w:r>
          </w:p>
        </w:tc>
        <w:tc>
          <w:tcPr>
            <w:tcW w:w="416" w:type="pct"/>
            <w:vAlign w:val="top"/>
          </w:tcPr>
          <w:p w14:paraId="73F14CF5">
            <w:pPr>
              <w:spacing w:after="0"/>
            </w:pPr>
            <w:r>
              <w:t>计划时间</w:t>
            </w:r>
          </w:p>
        </w:tc>
        <w:tc>
          <w:tcPr>
            <w:tcW w:w="416" w:type="pct"/>
            <w:vAlign w:val="top"/>
          </w:tcPr>
          <w:p w14:paraId="685AE119">
            <w:pPr>
              <w:spacing w:after="0"/>
            </w:pPr>
            <w:r>
              <w:t>实际时间</w:t>
            </w:r>
          </w:p>
        </w:tc>
        <w:tc>
          <w:tcPr>
            <w:tcW w:w="416" w:type="pct"/>
            <w:vAlign w:val="top"/>
          </w:tcPr>
          <w:p w14:paraId="7D6F87CA">
            <w:pPr>
              <w:spacing w:after="0"/>
            </w:pPr>
            <w:r>
              <w:t>偏差(min)</w:t>
            </w:r>
          </w:p>
        </w:tc>
        <w:tc>
          <w:tcPr>
            <w:tcW w:w="416" w:type="pct"/>
            <w:vAlign w:val="top"/>
          </w:tcPr>
          <w:p w14:paraId="08047381">
            <w:pPr>
              <w:spacing w:after="0"/>
            </w:pPr>
            <w:r>
              <w:t>采血体积</w:t>
            </w:r>
          </w:p>
        </w:tc>
        <w:tc>
          <w:tcPr>
            <w:tcW w:w="416" w:type="pct"/>
            <w:vAlign w:val="top"/>
          </w:tcPr>
          <w:p w14:paraId="313D62FE">
            <w:pPr>
              <w:spacing w:after="0"/>
            </w:pPr>
            <w:r>
              <w:t>溶血(Y/N)</w:t>
            </w:r>
          </w:p>
        </w:tc>
        <w:tc>
          <w:tcPr>
            <w:tcW w:w="416" w:type="pct"/>
            <w:vAlign w:val="top"/>
          </w:tcPr>
          <w:p w14:paraId="5DA9BCE4">
            <w:pPr>
              <w:spacing w:after="0"/>
            </w:pPr>
            <w:r>
              <w:t>操作者</w:t>
            </w:r>
          </w:p>
        </w:tc>
      </w:tr>
    </w:tbl>
    <w:p w14:paraId="3CE9F857">
      <w:pPr>
        <w:pStyle w:val="4"/>
        <w:jc w:val="left"/>
      </w:pPr>
      <w:r>
        <w:t>附录C：样本流转与运输台账（模板）</w:t>
      </w:r>
    </w:p>
    <w:tbl>
      <w:tblPr>
        <w:tblStyle w:val="33"/>
        <w:tblW w:w="4996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6"/>
        <w:gridCol w:w="956"/>
        <w:gridCol w:w="957"/>
        <w:gridCol w:w="957"/>
        <w:gridCol w:w="957"/>
        <w:gridCol w:w="957"/>
        <w:gridCol w:w="957"/>
        <w:gridCol w:w="957"/>
        <w:gridCol w:w="957"/>
        <w:gridCol w:w="957"/>
      </w:tblGrid>
      <w:tr w14:paraId="28DC6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" w:type="pct"/>
            <w:vAlign w:val="top"/>
          </w:tcPr>
          <w:p w14:paraId="662EA093">
            <w:pPr>
              <w:spacing w:after="0"/>
            </w:pPr>
            <w:r>
              <w:t>样本编号</w:t>
            </w:r>
          </w:p>
        </w:tc>
        <w:tc>
          <w:tcPr>
            <w:tcW w:w="500" w:type="pct"/>
            <w:vAlign w:val="top"/>
          </w:tcPr>
          <w:p w14:paraId="4FFE15C1">
            <w:pPr>
              <w:spacing w:after="0"/>
            </w:pPr>
            <w:r>
              <w:t>受试者ID</w:t>
            </w:r>
          </w:p>
        </w:tc>
        <w:tc>
          <w:tcPr>
            <w:tcW w:w="500" w:type="pct"/>
            <w:vAlign w:val="top"/>
          </w:tcPr>
          <w:p w14:paraId="16D976E5">
            <w:pPr>
              <w:spacing w:after="0"/>
            </w:pPr>
            <w:r>
              <w:t>采样日期</w:t>
            </w:r>
          </w:p>
        </w:tc>
        <w:tc>
          <w:tcPr>
            <w:tcW w:w="500" w:type="pct"/>
            <w:vAlign w:val="top"/>
          </w:tcPr>
          <w:p w14:paraId="5B7593FB">
            <w:pPr>
              <w:spacing w:after="0"/>
            </w:pPr>
            <w:r>
              <w:t>时间点</w:t>
            </w:r>
          </w:p>
        </w:tc>
        <w:tc>
          <w:tcPr>
            <w:tcW w:w="500" w:type="pct"/>
            <w:vAlign w:val="top"/>
          </w:tcPr>
          <w:p w14:paraId="26D49702">
            <w:pPr>
              <w:spacing w:after="0"/>
            </w:pPr>
            <w:r>
              <w:t>样本类型</w:t>
            </w:r>
          </w:p>
        </w:tc>
        <w:tc>
          <w:tcPr>
            <w:tcW w:w="500" w:type="pct"/>
            <w:vAlign w:val="top"/>
          </w:tcPr>
          <w:p w14:paraId="158D06F7">
            <w:pPr>
              <w:spacing w:after="0"/>
            </w:pPr>
            <w:r>
              <w:t>储存位置</w:t>
            </w:r>
          </w:p>
        </w:tc>
        <w:tc>
          <w:tcPr>
            <w:tcW w:w="500" w:type="pct"/>
            <w:vAlign w:val="top"/>
          </w:tcPr>
          <w:p w14:paraId="26A3128F">
            <w:pPr>
              <w:spacing w:after="0"/>
            </w:pPr>
            <w:r>
              <w:t>温度记录编号</w:t>
            </w:r>
          </w:p>
        </w:tc>
        <w:tc>
          <w:tcPr>
            <w:tcW w:w="500" w:type="pct"/>
            <w:vAlign w:val="top"/>
          </w:tcPr>
          <w:p w14:paraId="13254E33">
            <w:pPr>
              <w:spacing w:after="0"/>
            </w:pPr>
            <w:r>
              <w:t>发出时间</w:t>
            </w:r>
          </w:p>
        </w:tc>
        <w:tc>
          <w:tcPr>
            <w:tcW w:w="500" w:type="pct"/>
            <w:vAlign w:val="top"/>
          </w:tcPr>
          <w:p w14:paraId="71074523">
            <w:pPr>
              <w:spacing w:after="0"/>
            </w:pPr>
            <w:r>
              <w:t>接收时间</w:t>
            </w:r>
          </w:p>
        </w:tc>
        <w:tc>
          <w:tcPr>
            <w:tcW w:w="500" w:type="pct"/>
            <w:vAlign w:val="top"/>
          </w:tcPr>
          <w:p w14:paraId="31635E35">
            <w:pPr>
              <w:spacing w:after="0"/>
            </w:pPr>
            <w:r>
              <w:t>状态/偏差</w:t>
            </w:r>
          </w:p>
        </w:tc>
      </w:tr>
    </w:tbl>
    <w:p w14:paraId="7E78AAB4">
      <w:pPr>
        <w:pStyle w:val="4"/>
        <w:jc w:val="left"/>
      </w:pPr>
      <w:r>
        <w:t>附录D：研究性TDM/建模报告（模板，受控）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8"/>
        <w:gridCol w:w="4788"/>
      </w:tblGrid>
      <w:tr w14:paraId="32E03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500" w:type="pct"/>
            <w:vAlign w:val="top"/>
          </w:tcPr>
          <w:p w14:paraId="168B6E0B">
            <w:pPr>
              <w:spacing w:after="0"/>
            </w:pPr>
            <w:r>
              <w:t>字段</w:t>
            </w:r>
          </w:p>
        </w:tc>
        <w:tc>
          <w:tcPr>
            <w:tcW w:w="2500" w:type="pct"/>
            <w:vAlign w:val="top"/>
          </w:tcPr>
          <w:p w14:paraId="1B386011">
            <w:pPr>
              <w:spacing w:after="0"/>
            </w:pPr>
            <w:r>
              <w:t>内容</w:t>
            </w:r>
          </w:p>
        </w:tc>
      </w:tr>
      <w:tr w14:paraId="75000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top"/>
          </w:tcPr>
          <w:p w14:paraId="2B324381">
            <w:pPr>
              <w:spacing w:after="0"/>
            </w:pPr>
            <w:r>
              <w:t>报告用途</w:t>
            </w:r>
          </w:p>
        </w:tc>
        <w:tc>
          <w:tcPr>
            <w:tcW w:w="2500" w:type="pct"/>
            <w:vAlign w:val="top"/>
          </w:tcPr>
          <w:p w14:paraId="7B1BD2DC">
            <w:pPr>
              <w:spacing w:after="0"/>
            </w:pPr>
            <w:r>
              <w:t>仅研究用途；不用于临床决策</w:t>
            </w:r>
          </w:p>
        </w:tc>
      </w:tr>
      <w:tr w14:paraId="5E4B2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top"/>
          </w:tcPr>
          <w:p w14:paraId="5DED0578">
            <w:pPr>
              <w:spacing w:after="0"/>
            </w:pPr>
            <w:r>
              <w:t>模型版本</w:t>
            </w:r>
          </w:p>
        </w:tc>
        <w:tc>
          <w:tcPr>
            <w:tcW w:w="2500" w:type="pct"/>
            <w:vAlign w:val="top"/>
          </w:tcPr>
          <w:p w14:paraId="642E0BA0">
            <w:pPr>
              <w:spacing w:after="0"/>
            </w:pPr>
          </w:p>
        </w:tc>
      </w:tr>
      <w:tr w14:paraId="01B08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500" w:type="pct"/>
            <w:vAlign w:val="top"/>
          </w:tcPr>
          <w:p w14:paraId="681B7C0E">
            <w:pPr>
              <w:spacing w:after="0"/>
            </w:pPr>
            <w:r>
              <w:t>AUC0-24（稳态）</w:t>
            </w:r>
          </w:p>
        </w:tc>
        <w:tc>
          <w:tcPr>
            <w:tcW w:w="2500" w:type="pct"/>
            <w:vAlign w:val="top"/>
          </w:tcPr>
          <w:p w14:paraId="7B65D190">
            <w:pPr>
              <w:spacing w:after="0"/>
            </w:pPr>
          </w:p>
        </w:tc>
      </w:tr>
      <w:tr w14:paraId="06BC4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top"/>
          </w:tcPr>
          <w:p w14:paraId="2F553D77">
            <w:pPr>
              <w:spacing w:after="0"/>
            </w:pPr>
            <w:r>
              <w:t>数据质控状态</w:t>
            </w:r>
          </w:p>
        </w:tc>
        <w:tc>
          <w:tcPr>
            <w:tcW w:w="2500" w:type="pct"/>
            <w:vAlign w:val="top"/>
          </w:tcPr>
          <w:p w14:paraId="64DC4447">
            <w:pPr>
              <w:spacing w:after="0"/>
            </w:pPr>
          </w:p>
        </w:tc>
      </w:tr>
      <w:tr w14:paraId="2F099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500" w:type="pct"/>
            <w:vAlign w:val="top"/>
          </w:tcPr>
          <w:p w14:paraId="06E2D1F1">
            <w:pPr>
              <w:spacing w:after="0"/>
            </w:pPr>
            <w:r>
              <w:t>备注</w:t>
            </w:r>
          </w:p>
        </w:tc>
        <w:tc>
          <w:tcPr>
            <w:tcW w:w="2500" w:type="pct"/>
            <w:vAlign w:val="top"/>
          </w:tcPr>
          <w:p w14:paraId="021DC762">
            <w:pPr>
              <w:spacing w:after="0"/>
            </w:pPr>
            <w:r>
              <w:t>如需受控披露，按SOP12执行</w:t>
            </w:r>
          </w:p>
        </w:tc>
      </w:tr>
    </w:tbl>
    <w:p w14:paraId="7C9E8D70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37E5BE"/>
    <w:multiLevelType w:val="singleLevel"/>
    <w:tmpl w:val="A037E5BE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">
    <w:nsid w:val="A562AEAA"/>
    <w:multiLevelType w:val="singleLevel"/>
    <w:tmpl w:val="A562AEAA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">
    <w:nsid w:val="AEC800A6"/>
    <w:multiLevelType w:val="singleLevel"/>
    <w:tmpl w:val="AEC800A6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3">
    <w:nsid w:val="C24361CE"/>
    <w:multiLevelType w:val="singleLevel"/>
    <w:tmpl w:val="C24361CE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4">
    <w:nsid w:val="EF02FB0C"/>
    <w:multiLevelType w:val="singleLevel"/>
    <w:tmpl w:val="EF02FB0C"/>
    <w:lvl w:ilvl="0" w:tentative="0">
      <w:start w:val="1"/>
      <w:numFmt w:val="decimal"/>
      <w:suff w:val="space"/>
      <w:lvlText w:val="5.%1"/>
      <w:lvlJc w:val="left"/>
      <w:pPr>
        <w:ind w:left="0" w:firstLine="0"/>
      </w:pPr>
      <w:rPr>
        <w:rFonts w:hint="default"/>
      </w:rPr>
    </w:lvl>
  </w:abstractNum>
  <w:abstractNum w:abstractNumId="5">
    <w:nsid w:val="EF25E9B9"/>
    <w:multiLevelType w:val="singleLevel"/>
    <w:tmpl w:val="EF25E9B9"/>
    <w:lvl w:ilvl="0" w:tentative="0">
      <w:start w:val="1"/>
      <w:numFmt w:val="decimal"/>
      <w:suff w:val="space"/>
      <w:lvlText w:val="6.%1"/>
      <w:lvlJc w:val="left"/>
      <w:pPr>
        <w:ind w:left="0" w:firstLine="0"/>
      </w:pPr>
      <w:rPr>
        <w:rFonts w:hint="default"/>
      </w:rPr>
    </w:lvl>
  </w:abstractNum>
  <w:abstractNum w:abstractNumId="6">
    <w:nsid w:val="EF581458"/>
    <w:multiLevelType w:val="singleLevel"/>
    <w:tmpl w:val="EF581458"/>
    <w:lvl w:ilvl="0" w:tentative="0">
      <w:start w:val="1"/>
      <w:numFmt w:val="decimal"/>
      <w:suff w:val="space"/>
      <w:lvlText w:val="7.%1"/>
      <w:lvlJc w:val="left"/>
      <w:pPr>
        <w:ind w:left="0" w:firstLine="0"/>
      </w:pPr>
      <w:rPr>
        <w:rFonts w:hint="default"/>
      </w:rPr>
    </w:lvl>
  </w:abstractNum>
  <w:abstractNum w:abstractNumId="7">
    <w:nsid w:val="F6538F04"/>
    <w:multiLevelType w:val="singleLevel"/>
    <w:tmpl w:val="F6538F04"/>
    <w:lvl w:ilvl="0" w:tentative="0">
      <w:start w:val="1"/>
      <w:numFmt w:val="decimal"/>
      <w:suff w:val="space"/>
      <w:lvlText w:val="3.%1"/>
      <w:lvlJc w:val="left"/>
      <w:pPr>
        <w:ind w:left="0" w:firstLine="0"/>
      </w:pPr>
      <w:rPr>
        <w:rFonts w:hint="default"/>
      </w:rPr>
    </w:lvl>
  </w:abstractNum>
  <w:abstractNum w:abstractNumId="8">
    <w:nsid w:val="F6F60649"/>
    <w:multiLevelType w:val="singleLevel"/>
    <w:tmpl w:val="F6F60649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FAB4C5D9"/>
    <w:multiLevelType w:val="singleLevel"/>
    <w:tmpl w:val="FAB4C5D9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0">
    <w:nsid w:val="FEF7B279"/>
    <w:multiLevelType w:val="singleLevel"/>
    <w:tmpl w:val="FEF7B279"/>
    <w:lvl w:ilvl="0" w:tentative="0">
      <w:start w:val="1"/>
      <w:numFmt w:val="decimal"/>
      <w:suff w:val="space"/>
      <w:lvlText w:val="4.%1"/>
      <w:lvlJc w:val="left"/>
      <w:pPr>
        <w:ind w:left="0" w:firstLine="0"/>
      </w:pPr>
      <w:rPr>
        <w:rFonts w:hint="default"/>
      </w:rPr>
    </w:lvl>
  </w:abstractNum>
  <w:abstractNum w:abstractNumId="1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1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6">
    <w:nsid w:val="020DE8EB"/>
    <w:multiLevelType w:val="singleLevel"/>
    <w:tmpl w:val="020DE8EB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7">
    <w:nsid w:val="09AD64EE"/>
    <w:multiLevelType w:val="singleLevel"/>
    <w:tmpl w:val="09AD64EE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8">
    <w:nsid w:val="10DBA333"/>
    <w:multiLevelType w:val="singleLevel"/>
    <w:tmpl w:val="10DBA333"/>
    <w:lvl w:ilvl="0" w:tentative="0">
      <w:start w:val="1"/>
      <w:numFmt w:val="decimal"/>
      <w:suff w:val="space"/>
      <w:lvlText w:val="8.%1"/>
      <w:lvlJc w:val="left"/>
      <w:pPr>
        <w:ind w:left="0" w:firstLine="0"/>
      </w:pPr>
      <w:rPr>
        <w:rFonts w:hint="default"/>
      </w:rPr>
    </w:lvl>
  </w:abstractNum>
  <w:abstractNum w:abstractNumId="19">
    <w:nsid w:val="249478C9"/>
    <w:multiLevelType w:val="singleLevel"/>
    <w:tmpl w:val="249478C9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0">
    <w:nsid w:val="3309D577"/>
    <w:multiLevelType w:val="singleLevel"/>
    <w:tmpl w:val="3309D577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1">
    <w:nsid w:val="34786DF0"/>
    <w:multiLevelType w:val="singleLevel"/>
    <w:tmpl w:val="34786DF0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2">
    <w:nsid w:val="42823EA5"/>
    <w:multiLevelType w:val="singleLevel"/>
    <w:tmpl w:val="42823EA5"/>
    <w:lvl w:ilvl="0" w:tentative="0">
      <w:start w:val="1"/>
      <w:numFmt w:val="chineseCounting"/>
      <w:suff w:val="space"/>
      <w:lvlText w:val="第%1章"/>
      <w:lvlJc w:val="left"/>
      <w:pPr>
        <w:ind w:left="0" w:firstLine="0"/>
      </w:pPr>
      <w:rPr>
        <w:rFonts w:hint="eastAsia"/>
      </w:rPr>
    </w:lvl>
  </w:abstractNum>
  <w:abstractNum w:abstractNumId="23">
    <w:nsid w:val="618B29EC"/>
    <w:multiLevelType w:val="singleLevel"/>
    <w:tmpl w:val="618B29EC"/>
    <w:lvl w:ilvl="0" w:tentative="0">
      <w:start w:val="1"/>
      <w:numFmt w:val="decimal"/>
      <w:suff w:val="space"/>
      <w:lvlText w:val="1.%1"/>
      <w:lvlJc w:val="left"/>
      <w:pPr>
        <w:ind w:left="0" w:firstLine="0"/>
      </w:pPr>
      <w:rPr>
        <w:rFonts w:hint="default"/>
      </w:rPr>
    </w:lvl>
  </w:abstractNum>
  <w:abstractNum w:abstractNumId="24">
    <w:nsid w:val="63CA87D3"/>
    <w:multiLevelType w:val="singleLevel"/>
    <w:tmpl w:val="63CA87D3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5">
    <w:nsid w:val="675DF34A"/>
    <w:multiLevelType w:val="singleLevel"/>
    <w:tmpl w:val="675DF34A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6">
    <w:nsid w:val="6A3693CA"/>
    <w:multiLevelType w:val="singleLevel"/>
    <w:tmpl w:val="6A3693CA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7">
    <w:nsid w:val="7E0C762A"/>
    <w:multiLevelType w:val="singleLevel"/>
    <w:tmpl w:val="7E0C762A"/>
    <w:lvl w:ilvl="0" w:tentative="0">
      <w:start w:val="0"/>
      <w:numFmt w:val="bullet"/>
      <w:pStyle w:val="16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2"/>
  </w:num>
  <w:num w:numId="2">
    <w:abstractNumId w:val="15"/>
  </w:num>
  <w:num w:numId="3">
    <w:abstractNumId w:val="27"/>
  </w:num>
  <w:num w:numId="4">
    <w:abstractNumId w:val="13"/>
  </w:num>
  <w:num w:numId="5">
    <w:abstractNumId w:val="11"/>
  </w:num>
  <w:num w:numId="6">
    <w:abstractNumId w:val="14"/>
  </w:num>
  <w:num w:numId="7">
    <w:abstractNumId w:val="22"/>
  </w:num>
  <w:num w:numId="8">
    <w:abstractNumId w:val="23"/>
  </w:num>
  <w:num w:numId="9">
    <w:abstractNumId w:val="3"/>
  </w:num>
  <w:num w:numId="10">
    <w:abstractNumId w:val="7"/>
  </w:num>
  <w:num w:numId="11">
    <w:abstractNumId w:val="17"/>
  </w:num>
  <w:num w:numId="12">
    <w:abstractNumId w:val="24"/>
  </w:num>
  <w:num w:numId="13">
    <w:abstractNumId w:val="8"/>
  </w:num>
  <w:num w:numId="14">
    <w:abstractNumId w:val="0"/>
  </w:num>
  <w:num w:numId="15">
    <w:abstractNumId w:val="10"/>
  </w:num>
  <w:num w:numId="16">
    <w:abstractNumId w:val="25"/>
  </w:num>
  <w:num w:numId="17">
    <w:abstractNumId w:val="9"/>
  </w:num>
  <w:num w:numId="18">
    <w:abstractNumId w:val="4"/>
  </w:num>
  <w:num w:numId="19">
    <w:abstractNumId w:val="16"/>
  </w:num>
  <w:num w:numId="20">
    <w:abstractNumId w:val="20"/>
  </w:num>
  <w:num w:numId="21">
    <w:abstractNumId w:val="5"/>
  </w:num>
  <w:num w:numId="22">
    <w:abstractNumId w:val="1"/>
  </w:num>
  <w:num w:numId="23">
    <w:abstractNumId w:val="6"/>
  </w:num>
  <w:num w:numId="24">
    <w:abstractNumId w:val="26"/>
  </w:num>
  <w:num w:numId="25">
    <w:abstractNumId w:val="19"/>
  </w:num>
  <w:num w:numId="26">
    <w:abstractNumId w:val="18"/>
  </w:num>
  <w:num w:numId="27">
    <w:abstractNumId w:val="21"/>
  </w:num>
  <w:num w:numId="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B596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next w:val="1"/>
    <w:link w:val="138"/>
    <w:qFormat/>
    <w:uiPriority w:val="9"/>
    <w:pPr>
      <w:spacing w:before="200" w:after="80" w:line="240" w:lineRule="auto"/>
      <w:jc w:val="left"/>
      <w:outlineLvl w:val="0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4">
    <w:name w:val="heading 2"/>
    <w:next w:val="1"/>
    <w:link w:val="139"/>
    <w:unhideWhenUsed/>
    <w:qFormat/>
    <w:uiPriority w:val="9"/>
    <w:pPr>
      <w:spacing w:before="200" w:after="80" w:line="240" w:lineRule="auto"/>
      <w:jc w:val="left"/>
      <w:outlineLvl w:val="1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5">
    <w:name w:val="heading 3"/>
    <w:next w:val="1"/>
    <w:link w:val="140"/>
    <w:unhideWhenUsed/>
    <w:qFormat/>
    <w:uiPriority w:val="9"/>
    <w:pPr>
      <w:spacing w:before="160" w:after="40" w:line="240" w:lineRule="auto"/>
      <w:jc w:val="left"/>
      <w:outlineLvl w:val="2"/>
    </w:pPr>
    <w:rPr>
      <w:rFonts w:ascii="Times New Roman" w:hAnsi="Times New Roman" w:eastAsia="宋体" w:cs="Times New Roman"/>
      <w:b/>
      <w:sz w:val="24"/>
      <w:szCs w:val="22"/>
      <w:lang w:bidi="ar-SA"/>
    </w:rPr>
  </w:style>
  <w:style w:type="paragraph" w:styleId="6">
    <w:name w:val="heading 4"/>
    <w:next w:val="1"/>
    <w:link w:val="150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3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7">
    <w:name w:val="heading 5"/>
    <w:next w:val="1"/>
    <w:link w:val="151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4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8">
    <w:name w:val="heading 6"/>
    <w:next w:val="1"/>
    <w:link w:val="152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5"/>
    </w:pPr>
    <w:rPr>
      <w:rFonts w:ascii="Times New Roman" w:hAnsi="Times New Roman" w:eastAsia="宋体" w:cs="Times New Roman"/>
      <w:b/>
      <w:bCs/>
      <w:kern w:val="2"/>
      <w:sz w:val="28"/>
      <w:szCs w:val="24"/>
      <w:lang w:bidi="ar-SA"/>
    </w:rPr>
  </w:style>
  <w:style w:type="paragraph" w:styleId="9">
    <w:name w:val="heading 7"/>
    <w:next w:val="1"/>
    <w:link w:val="153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6"/>
    </w:pPr>
    <w:rPr>
      <w:rFonts w:ascii="Times New Roman" w:hAnsi="Times New Roman" w:eastAsia="宋体" w:cs="Times New Roman"/>
      <w:b/>
      <w:bCs/>
      <w:kern w:val="2"/>
      <w:sz w:val="24"/>
      <w:szCs w:val="24"/>
      <w:lang w:bidi="ar-SA"/>
    </w:rPr>
  </w:style>
  <w:style w:type="paragraph" w:styleId="10">
    <w:name w:val="heading 8"/>
    <w:next w:val="1"/>
    <w:link w:val="154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7"/>
    </w:pPr>
    <w:rPr>
      <w:rFonts w:ascii="Times New Roman" w:hAnsi="Times New Roman" w:eastAsia="宋体" w:cs="Times New Roman"/>
      <w:b/>
      <w:kern w:val="2"/>
      <w:sz w:val="24"/>
      <w:szCs w:val="24"/>
      <w:lang w:bidi="ar-SA"/>
    </w:rPr>
  </w:style>
  <w:style w:type="paragraph" w:styleId="11">
    <w:name w:val="heading 9"/>
    <w:next w:val="1"/>
    <w:link w:val="155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8"/>
    </w:pPr>
    <w:rPr>
      <w:rFonts w:ascii="Times New Roman" w:hAnsi="Times New Roman" w:eastAsia="宋体" w:cs="Times New Roman"/>
      <w:b/>
      <w:kern w:val="2"/>
      <w:sz w:val="21"/>
      <w:szCs w:val="21"/>
      <w:lang w:bidi="ar-SA"/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link w:val="144"/>
    <w:unhideWhenUsed/>
    <w:uiPriority w:val="99"/>
    <w:pPr>
      <w:spacing w:before="0" w:after="0" w:line="240" w:lineRule="auto"/>
      <w:ind w:firstLine="0"/>
      <w:outlineLvl w:val="9"/>
    </w:pPr>
    <w:rPr>
      <w:rFonts w:ascii="Times New Roman" w:hAnsi="Calibri" w:eastAsia="宋体" w:cs="Times New Roman"/>
      <w:sz w:val="24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next w:val="1"/>
    <w:link w:val="142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b/>
      <w:kern w:val="28"/>
      <w:sz w:val="32"/>
      <w:szCs w:val="24"/>
      <w:lang w:bidi="ar-SA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next w:val="1"/>
    <w:link w:val="141"/>
    <w:qFormat/>
    <w:uiPriority w:val="10"/>
    <w:pPr>
      <w:spacing w:before="240" w:after="120" w:line="240" w:lineRule="auto"/>
      <w:jc w:val="left"/>
      <w:outlineLvl w:val="9"/>
    </w:pPr>
    <w:rPr>
      <w:rFonts w:ascii="Times New Roman" w:hAnsi="Times New Roman" w:eastAsia="宋体" w:cs="Times New Roman"/>
      <w:b/>
      <w:sz w:val="32"/>
      <w:szCs w:val="22"/>
      <w:lang w:bidi="ar-SA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1E386B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1E386B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874CB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3225</Words>
  <Characters>3930</Characters>
  <Lines>0</Lines>
  <Paragraphs>0</Paragraphs>
  <TotalTime>0</TotalTime>
  <ScaleCrop>false</ScaleCrop>
  <LinksUpToDate>false</LinksUpToDate>
  <CharactersWithSpaces>3994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任坦坦</cp:lastModifiedBy>
  <dcterms:modified xsi:type="dcterms:W3CDTF">2026-03-13T07:20:59Z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eyJoZGlkIjoiMDMyZjEyMjdiYzk5MGYwOGM0ZTYwODZjYzI4ODdjNzYiLCJ1c2VySWQiOiI5NjExNDM1MzcifQ==</vt:lpwstr>
  </property>
  <property fmtid="{D5CDD505-2E9C-101B-9397-08002B2CF9AE}" pid="3" name="KSOProductBuildVer">
    <vt:lpwstr>2052-12.1.0.21171</vt:lpwstr>
  </property>
  <property fmtid="{D5CDD505-2E9C-101B-9397-08002B2CF9AE}" pid="4" name="ICV">
    <vt:lpwstr>5878FC1114E948D788E04F5857FF86CA_12</vt:lpwstr>
  </property>
</Properties>
</file>