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24133">
      <w:pPr>
        <w:jc w:val="center"/>
      </w:pPr>
      <w:r>
        <w:rPr>
          <w:b/>
          <w:sz w:val="32"/>
        </w:rPr>
        <w:t>National Major R&amp;D Program | TB-DM Multidisciplinary Management Innovation</w:t>
      </w:r>
    </w:p>
    <w:p w14:paraId="214021E2">
      <w:pPr>
        <w:jc w:val="center"/>
        <w:rPr>
          <w:rFonts w:hint="default" w:eastAsia="宋体"/>
          <w:lang w:val="en-US" w:eastAsia="zh-CN"/>
        </w:rPr>
      </w:pPr>
      <w:r>
        <w:rPr>
          <w:b/>
          <w:sz w:val="32"/>
        </w:rPr>
        <w:t xml:space="preserve">Clinical Pathway &amp; Operations Manual for </w:t>
      </w:r>
      <w:r>
        <w:rPr>
          <w:rFonts w:hint="eastAsia" w:eastAsia="宋体"/>
          <w:b/>
          <w:sz w:val="32"/>
          <w:lang w:val="en-US" w:eastAsia="zh-CN"/>
        </w:rPr>
        <w:t>TDM and PGx</w:t>
      </w:r>
      <w:bookmarkStart w:id="0" w:name="_GoBack"/>
      <w:bookmarkEnd w:id="0"/>
    </w:p>
    <w:p w14:paraId="131B9DA4">
      <w:pPr>
        <w:jc w:val="center"/>
      </w:pPr>
      <w:r>
        <w:rPr>
          <w:b w:val="0"/>
          <w:sz w:val="24"/>
        </w:rPr>
        <w:t>(Aligned with TDSC Protocol v2.0 and the established TDSC SOP system)</w:t>
      </w:r>
    </w:p>
    <w:p w14:paraId="227EE9F1">
      <w:pPr>
        <w:jc w:val="center"/>
      </w:pPr>
      <w:r>
        <w:t>Document ID: SOP-RPT-PD-2026-001    Version: V1.1    Effective date: 2026-03-04    Classification: Internal controlled</w:t>
      </w:r>
    </w:p>
    <w:p w14:paraId="792ED448"/>
    <w:p w14:paraId="53E3BD27">
      <w:pPr>
        <w:pStyle w:val="3"/>
        <w:jc w:val="left"/>
      </w:pPr>
      <w:r>
        <w:t>Document control and version management</w:t>
      </w:r>
    </w:p>
    <w:p w14:paraId="712AE824">
      <w:pPr>
        <w:pStyle w:val="4"/>
        <w:jc w:val="left"/>
      </w:pPr>
      <w:r>
        <w:t>1. Version history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03"/>
        <w:gridCol w:w="2235"/>
        <w:gridCol w:w="1900"/>
        <w:gridCol w:w="1825"/>
      </w:tblGrid>
      <w:tr w14:paraId="31498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2702977A">
            <w:pPr>
              <w:spacing w:after="0"/>
            </w:pPr>
            <w:r>
              <w:t>Version</w:t>
            </w:r>
          </w:p>
        </w:tc>
        <w:tc>
          <w:tcPr>
            <w:tcW w:w="1872" w:type="dxa"/>
            <w:vAlign w:val="top"/>
          </w:tcPr>
          <w:p w14:paraId="652E6175">
            <w:pPr>
              <w:spacing w:after="0"/>
            </w:pPr>
            <w:r>
              <w:t>Date</w:t>
            </w:r>
          </w:p>
        </w:tc>
        <w:tc>
          <w:tcPr>
            <w:tcW w:w="1872" w:type="dxa"/>
            <w:vAlign w:val="top"/>
          </w:tcPr>
          <w:p w14:paraId="106EF6E3">
            <w:pPr>
              <w:spacing w:after="0"/>
            </w:pPr>
            <w:r>
              <w:t>Change summary</w:t>
            </w:r>
          </w:p>
        </w:tc>
        <w:tc>
          <w:tcPr>
            <w:tcW w:w="1872" w:type="dxa"/>
            <w:vAlign w:val="top"/>
          </w:tcPr>
          <w:p w14:paraId="2B5FE8AC">
            <w:pPr>
              <w:spacing w:after="0"/>
            </w:pPr>
            <w:r>
              <w:t>Prepared/Updated by</w:t>
            </w:r>
          </w:p>
        </w:tc>
        <w:tc>
          <w:tcPr>
            <w:tcW w:w="1872" w:type="dxa"/>
            <w:vAlign w:val="top"/>
          </w:tcPr>
          <w:p w14:paraId="31A896B6">
            <w:pPr>
              <w:spacing w:after="0"/>
            </w:pPr>
            <w:r>
              <w:t>Approved</w:t>
            </w:r>
          </w:p>
        </w:tc>
      </w:tr>
      <w:tr w14:paraId="0812E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515CAD99">
            <w:pPr>
              <w:spacing w:after="0"/>
            </w:pPr>
            <w:r>
              <w:t>V1.0</w:t>
            </w:r>
          </w:p>
        </w:tc>
        <w:tc>
          <w:tcPr>
            <w:tcW w:w="1872" w:type="dxa"/>
            <w:vAlign w:val="top"/>
          </w:tcPr>
          <w:p w14:paraId="45B16C10">
            <w:pPr>
              <w:spacing w:after="0"/>
            </w:pPr>
            <w:r>
              <w:t>2026-02</w:t>
            </w:r>
          </w:p>
        </w:tc>
        <w:tc>
          <w:tcPr>
            <w:tcW w:w="1872" w:type="dxa"/>
            <w:vAlign w:val="top"/>
          </w:tcPr>
          <w:p w14:paraId="4F355A94">
            <w:pPr>
              <w:spacing w:after="0"/>
            </w:pPr>
            <w:r>
              <w:t>Initial release (original manual).</w:t>
            </w:r>
          </w:p>
        </w:tc>
        <w:tc>
          <w:tcPr>
            <w:tcW w:w="1872" w:type="dxa"/>
            <w:vAlign w:val="top"/>
          </w:tcPr>
          <w:p w14:paraId="773BBCA0">
            <w:pPr>
              <w:spacing w:after="0"/>
            </w:pPr>
            <w:r>
              <w:t>Wei Li</w:t>
            </w:r>
          </w:p>
        </w:tc>
        <w:tc>
          <w:tcPr>
            <w:tcW w:w="1872" w:type="dxa"/>
            <w:vAlign w:val="top"/>
          </w:tcPr>
          <w:p w14:paraId="121031A8">
            <w:pPr>
              <w:spacing w:after="0"/>
            </w:pPr>
            <w:r>
              <w:t>Project team</w:t>
            </w:r>
          </w:p>
        </w:tc>
      </w:tr>
      <w:tr w14:paraId="393DE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3B9E6B63">
            <w:pPr>
              <w:spacing w:after="0"/>
            </w:pPr>
            <w:r>
              <w:t>V1.1</w:t>
            </w:r>
          </w:p>
        </w:tc>
        <w:tc>
          <w:tcPr>
            <w:tcW w:w="1872" w:type="dxa"/>
            <w:vAlign w:val="top"/>
          </w:tcPr>
          <w:p w14:paraId="5F0310A4">
            <w:pPr>
              <w:spacing w:after="0"/>
            </w:pPr>
            <w:r>
              <w:t>2026-03-04</w:t>
            </w:r>
          </w:p>
        </w:tc>
        <w:tc>
          <w:tcPr>
            <w:tcW w:w="1872" w:type="dxa"/>
            <w:vAlign w:val="top"/>
          </w:tcPr>
          <w:p w14:paraId="3B429ED2">
            <w:pPr>
              <w:spacing w:after="0"/>
            </w:pPr>
            <w:r>
              <w:t>Aligned with TDSC Protocol v2.0 and SOP system: unified rifapentine dosing as Arm A1=20 mg/kg/day and Arm A2=15 mg/kg/day (max 1200 mg/day); removed/downgraded clinical dose-adjustment based on TDM and NAT2-guided isoniazid titration to research-only/controlled-access; added information firewall, deviation/CAPA, data management and audit interfaces.</w:t>
            </w:r>
          </w:p>
        </w:tc>
        <w:tc>
          <w:tcPr>
            <w:tcW w:w="1872" w:type="dxa"/>
            <w:vAlign w:val="top"/>
          </w:tcPr>
          <w:p w14:paraId="030BFDBA">
            <w:pPr>
              <w:spacing w:after="0"/>
            </w:pPr>
            <w:r>
              <w:t>SOP working group</w:t>
            </w:r>
          </w:p>
        </w:tc>
        <w:tc>
          <w:tcPr>
            <w:tcW w:w="1872" w:type="dxa"/>
            <w:vAlign w:val="top"/>
          </w:tcPr>
          <w:p w14:paraId="4FD4FC6D">
            <w:pPr>
              <w:spacing w:after="0"/>
            </w:pPr>
            <w:r>
              <w:t>________</w:t>
            </w:r>
          </w:p>
        </w:tc>
      </w:tr>
    </w:tbl>
    <w:p w14:paraId="1D9ABFC9"/>
    <w:p w14:paraId="06EE28F3">
      <w:pPr>
        <w:pStyle w:val="3"/>
        <w:jc w:val="left"/>
      </w:pPr>
      <w:r>
        <w:t>Chapter 1. Scope, purpose, and key statements</w:t>
      </w:r>
    </w:p>
    <w:p w14:paraId="26F443AD">
      <w:pPr>
        <w:pStyle w:val="4"/>
        <w:jc w:val="left"/>
      </w:pPr>
      <w:r>
        <w:t>1.1 Purpose</w:t>
      </w:r>
    </w:p>
    <w:p w14:paraId="21293115">
      <w:pPr>
        <w:jc w:val="left"/>
      </w:pPr>
      <w:r>
        <w:rPr>
          <w:b w:val="0"/>
        </w:rPr>
        <w:t>This manual standardizes rifapentine (RPT) administration implementation within the TDSC study, and (where ethically approved and operationally feasible) the optional PK/pharmacogenomics sampling, sample handling, bioanalysis, and data close-loop processes in TB-DM populations.</w:t>
      </w:r>
    </w:p>
    <w:p w14:paraId="747B89E2">
      <w:pPr>
        <w:pStyle w:val="4"/>
        <w:jc w:val="left"/>
      </w:pPr>
      <w:r>
        <w:t>1.2 Scope</w:t>
      </w:r>
    </w:p>
    <w:p w14:paraId="60F51473">
      <w:pPr>
        <w:pStyle w:val="16"/>
        <w:jc w:val="left"/>
      </w:pPr>
      <w:r>
        <w:t>Population: TDSC participants receiving rifapentine-containing regimens (e.g., Arms A1/A2).</w:t>
      </w:r>
    </w:p>
    <w:p w14:paraId="31933077">
      <w:pPr>
        <w:pStyle w:val="16"/>
        <w:jc w:val="left"/>
      </w:pPr>
      <w:r>
        <w:t>Users: clinicians, clinical pharmacists, study nurses, laboratory staff, data and quality management staff.</w:t>
      </w:r>
    </w:p>
    <w:p w14:paraId="1CC3F534">
      <w:pPr>
        <w:pStyle w:val="16"/>
        <w:jc w:val="left"/>
      </w:pPr>
      <w:r>
        <w:t>Settings: routine dosing/adherence (all sites); PK/bioanalysis procedures only for IRB-approved optional substudy and capable sites.</w:t>
      </w:r>
    </w:p>
    <w:p w14:paraId="591C0581">
      <w:pPr>
        <w:pStyle w:val="4"/>
        <w:jc w:val="left"/>
      </w:pPr>
      <w:r>
        <w:t>1.3 Key statements (must be consistent with TDSC)</w:t>
      </w:r>
    </w:p>
    <w:p w14:paraId="23B5BE63">
      <w:pPr>
        <w:pStyle w:val="16"/>
        <w:jc w:val="left"/>
      </w:pPr>
      <w:r>
        <w:t>This manual does not replace the TDSC Protocol or controlled SOPs. Eligibility, randomization, follow-up/LTFU, data management, and deviations/CAPA are governed by SOP13/SOP12/SOP18/SOP19/SOP20.</w:t>
      </w:r>
    </w:p>
    <w:p w14:paraId="14B6F23C">
      <w:pPr>
        <w:pStyle w:val="16"/>
        <w:jc w:val="left"/>
      </w:pPr>
      <w:r>
        <w:t>TDSC is open-label; however, endpoint adjudication (CEC) and disclosure of exploratory results are controlled. Exploratory PK/PGx outputs are not disclosed to treating clinicians unless IRB-approved and processed through controlled access (SOP12).</w:t>
      </w:r>
    </w:p>
    <w:p w14:paraId="2B652099">
      <w:pPr>
        <w:pStyle w:val="16"/>
        <w:jc w:val="left"/>
      </w:pPr>
      <w:r>
        <w:t>Do NOT change the randomized rifapentine dose based on research TDM/modeling outputs. Any non-protocol dose change may constitute a deviation/violation requiring CAPA (SOP20).</w:t>
      </w:r>
    </w:p>
    <w:p w14:paraId="6BC013BD">
      <w:pPr>
        <w:pStyle w:val="3"/>
        <w:jc w:val="left"/>
      </w:pPr>
      <w:r>
        <w:t>Chapter 2. Interfaces to the established TDSC SOP system</w:t>
      </w:r>
    </w:p>
    <w:p w14:paraId="434D6109">
      <w:pPr>
        <w:pStyle w:val="4"/>
        <w:jc w:val="left"/>
      </w:pPr>
      <w:r>
        <w:t>2.1 Cross-references (single source of truth)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5"/>
        <w:gridCol w:w="3015"/>
        <w:gridCol w:w="3066"/>
      </w:tblGrid>
      <w:tr w14:paraId="6355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793262A1">
            <w:pPr>
              <w:spacing w:after="0"/>
            </w:pPr>
            <w:r>
              <w:t>Topic</w:t>
            </w:r>
          </w:p>
        </w:tc>
        <w:tc>
          <w:tcPr>
            <w:tcW w:w="3120" w:type="dxa"/>
            <w:vAlign w:val="top"/>
          </w:tcPr>
          <w:p w14:paraId="77676397">
            <w:pPr>
              <w:spacing w:after="0"/>
            </w:pPr>
            <w:r>
              <w:t>Covered here</w:t>
            </w:r>
          </w:p>
        </w:tc>
        <w:tc>
          <w:tcPr>
            <w:tcW w:w="3120" w:type="dxa"/>
            <w:vAlign w:val="top"/>
          </w:tcPr>
          <w:p w14:paraId="3E532520">
            <w:pPr>
              <w:spacing w:after="0"/>
            </w:pPr>
            <w:r>
              <w:t>Controlled SOP (higher priority)</w:t>
            </w:r>
          </w:p>
        </w:tc>
      </w:tr>
      <w:tr w14:paraId="5C060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67536210">
            <w:pPr>
              <w:spacing w:after="0"/>
            </w:pPr>
            <w:r>
              <w:t>Regimens and rifapentine dosing</w:t>
            </w:r>
          </w:p>
        </w:tc>
        <w:tc>
          <w:tcPr>
            <w:tcW w:w="3120" w:type="dxa"/>
            <w:vAlign w:val="top"/>
          </w:tcPr>
          <w:p w14:paraId="4B976238">
            <w:pPr>
              <w:spacing w:after="0"/>
            </w:pPr>
            <w:r>
              <w:t>Key execution notes and examples only</w:t>
            </w:r>
          </w:p>
        </w:tc>
        <w:tc>
          <w:tcPr>
            <w:tcW w:w="3120" w:type="dxa"/>
            <w:vAlign w:val="top"/>
          </w:tcPr>
          <w:p w14:paraId="36798789">
            <w:pPr>
              <w:spacing w:after="0"/>
            </w:pPr>
            <w:r>
              <w:t>SOP03 (Regimens and dosing table)</w:t>
            </w:r>
          </w:p>
        </w:tc>
      </w:tr>
      <w:tr w14:paraId="08C7D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3F8A07B8">
            <w:pPr>
              <w:spacing w:after="0"/>
            </w:pPr>
            <w:r>
              <w:t>Administration with food, missed doses, adherence</w:t>
            </w:r>
          </w:p>
        </w:tc>
        <w:tc>
          <w:tcPr>
            <w:tcW w:w="3120" w:type="dxa"/>
            <w:vAlign w:val="top"/>
          </w:tcPr>
          <w:p w14:paraId="094603A6">
            <w:pPr>
              <w:spacing w:after="0"/>
            </w:pPr>
            <w:r>
              <w:t>Short summary</w:t>
            </w:r>
          </w:p>
        </w:tc>
        <w:tc>
          <w:tcPr>
            <w:tcW w:w="3120" w:type="dxa"/>
            <w:vAlign w:val="top"/>
          </w:tcPr>
          <w:p w14:paraId="253BAF39">
            <w:pPr>
              <w:spacing w:after="0"/>
            </w:pPr>
            <w:r>
              <w:t>SOP04 (Administration and adherence management)</w:t>
            </w:r>
          </w:p>
        </w:tc>
      </w:tr>
      <w:tr w14:paraId="54013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3A02572D">
            <w:pPr>
              <w:spacing w:after="0"/>
            </w:pPr>
            <w:r>
              <w:t>AE/AESI management and reporting timelines</w:t>
            </w:r>
          </w:p>
        </w:tc>
        <w:tc>
          <w:tcPr>
            <w:tcW w:w="3120" w:type="dxa"/>
            <w:vAlign w:val="top"/>
          </w:tcPr>
          <w:p w14:paraId="77292933">
            <w:pPr>
              <w:spacing w:after="0"/>
            </w:pPr>
            <w:r>
              <w:t>Principles only</w:t>
            </w:r>
          </w:p>
        </w:tc>
        <w:tc>
          <w:tcPr>
            <w:tcW w:w="3120" w:type="dxa"/>
            <w:vAlign w:val="top"/>
          </w:tcPr>
          <w:p w14:paraId="50908583">
            <w:pPr>
              <w:spacing w:after="0"/>
            </w:pPr>
            <w:r>
              <w:t>SOP10 (AE Playbook); SOP06 (Integrated AE capture)</w:t>
            </w:r>
          </w:p>
        </w:tc>
      </w:tr>
      <w:tr w14:paraId="1961D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30574D43">
            <w:pPr>
              <w:spacing w:after="0"/>
            </w:pPr>
            <w:r>
              <w:t>Auto-grading for labs/ECG and red flags</w:t>
            </w:r>
          </w:p>
        </w:tc>
        <w:tc>
          <w:tcPr>
            <w:tcW w:w="3120" w:type="dxa"/>
            <w:vAlign w:val="top"/>
          </w:tcPr>
          <w:p w14:paraId="6BEF8B03">
            <w:pPr>
              <w:spacing w:after="0"/>
            </w:pPr>
            <w:r>
              <w:t>Consistency reminder</w:t>
            </w:r>
          </w:p>
        </w:tc>
        <w:tc>
          <w:tcPr>
            <w:tcW w:w="3120" w:type="dxa"/>
            <w:vAlign w:val="top"/>
          </w:tcPr>
          <w:p w14:paraId="1FF0A7AD">
            <w:pPr>
              <w:spacing w:after="0"/>
            </w:pPr>
            <w:r>
              <w:t>SOP09 (EDC auto-grading rules)</w:t>
            </w:r>
          </w:p>
        </w:tc>
      </w:tr>
      <w:tr w14:paraId="2B3D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3C961010">
            <w:pPr>
              <w:spacing w:after="0"/>
            </w:pPr>
            <w:r>
              <w:t>Biospecimen handling/shipping/storage</w:t>
            </w:r>
          </w:p>
        </w:tc>
        <w:tc>
          <w:tcPr>
            <w:tcW w:w="3120" w:type="dxa"/>
            <w:vAlign w:val="top"/>
          </w:tcPr>
          <w:p w14:paraId="5667B824">
            <w:pPr>
              <w:spacing w:after="0"/>
            </w:pPr>
            <w:r>
              <w:t>RPT-specific points only</w:t>
            </w:r>
          </w:p>
        </w:tc>
        <w:tc>
          <w:tcPr>
            <w:tcW w:w="3120" w:type="dxa"/>
            <w:vAlign w:val="top"/>
          </w:tcPr>
          <w:p w14:paraId="2BEB25FA">
            <w:pPr>
              <w:spacing w:after="0"/>
            </w:pPr>
            <w:r>
              <w:t>SOP17 (Biospecimens)</w:t>
            </w:r>
          </w:p>
        </w:tc>
      </w:tr>
      <w:tr w14:paraId="38FE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5D64089B">
            <w:pPr>
              <w:spacing w:after="0"/>
            </w:pPr>
            <w:r>
              <w:t>Microbiology/Hard Gate/relapse evidence chain</w:t>
            </w:r>
          </w:p>
        </w:tc>
        <w:tc>
          <w:tcPr>
            <w:tcW w:w="3120" w:type="dxa"/>
            <w:vAlign w:val="top"/>
          </w:tcPr>
          <w:p w14:paraId="40943AB3">
            <w:pPr>
              <w:spacing w:after="0"/>
            </w:pPr>
            <w:r>
              <w:t>Interface notes only</w:t>
            </w:r>
          </w:p>
        </w:tc>
        <w:tc>
          <w:tcPr>
            <w:tcW w:w="3120" w:type="dxa"/>
            <w:vAlign w:val="top"/>
          </w:tcPr>
          <w:p w14:paraId="2817253D">
            <w:pPr>
              <w:spacing w:after="0"/>
            </w:pPr>
            <w:r>
              <w:t>SOP16 (Microbiology workflow); SOP15 (CEC package)</w:t>
            </w:r>
          </w:p>
        </w:tc>
      </w:tr>
      <w:tr w14:paraId="44EC1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18BD294C">
            <w:pPr>
              <w:spacing w:after="0"/>
            </w:pPr>
            <w:r>
              <w:t>Follow-up windows and LTFU</w:t>
            </w:r>
          </w:p>
        </w:tc>
        <w:tc>
          <w:tcPr>
            <w:tcW w:w="3120" w:type="dxa"/>
            <w:vAlign w:val="top"/>
          </w:tcPr>
          <w:p w14:paraId="53DC9C71">
            <w:pPr>
              <w:spacing w:after="0"/>
            </w:pPr>
            <w:r>
              <w:t>Not duplicated</w:t>
            </w:r>
          </w:p>
        </w:tc>
        <w:tc>
          <w:tcPr>
            <w:tcW w:w="3120" w:type="dxa"/>
            <w:vAlign w:val="top"/>
          </w:tcPr>
          <w:p w14:paraId="4B115319">
            <w:pPr>
              <w:spacing w:after="0"/>
            </w:pPr>
            <w:r>
              <w:t>SOP18 (Follow-up &amp; LTFU)</w:t>
            </w:r>
          </w:p>
        </w:tc>
      </w:tr>
      <w:tr w14:paraId="56BC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6C3C53A6">
            <w:pPr>
              <w:spacing w:after="0"/>
            </w:pPr>
            <w:r>
              <w:t>Data management/QC/queries/lock/audit</w:t>
            </w:r>
          </w:p>
        </w:tc>
        <w:tc>
          <w:tcPr>
            <w:tcW w:w="3120" w:type="dxa"/>
            <w:vAlign w:val="top"/>
          </w:tcPr>
          <w:p w14:paraId="11DA43C5">
            <w:pPr>
              <w:spacing w:after="0"/>
            </w:pPr>
            <w:r>
              <w:t>Not duplicated</w:t>
            </w:r>
          </w:p>
        </w:tc>
        <w:tc>
          <w:tcPr>
            <w:tcW w:w="3120" w:type="dxa"/>
            <w:vAlign w:val="top"/>
          </w:tcPr>
          <w:p w14:paraId="21FA4070">
            <w:pPr>
              <w:spacing w:after="0"/>
            </w:pPr>
            <w:r>
              <w:t>SOP19 (Data management &amp; QC)</w:t>
            </w:r>
          </w:p>
        </w:tc>
      </w:tr>
      <w:tr w14:paraId="0077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788ED2F5">
            <w:pPr>
              <w:spacing w:after="0"/>
            </w:pPr>
            <w:r>
              <w:t>Deviations/violations and CAPA</w:t>
            </w:r>
          </w:p>
        </w:tc>
        <w:tc>
          <w:tcPr>
            <w:tcW w:w="3120" w:type="dxa"/>
            <w:vAlign w:val="top"/>
          </w:tcPr>
          <w:p w14:paraId="4D18D8BF">
            <w:pPr>
              <w:spacing w:after="0"/>
            </w:pPr>
            <w:r>
              <w:t>Not duplicated</w:t>
            </w:r>
          </w:p>
        </w:tc>
        <w:tc>
          <w:tcPr>
            <w:tcW w:w="3120" w:type="dxa"/>
            <w:vAlign w:val="top"/>
          </w:tcPr>
          <w:p w14:paraId="0D42A14D">
            <w:pPr>
              <w:spacing w:after="0"/>
            </w:pPr>
            <w:r>
              <w:t>SOP20 (Deviations/violations &amp; CAPA)</w:t>
            </w:r>
          </w:p>
        </w:tc>
      </w:tr>
    </w:tbl>
    <w:p w14:paraId="57CD870B"/>
    <w:p w14:paraId="43AE7A2E">
      <w:pPr>
        <w:pStyle w:val="3"/>
        <w:jc w:val="left"/>
      </w:pPr>
      <w:r>
        <w:t>Chapter 3. Rifapentine dosing implementation in TDSC</w:t>
      </w:r>
    </w:p>
    <w:p w14:paraId="3E6C2989">
      <w:pPr>
        <w:pStyle w:val="4"/>
        <w:jc w:val="left"/>
      </w:pPr>
      <w:r>
        <w:t>3.1 Dosing definition (must match SOP03)</w:t>
      </w:r>
    </w:p>
    <w:p w14:paraId="538E927E">
      <w:pPr>
        <w:jc w:val="left"/>
      </w:pPr>
      <w:r>
        <w:rPr>
          <w:b w:val="0"/>
        </w:rPr>
        <w:t>In TDSC, rifapentine dosing is defined as weight-based mg/kg/day with a maximum daily cap, NOT a fixed dose. Labels such as “900/1200” are shorthand and do not imply fixed dosing.</w:t>
      </w:r>
    </w:p>
    <w:p w14:paraId="6EC61C7E">
      <w:pPr>
        <w:pStyle w:val="16"/>
        <w:jc w:val="left"/>
      </w:pPr>
      <w:r>
        <w:t>Arm A1 (higher dose): 20 mg/kg/day, maximum 1200 mg/day.</w:t>
      </w:r>
    </w:p>
    <w:p w14:paraId="68174B67">
      <w:pPr>
        <w:pStyle w:val="16"/>
        <w:jc w:val="left"/>
      </w:pPr>
      <w:r>
        <w:t>Arm A2 (standard dose): 15 mg/kg/day, maximum 1200 mg/day.</w:t>
      </w:r>
    </w:p>
    <w:p w14:paraId="3DC3B70D">
      <w:pPr>
        <w:pStyle w:val="16"/>
        <w:jc w:val="left"/>
      </w:pPr>
      <w:r>
        <w:t>Rounding to available tablet strengths follows SOP03 and pharmacy dispensing rules.</w:t>
      </w:r>
    </w:p>
    <w:p w14:paraId="071525DC">
      <w:pPr>
        <w:pStyle w:val="4"/>
        <w:jc w:val="left"/>
      </w:pPr>
      <w:r>
        <w:t>3.2 Administration with food and dosing records</w:t>
      </w:r>
    </w:p>
    <w:p w14:paraId="7557959A">
      <w:pPr>
        <w:pStyle w:val="16"/>
        <w:jc w:val="left"/>
      </w:pPr>
      <w:r>
        <w:t>Rifapentine has a meaningful food effect; administer with a fat-containing meal to stabilize exposure; avoid fasting dosing.</w:t>
      </w:r>
    </w:p>
    <w:p w14:paraId="724F2009">
      <w:pPr>
        <w:pStyle w:val="16"/>
        <w:jc w:val="left"/>
      </w:pPr>
      <w:r>
        <w:t>Record at each dose: date, time (preferably to the minute), dose (mg/tablet count), with/without meal, concomitant medications (esp. antidiabetics), and symptoms.</w:t>
      </w:r>
    </w:p>
    <w:p w14:paraId="2A099317">
      <w:pPr>
        <w:pStyle w:val="4"/>
        <w:jc w:val="left"/>
      </w:pPr>
      <w:r>
        <w:t>3.3 Missed-dose handling (per SOP04)</w:t>
      </w:r>
    </w:p>
    <w:p w14:paraId="5D3A6091">
      <w:pPr>
        <w:pStyle w:val="16"/>
        <w:jc w:val="left"/>
      </w:pPr>
      <w:r>
        <w:t>If a missed dose is discovered &gt;12 hours after scheduled time: take one catch-up dose as soon as possible; then resume schedule.</w:t>
      </w:r>
    </w:p>
    <w:p w14:paraId="7E9B03A4">
      <w:pPr>
        <w:pStyle w:val="16"/>
        <w:jc w:val="left"/>
      </w:pPr>
      <w:r>
        <w:t>If discovered ≤12 hours: skip the missed dose; do not double; document and implement adherence interventions.</w:t>
      </w:r>
    </w:p>
    <w:p w14:paraId="7DD66546">
      <w:pPr>
        <w:pStyle w:val="16"/>
        <w:jc w:val="left"/>
      </w:pPr>
      <w:r>
        <w:t>Repeated missed doses: escalate per SOP04 and evaluate whether this constitutes a deviation/violation (SOP20).</w:t>
      </w:r>
    </w:p>
    <w:p w14:paraId="27BC7CEC">
      <w:pPr>
        <w:pStyle w:val="4"/>
        <w:jc w:val="left"/>
      </w:pPr>
      <w:r>
        <w:t>3.4 Key TB-DM DDI considerations (brief)</w:t>
      </w:r>
    </w:p>
    <w:p w14:paraId="0D4370AE">
      <w:pPr>
        <w:pStyle w:val="16"/>
        <w:jc w:val="left"/>
      </w:pPr>
      <w:r>
        <w:t>Rifapentine induces CYP3A4/P-gp and may reduce exposure of some oral antidiabetics; prefer insulin or low-interaction options via MDT decisions.</w:t>
      </w:r>
    </w:p>
    <w:p w14:paraId="59264A68">
      <w:pPr>
        <w:pStyle w:val="16"/>
        <w:jc w:val="left"/>
      </w:pPr>
      <w:r>
        <w:t>All major DDI-driven changes require a documented rationale–decision–execution–follow-up loop in EDC (SOP19).</w:t>
      </w:r>
    </w:p>
    <w:p w14:paraId="3F30AB4D">
      <w:pPr>
        <w:pStyle w:val="16"/>
        <w:jc w:val="left"/>
      </w:pPr>
      <w:r>
        <w:t>Severe hypoglycemia or suspected DKA/HHS: prioritize emergency management; postpone sampling/research procedures if needed; manage and report per SOP10.</w:t>
      </w:r>
    </w:p>
    <w:p w14:paraId="1EE92F1F">
      <w:pPr>
        <w:pStyle w:val="3"/>
        <w:jc w:val="left"/>
      </w:pPr>
      <w:r>
        <w:t>Chapter 4. Optional PK/PGx substudy operations (if applicable)</w:t>
      </w:r>
    </w:p>
    <w:p w14:paraId="05DDDD10">
      <w:pPr>
        <w:pStyle w:val="4"/>
        <w:jc w:val="left"/>
      </w:pPr>
      <w:r>
        <w:t>4.1 Preconditions and information firewall</w:t>
      </w:r>
    </w:p>
    <w:p w14:paraId="207E4F93">
      <w:pPr>
        <w:pStyle w:val="16"/>
        <w:jc w:val="left"/>
      </w:pPr>
      <w:r>
        <w:t>Implement only when IRB-approved, optional consent is obtained, and the site has operational capacity.</w:t>
      </w:r>
    </w:p>
    <w:p w14:paraId="1405D217">
      <w:pPr>
        <w:pStyle w:val="16"/>
        <w:jc w:val="left"/>
      </w:pPr>
      <w:r>
        <w:t>Exploratory PK/PGx outputs are research-only and not used for clinical decisions by default; controlled access follows SOP12 with audit trail.</w:t>
      </w:r>
    </w:p>
    <w:p w14:paraId="505C60FB">
      <w:pPr>
        <w:pStyle w:val="16"/>
        <w:jc w:val="left"/>
      </w:pPr>
      <w:r>
        <w:t>Do not change randomized dose based on research outputs; safety-driven changes follow protocol/SOP10 and must be handled as deviations if off-protocol (SOP20).</w:t>
      </w:r>
    </w:p>
    <w:p w14:paraId="3A2E3A4B">
      <w:pPr>
        <w:pStyle w:val="4"/>
        <w:jc w:val="left"/>
      </w:pPr>
      <w:r>
        <w:t>4.2 Sampling timing and windows (principles)</w:t>
      </w:r>
    </w:p>
    <w:p w14:paraId="6E493281">
      <w:pPr>
        <w:jc w:val="left"/>
      </w:pPr>
      <w:r>
        <w:rPr>
          <w:b w:val="0"/>
        </w:rPr>
        <w:t>Given rifapentine auto-induction, steadier exposure is expected after ~Day 21. For PK/TDM sampling (if conducted):</w:t>
      </w:r>
    </w:p>
    <w:p w14:paraId="65A3D48D">
      <w:pPr>
        <w:pStyle w:val="16"/>
        <w:jc w:val="left"/>
      </w:pPr>
      <w:r>
        <w:t>Do not sample earlier than Day 10; prefer Day 21 or later; finalize windows in the substudy plan.</w:t>
      </w:r>
    </w:p>
    <w:p w14:paraId="2BFF48D6">
      <w:pPr>
        <w:pStyle w:val="16"/>
        <w:jc w:val="left"/>
      </w:pPr>
      <w:r>
        <w:t>Record prior dose time, same-day dose time, and meal conditions.</w:t>
      </w:r>
    </w:p>
    <w:p w14:paraId="1563ED5F">
      <w:pPr>
        <w:pStyle w:val="16"/>
        <w:jc w:val="left"/>
      </w:pPr>
      <w:r>
        <w:t>For TB-DM delayed absorption risk, include a post-peak timepoint in sparse sampling where feasible.</w:t>
      </w:r>
    </w:p>
    <w:p w14:paraId="00B5F2E9">
      <w:pPr>
        <w:pStyle w:val="4"/>
        <w:jc w:val="left"/>
      </w:pPr>
      <w:r>
        <w:t>4.3 Example sampling schemes</w:t>
      </w:r>
    </w:p>
    <w:p w14:paraId="0A758F0E">
      <w:pPr>
        <w:jc w:val="left"/>
      </w:pPr>
      <w:r>
        <w:rPr>
          <w:b w:val="0"/>
        </w:rPr>
        <w:t>Two practical approaches are shown below; final schedules must be locked in the substudy plan: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B7BF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top"/>
          </w:tcPr>
          <w:p w14:paraId="12619C61">
            <w:pPr>
              <w:spacing w:after="0"/>
            </w:pPr>
            <w:r>
              <w:t>Scheme</w:t>
            </w:r>
          </w:p>
        </w:tc>
        <w:tc>
          <w:tcPr>
            <w:tcW w:w="2340" w:type="dxa"/>
            <w:vAlign w:val="top"/>
          </w:tcPr>
          <w:p w14:paraId="572C2D1B">
            <w:pPr>
              <w:spacing w:after="0"/>
            </w:pPr>
            <w:r>
              <w:t>Timepoints (post-dose)</w:t>
            </w:r>
          </w:p>
        </w:tc>
        <w:tc>
          <w:tcPr>
            <w:tcW w:w="2340" w:type="dxa"/>
            <w:vAlign w:val="top"/>
          </w:tcPr>
          <w:p w14:paraId="07EDCB9E">
            <w:pPr>
              <w:spacing w:after="0"/>
            </w:pPr>
            <w:r>
              <w:t>Suggested window</w:t>
            </w:r>
          </w:p>
        </w:tc>
        <w:tc>
          <w:tcPr>
            <w:tcW w:w="2340" w:type="dxa"/>
            <w:vAlign w:val="top"/>
          </w:tcPr>
          <w:p w14:paraId="08AF84A7">
            <w:pPr>
              <w:spacing w:after="0"/>
            </w:pPr>
            <w:r>
              <w:t>Purpose/notes</w:t>
            </w:r>
          </w:p>
        </w:tc>
      </w:tr>
      <w:tr w14:paraId="6C885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top"/>
          </w:tcPr>
          <w:p w14:paraId="4A4B8B35">
            <w:pPr>
              <w:spacing w:after="0"/>
            </w:pPr>
            <w:r>
              <w:t>Sparse (recommended)</w:t>
            </w:r>
          </w:p>
        </w:tc>
        <w:tc>
          <w:tcPr>
            <w:tcW w:w="2340" w:type="dxa"/>
            <w:vAlign w:val="top"/>
          </w:tcPr>
          <w:p w14:paraId="538CFB0E">
            <w:pPr>
              <w:spacing w:after="0"/>
            </w:pPr>
            <w:r>
              <w:t>2h, 4h, 6h (or 8h)</w:t>
            </w:r>
          </w:p>
        </w:tc>
        <w:tc>
          <w:tcPr>
            <w:tcW w:w="2340" w:type="dxa"/>
            <w:vAlign w:val="top"/>
          </w:tcPr>
          <w:p w14:paraId="6A662B05">
            <w:pPr>
              <w:spacing w:after="0"/>
            </w:pPr>
            <w:r>
              <w:t>±10/15/15(±15) min</w:t>
            </w:r>
          </w:p>
        </w:tc>
        <w:tc>
          <w:tcPr>
            <w:tcW w:w="2340" w:type="dxa"/>
            <w:vAlign w:val="top"/>
          </w:tcPr>
          <w:p w14:paraId="5112269A">
            <w:pPr>
              <w:spacing w:after="0"/>
            </w:pPr>
            <w:r>
              <w:t>For Bayesian AUC estimation; consider 8h for delayed peak in TB-DM</w:t>
            </w:r>
          </w:p>
        </w:tc>
      </w:tr>
      <w:tr w14:paraId="1106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top"/>
          </w:tcPr>
          <w:p w14:paraId="795977D4">
            <w:pPr>
              <w:spacing w:after="0"/>
            </w:pPr>
            <w:r>
              <w:t>Rich (subcohort)</w:t>
            </w:r>
          </w:p>
        </w:tc>
        <w:tc>
          <w:tcPr>
            <w:tcW w:w="2340" w:type="dxa"/>
            <w:vAlign w:val="top"/>
          </w:tcPr>
          <w:p w14:paraId="5714AA61">
            <w:pPr>
              <w:spacing w:after="0"/>
            </w:pPr>
            <w:r>
              <w:t>0, 1, 2, 4, 6, 8, 12, 24h</w:t>
            </w:r>
          </w:p>
        </w:tc>
        <w:tc>
          <w:tcPr>
            <w:tcW w:w="2340" w:type="dxa"/>
            <w:vAlign w:val="top"/>
          </w:tcPr>
          <w:p w14:paraId="3AE13497">
            <w:pPr>
              <w:spacing w:after="0"/>
            </w:pPr>
            <w:r>
              <w:t>per ±10/15/30 min</w:t>
            </w:r>
          </w:p>
        </w:tc>
        <w:tc>
          <w:tcPr>
            <w:tcW w:w="2340" w:type="dxa"/>
            <w:vAlign w:val="top"/>
          </w:tcPr>
          <w:p w14:paraId="06E4F593">
            <w:pPr>
              <w:spacing w:after="0"/>
            </w:pPr>
            <w:r>
              <w:t>For PopPK validation and methodological assessment</w:t>
            </w:r>
          </w:p>
        </w:tc>
      </w:tr>
    </w:tbl>
    <w:p w14:paraId="62C1FC0D">
      <w:pPr>
        <w:pStyle w:val="3"/>
        <w:jc w:val="left"/>
      </w:pPr>
      <w:r>
        <w:t>Chapter 5. Sample processing, storage, and shipping (RPT-specific points)</w:t>
      </w:r>
    </w:p>
    <w:p w14:paraId="334A7154">
      <w:pPr>
        <w:pStyle w:val="4"/>
        <w:jc w:val="left"/>
      </w:pPr>
      <w:r>
        <w:t>5.1 Tubes and processing timelines</w:t>
      </w:r>
    </w:p>
    <w:p w14:paraId="73B0E236">
      <w:pPr>
        <w:pStyle w:val="16"/>
        <w:jc w:val="left"/>
      </w:pPr>
      <w:r>
        <w:t>PK samples: EDTA tubes; separate plasma promptly (suggest ≤30 minutes).</w:t>
      </w:r>
    </w:p>
    <w:p w14:paraId="03001D34">
      <w:pPr>
        <w:pStyle w:val="16"/>
        <w:jc w:val="left"/>
      </w:pPr>
      <w:r>
        <w:t>Avoid hemolysis; label hemolyzed samples and document in EDC.</w:t>
      </w:r>
    </w:p>
    <w:p w14:paraId="58931D66">
      <w:pPr>
        <w:pStyle w:val="16"/>
        <w:jc w:val="left"/>
      </w:pPr>
      <w:r>
        <w:t>Protect from light throughout.</w:t>
      </w:r>
    </w:p>
    <w:p w14:paraId="79E17499">
      <w:pPr>
        <w:pStyle w:val="16"/>
        <w:jc w:val="left"/>
      </w:pPr>
      <w:r>
        <w:t>Do NOT heat-inactivate rifapentine-containing plasma samples.</w:t>
      </w:r>
    </w:p>
    <w:p w14:paraId="5C24022D">
      <w:pPr>
        <w:pStyle w:val="4"/>
        <w:jc w:val="left"/>
      </w:pPr>
      <w:r>
        <w:t>5.2 Freezing and shipping</w:t>
      </w:r>
    </w:p>
    <w:p w14:paraId="5099D4A9">
      <w:pPr>
        <w:pStyle w:val="16"/>
        <w:jc w:val="left"/>
      </w:pPr>
      <w:r>
        <w:t>Aliquot into at least two tubes (primary/backup) with dual-person label verification.</w:t>
      </w:r>
    </w:p>
    <w:p w14:paraId="651390F3">
      <w:pPr>
        <w:pStyle w:val="16"/>
        <w:jc w:val="left"/>
      </w:pPr>
      <w:r>
        <w:t>-80°C preferred; any temporary -20°C storage must be time-limited and documented per SOP17.</w:t>
      </w:r>
    </w:p>
    <w:p w14:paraId="3535ED90">
      <w:pPr>
        <w:pStyle w:val="16"/>
        <w:jc w:val="left"/>
      </w:pPr>
      <w:r>
        <w:t>Ship on dry ice with a temperature logger; any temperature excursion triggers deviation/CAPA (SOP20).</w:t>
      </w:r>
    </w:p>
    <w:p w14:paraId="7F5397DE">
      <w:pPr>
        <w:pStyle w:val="3"/>
        <w:jc w:val="left"/>
      </w:pPr>
      <w:r>
        <w:t>Chapter 6. Bioanalysis and data close-loop</w:t>
      </w:r>
    </w:p>
    <w:p w14:paraId="1552ED5D">
      <w:pPr>
        <w:pStyle w:val="4"/>
        <w:jc w:val="left"/>
      </w:pPr>
      <w:r>
        <w:t>6.1 LC-MS/MS bioanalysis (summary)</w:t>
      </w:r>
    </w:p>
    <w:p w14:paraId="5C7377E2">
      <w:pPr>
        <w:pStyle w:val="16"/>
        <w:jc w:val="left"/>
      </w:pPr>
      <w:r>
        <w:t>Analytes: rifapentine (RPT) and 25-desacetyl rifapentine (dRPT).</w:t>
      </w:r>
    </w:p>
    <w:p w14:paraId="57A4E5EE">
      <w:pPr>
        <w:pStyle w:val="16"/>
        <w:jc w:val="left"/>
      </w:pPr>
      <w:r>
        <w:t>Method validation and batch acceptance follow ICH M10; parameters and QC are summarized in Appendix A.</w:t>
      </w:r>
    </w:p>
    <w:p w14:paraId="4E1A48A8">
      <w:pPr>
        <w:pStyle w:val="16"/>
        <w:jc w:val="left"/>
      </w:pPr>
      <w:r>
        <w:t>Data transfer, permissions, and audit trail follow SOP19; results are not disclosed to treating clinicians by default (SOP12).</w:t>
      </w:r>
    </w:p>
    <w:p w14:paraId="25659A4B">
      <w:pPr>
        <w:pStyle w:val="4"/>
        <w:jc w:val="left"/>
      </w:pPr>
      <w:r>
        <w:t>6.2 Turnaround time and quality metrics (suggested)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CEE7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0C25C1F1">
            <w:pPr>
              <w:spacing w:after="0"/>
            </w:pPr>
            <w:r>
              <w:t>Metric</w:t>
            </w:r>
          </w:p>
        </w:tc>
        <w:tc>
          <w:tcPr>
            <w:tcW w:w="3120" w:type="dxa"/>
            <w:vAlign w:val="top"/>
          </w:tcPr>
          <w:p w14:paraId="44851897">
            <w:pPr>
              <w:spacing w:after="0"/>
            </w:pPr>
            <w:r>
              <w:t>Suggested target</w:t>
            </w:r>
          </w:p>
        </w:tc>
        <w:tc>
          <w:tcPr>
            <w:tcW w:w="3120" w:type="dxa"/>
            <w:vAlign w:val="top"/>
          </w:tcPr>
          <w:p w14:paraId="7930F72F">
            <w:pPr>
              <w:spacing w:after="0"/>
            </w:pPr>
            <w:r>
              <w:t>Recording/owner</w:t>
            </w:r>
          </w:p>
        </w:tc>
      </w:tr>
      <w:tr w14:paraId="416B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5EBF23AA">
            <w:pPr>
              <w:spacing w:after="0"/>
            </w:pPr>
            <w:r>
              <w:t>Sampling time accuracy</w:t>
            </w:r>
          </w:p>
        </w:tc>
        <w:tc>
          <w:tcPr>
            <w:tcW w:w="3120" w:type="dxa"/>
            <w:vAlign w:val="top"/>
          </w:tcPr>
          <w:p w14:paraId="75298DA6">
            <w:pPr>
              <w:spacing w:after="0"/>
            </w:pPr>
            <w:r>
              <w:t>≥90%</w:t>
            </w:r>
          </w:p>
        </w:tc>
        <w:tc>
          <w:tcPr>
            <w:tcW w:w="3120" w:type="dxa"/>
            <w:vAlign w:val="top"/>
          </w:tcPr>
          <w:p w14:paraId="2A19B313">
            <w:pPr>
              <w:spacing w:after="0"/>
            </w:pPr>
            <w:r>
              <w:t>Study nurse/CRC; PMO monthly (SOP19)</w:t>
            </w:r>
          </w:p>
        </w:tc>
      </w:tr>
      <w:tr w14:paraId="645E6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35BB9D17">
            <w:pPr>
              <w:spacing w:after="0"/>
            </w:pPr>
            <w:r>
              <w:t>Hemolysis rate</w:t>
            </w:r>
          </w:p>
        </w:tc>
        <w:tc>
          <w:tcPr>
            <w:tcW w:w="3120" w:type="dxa"/>
            <w:vAlign w:val="top"/>
          </w:tcPr>
          <w:p w14:paraId="34A90747">
            <w:pPr>
              <w:spacing w:after="0"/>
            </w:pPr>
            <w:r>
              <w:t>≤5%</w:t>
            </w:r>
          </w:p>
        </w:tc>
        <w:tc>
          <w:tcPr>
            <w:tcW w:w="3120" w:type="dxa"/>
            <w:vAlign w:val="top"/>
          </w:tcPr>
          <w:p w14:paraId="64A8ABA7">
            <w:pPr>
              <w:spacing w:after="0"/>
            </w:pPr>
            <w:r>
              <w:t>Lab batch records</w:t>
            </w:r>
          </w:p>
        </w:tc>
      </w:tr>
      <w:tr w14:paraId="7AE2F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30FFEC68">
            <w:pPr>
              <w:spacing w:after="0"/>
            </w:pPr>
            <w:r>
              <w:t>Temperature excursion rate</w:t>
            </w:r>
          </w:p>
        </w:tc>
        <w:tc>
          <w:tcPr>
            <w:tcW w:w="3120" w:type="dxa"/>
            <w:vAlign w:val="top"/>
          </w:tcPr>
          <w:p w14:paraId="55F594DC">
            <w:pPr>
              <w:spacing w:after="0"/>
            </w:pPr>
            <w:r>
              <w:t>≤2%</w:t>
            </w:r>
          </w:p>
        </w:tc>
        <w:tc>
          <w:tcPr>
            <w:tcW w:w="3120" w:type="dxa"/>
            <w:vAlign w:val="top"/>
          </w:tcPr>
          <w:p w14:paraId="4A8DBB47">
            <w:pPr>
              <w:spacing w:after="0"/>
            </w:pPr>
            <w:r>
              <w:t>Shipping log + temperature logger; triggers CAPA (SOP20)</w:t>
            </w:r>
          </w:p>
        </w:tc>
      </w:tr>
      <w:tr w14:paraId="0D83C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51B54886">
            <w:pPr>
              <w:spacing w:after="0"/>
            </w:pPr>
            <w:r>
              <w:t>Lab TAT for concentration output</w:t>
            </w:r>
          </w:p>
        </w:tc>
        <w:tc>
          <w:tcPr>
            <w:tcW w:w="3120" w:type="dxa"/>
            <w:vAlign w:val="top"/>
          </w:tcPr>
          <w:p w14:paraId="587CDD35">
            <w:pPr>
              <w:spacing w:after="0"/>
            </w:pPr>
            <w:r>
              <w:t>≤72 hours (example)</w:t>
            </w:r>
          </w:p>
        </w:tc>
        <w:tc>
          <w:tcPr>
            <w:tcW w:w="3120" w:type="dxa"/>
            <w:vAlign w:val="top"/>
          </w:tcPr>
          <w:p w14:paraId="3EA5A9CA">
            <w:pPr>
              <w:spacing w:after="0"/>
            </w:pPr>
            <w:r>
              <w:t>Central lab; depends on capacity</w:t>
            </w:r>
          </w:p>
        </w:tc>
      </w:tr>
      <w:tr w14:paraId="1782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top"/>
          </w:tcPr>
          <w:p w14:paraId="531F5F15">
            <w:pPr>
              <w:spacing w:after="0"/>
            </w:pPr>
            <w:r>
              <w:t>Query closure cycle</w:t>
            </w:r>
          </w:p>
        </w:tc>
        <w:tc>
          <w:tcPr>
            <w:tcW w:w="3120" w:type="dxa"/>
            <w:vAlign w:val="top"/>
          </w:tcPr>
          <w:p w14:paraId="4624ADD1">
            <w:pPr>
              <w:spacing w:after="0"/>
            </w:pPr>
            <w:r>
              <w:t>≤14 days (example)</w:t>
            </w:r>
          </w:p>
        </w:tc>
        <w:tc>
          <w:tcPr>
            <w:tcW w:w="3120" w:type="dxa"/>
            <w:vAlign w:val="top"/>
          </w:tcPr>
          <w:p w14:paraId="0D18BD64">
            <w:pPr>
              <w:spacing w:after="0"/>
            </w:pPr>
            <w:r>
              <w:t>Data management (SOP19)</w:t>
            </w:r>
          </w:p>
        </w:tc>
      </w:tr>
    </w:tbl>
    <w:p w14:paraId="7030925B">
      <w:pPr>
        <w:pStyle w:val="3"/>
        <w:jc w:val="left"/>
      </w:pPr>
      <w:r>
        <w:t>Chapter 7. Modeling and outputs (research use)</w:t>
      </w:r>
    </w:p>
    <w:p w14:paraId="23A443AE">
      <w:pPr>
        <w:pStyle w:val="4"/>
        <w:jc w:val="left"/>
      </w:pPr>
      <w:r>
        <w:t>7.1 MIPD boundary</w:t>
      </w:r>
    </w:p>
    <w:p w14:paraId="248C3022">
      <w:pPr>
        <w:pStyle w:val="16"/>
        <w:jc w:val="left"/>
      </w:pPr>
      <w:r>
        <w:t>MAP Bayesian estimation using PopPK priors and individual concentrations may be used for research exposure–response and methodological analyses.</w:t>
      </w:r>
    </w:p>
    <w:p w14:paraId="5F3A24AF">
      <w:pPr>
        <w:pStyle w:val="16"/>
        <w:jc w:val="left"/>
      </w:pPr>
      <w:r>
        <w:t>Do not use AUC outputs to adjust randomized doses during trial conduct. If IRB-approved return of results is considered, use controlled disclosure (SOP12) and assess bias/deviation implications (SOP20).</w:t>
      </w:r>
    </w:p>
    <w:p w14:paraId="3991562F">
      <w:pPr>
        <w:pStyle w:val="4"/>
        <w:jc w:val="left"/>
      </w:pPr>
      <w:r>
        <w:t>7.2 Reporting templates</w:t>
      </w:r>
    </w:p>
    <w:p w14:paraId="506BC730">
      <w:pPr>
        <w:pStyle w:val="16"/>
        <w:jc w:val="left"/>
      </w:pPr>
      <w:r>
        <w:t>Reports must state: “research use only; not for clinical decision-making”.</w:t>
      </w:r>
    </w:p>
    <w:p w14:paraId="0C0D6C8D">
      <w:pPr>
        <w:pStyle w:val="16"/>
        <w:jc w:val="left"/>
      </w:pPr>
      <w:r>
        <w:t>Minimum fields: participant ID, dose, dosing &amp; sampling times, concentrations, model version, AUC estimate and uncertainty, QC status.</w:t>
      </w:r>
    </w:p>
    <w:p w14:paraId="7E975681">
      <w:pPr>
        <w:pStyle w:val="3"/>
        <w:jc w:val="left"/>
      </w:pPr>
      <w:r>
        <w:t>Chapter 8. Deviations/CAPA and audit readiness</w:t>
      </w:r>
    </w:p>
    <w:p w14:paraId="6140490E">
      <w:pPr>
        <w:pStyle w:val="4"/>
        <w:jc w:val="left"/>
      </w:pPr>
      <w:r>
        <w:t>8.1 Frequent deviation triggers (examples)</w:t>
      </w:r>
    </w:p>
    <w:p w14:paraId="704E8B87">
      <w:pPr>
        <w:pStyle w:val="16"/>
        <w:jc w:val="left"/>
      </w:pPr>
      <w:r>
        <w:t>Out-of-window sampling or missing critical timepoints; incomplete dosing/sampling time documentation.</w:t>
      </w:r>
    </w:p>
    <w:p w14:paraId="3588A914">
      <w:pPr>
        <w:pStyle w:val="16"/>
        <w:jc w:val="left"/>
      </w:pPr>
      <w:r>
        <w:t>Labeling errors, missing primary/backup aliquots, temperature excursions, shipping delays.</w:t>
      </w:r>
    </w:p>
    <w:p w14:paraId="3504DEA0">
      <w:pPr>
        <w:pStyle w:val="16"/>
        <w:jc w:val="left"/>
      </w:pPr>
      <w:r>
        <w:t>Unauthorized access to exploratory results or use for clinical decisions (firewall breach).</w:t>
      </w:r>
    </w:p>
    <w:p w14:paraId="33EFB252">
      <w:pPr>
        <w:pStyle w:val="16"/>
        <w:jc w:val="left"/>
      </w:pPr>
      <w:r>
        <w:t>Off-protocol dose changes without safety justification.</w:t>
      </w:r>
    </w:p>
    <w:p w14:paraId="4A6DBAA4">
      <w:pPr>
        <w:pStyle w:val="4"/>
        <w:jc w:val="left"/>
      </w:pPr>
      <w:r>
        <w:t>8.2 Handling</w:t>
      </w:r>
    </w:p>
    <w:p w14:paraId="4FCFAE4F">
      <w:pPr>
        <w:pStyle w:val="16"/>
        <w:jc w:val="left"/>
      </w:pPr>
      <w:r>
        <w:t>Document → grade (major/non-major) → root cause → CAPA → verification and closure per SOP20.</w:t>
      </w:r>
    </w:p>
    <w:p w14:paraId="3F47AC44">
      <w:pPr>
        <w:pStyle w:val="16"/>
        <w:jc w:val="left"/>
      </w:pPr>
      <w:r>
        <w:t>Critical deviations affecting data/sample chain require coordination with data management (SOP19) and quality/ethics as required.</w:t>
      </w:r>
    </w:p>
    <w:p w14:paraId="3070D63C">
      <w:pPr>
        <w:pStyle w:val="3"/>
        <w:jc w:val="left"/>
      </w:pPr>
      <w:r>
        <w:t>Appendices</w:t>
      </w:r>
    </w:p>
    <w:p w14:paraId="2C7D14EA">
      <w:pPr>
        <w:pStyle w:val="4"/>
        <w:jc w:val="left"/>
      </w:pPr>
      <w:r>
        <w:t>Appendix A. LC-MS/MS and batch acceptance (summary)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E54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top"/>
          </w:tcPr>
          <w:p w14:paraId="5392BC16">
            <w:pPr>
              <w:spacing w:after="0"/>
            </w:pPr>
            <w:r>
              <w:t>Item</w:t>
            </w:r>
          </w:p>
        </w:tc>
        <w:tc>
          <w:tcPr>
            <w:tcW w:w="4680" w:type="dxa"/>
            <w:vAlign w:val="top"/>
          </w:tcPr>
          <w:p w14:paraId="0FE663CC">
            <w:pPr>
              <w:spacing w:after="0"/>
            </w:pPr>
            <w:r>
              <w:t>Requirement (example)</w:t>
            </w:r>
          </w:p>
        </w:tc>
      </w:tr>
      <w:tr w14:paraId="088AC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top"/>
          </w:tcPr>
          <w:p w14:paraId="5D909A00">
            <w:pPr>
              <w:spacing w:after="0"/>
            </w:pPr>
            <w:r>
              <w:t>LLOQ</w:t>
            </w:r>
          </w:p>
        </w:tc>
        <w:tc>
          <w:tcPr>
            <w:tcW w:w="4680" w:type="dxa"/>
            <w:vAlign w:val="top"/>
          </w:tcPr>
          <w:p w14:paraId="3DDE5F96">
            <w:pPr>
              <w:spacing w:after="0"/>
            </w:pPr>
            <w:r>
              <w:t>RPT 60 ng/mL; dRPT 30 ng/mL (per lab validation)</w:t>
            </w:r>
          </w:p>
        </w:tc>
      </w:tr>
      <w:tr w14:paraId="5EA8F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top"/>
          </w:tcPr>
          <w:p w14:paraId="4ED9588B">
            <w:pPr>
              <w:spacing w:after="0"/>
            </w:pPr>
            <w:r>
              <w:t>Calibration</w:t>
            </w:r>
          </w:p>
        </w:tc>
        <w:tc>
          <w:tcPr>
            <w:tcW w:w="4680" w:type="dxa"/>
            <w:vAlign w:val="top"/>
          </w:tcPr>
          <w:p w14:paraId="60D5CF94">
            <w:pPr>
              <w:spacing w:after="0"/>
            </w:pPr>
            <w:r>
              <w:t>≥6 calibrators per batch; ≥75% within ±15% (LLOQ ±20%)</w:t>
            </w:r>
          </w:p>
        </w:tc>
      </w:tr>
      <w:tr w14:paraId="08053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top"/>
          </w:tcPr>
          <w:p w14:paraId="75F0EDAF">
            <w:pPr>
              <w:spacing w:after="0"/>
            </w:pPr>
            <w:r>
              <w:t>QC</w:t>
            </w:r>
          </w:p>
        </w:tc>
        <w:tc>
          <w:tcPr>
            <w:tcW w:w="4680" w:type="dxa"/>
            <w:vAlign w:val="top"/>
          </w:tcPr>
          <w:p w14:paraId="28BEE3B7">
            <w:pPr>
              <w:spacing w:after="0"/>
            </w:pPr>
            <w:r>
              <w:t>≥3 levels; ≥2 each; ≥67% within ±15% (LLOQ ±20%)</w:t>
            </w:r>
          </w:p>
        </w:tc>
      </w:tr>
      <w:tr w14:paraId="3A97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top"/>
          </w:tcPr>
          <w:p w14:paraId="088014FB">
            <w:pPr>
              <w:spacing w:after="0"/>
            </w:pPr>
            <w:r>
              <w:t>Prohibited handling</w:t>
            </w:r>
          </w:p>
        </w:tc>
        <w:tc>
          <w:tcPr>
            <w:tcW w:w="4680" w:type="dxa"/>
            <w:vAlign w:val="top"/>
          </w:tcPr>
          <w:p w14:paraId="44918E2B">
            <w:pPr>
              <w:spacing w:after="0"/>
            </w:pPr>
            <w:r>
              <w:t>No heat inactivation; protect from light; record freeze-thaw cycles</w:t>
            </w:r>
          </w:p>
        </w:tc>
      </w:tr>
    </w:tbl>
    <w:p w14:paraId="038381E1">
      <w:pPr>
        <w:pStyle w:val="4"/>
        <w:jc w:val="left"/>
      </w:pPr>
      <w:r>
        <w:t>Appendix B. PK sampling record (template)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562"/>
        <w:gridCol w:w="562"/>
        <w:gridCol w:w="1079"/>
        <w:gridCol w:w="638"/>
        <w:gridCol w:w="925"/>
        <w:gridCol w:w="779"/>
        <w:gridCol w:w="655"/>
        <w:gridCol w:w="879"/>
        <w:gridCol w:w="753"/>
        <w:gridCol w:w="922"/>
        <w:gridCol w:w="851"/>
      </w:tblGrid>
      <w:tr w14:paraId="3414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vAlign w:val="top"/>
          </w:tcPr>
          <w:p w14:paraId="414AEBBB">
            <w:pPr>
              <w:spacing w:after="0"/>
            </w:pPr>
            <w:r>
              <w:t>Participant ID</w:t>
            </w:r>
          </w:p>
        </w:tc>
        <w:tc>
          <w:tcPr>
            <w:tcW w:w="780" w:type="dxa"/>
            <w:vAlign w:val="top"/>
          </w:tcPr>
          <w:p w14:paraId="54B252D0">
            <w:pPr>
              <w:spacing w:after="0"/>
            </w:pPr>
            <w:r>
              <w:t>Dose date</w:t>
            </w:r>
          </w:p>
        </w:tc>
        <w:tc>
          <w:tcPr>
            <w:tcW w:w="780" w:type="dxa"/>
            <w:vAlign w:val="top"/>
          </w:tcPr>
          <w:p w14:paraId="28256AF8">
            <w:pPr>
              <w:spacing w:after="0"/>
            </w:pPr>
            <w:r>
              <w:t>Dose time</w:t>
            </w:r>
          </w:p>
        </w:tc>
        <w:tc>
          <w:tcPr>
            <w:tcW w:w="780" w:type="dxa"/>
            <w:vAlign w:val="top"/>
          </w:tcPr>
          <w:p w14:paraId="3CBD2FD6">
            <w:pPr>
              <w:spacing w:after="0"/>
            </w:pPr>
            <w:r>
              <w:t>Dose (mg/tablets)</w:t>
            </w:r>
          </w:p>
        </w:tc>
        <w:tc>
          <w:tcPr>
            <w:tcW w:w="780" w:type="dxa"/>
            <w:vAlign w:val="top"/>
          </w:tcPr>
          <w:p w14:paraId="57C45AC3">
            <w:pPr>
              <w:spacing w:after="0"/>
            </w:pPr>
            <w:r>
              <w:t>With meal?</w:t>
            </w:r>
          </w:p>
        </w:tc>
        <w:tc>
          <w:tcPr>
            <w:tcW w:w="780" w:type="dxa"/>
            <w:vAlign w:val="top"/>
          </w:tcPr>
          <w:p w14:paraId="6894CE52">
            <w:pPr>
              <w:spacing w:after="0"/>
            </w:pPr>
            <w:r>
              <w:t>Timepoint</w:t>
            </w:r>
          </w:p>
        </w:tc>
        <w:tc>
          <w:tcPr>
            <w:tcW w:w="780" w:type="dxa"/>
            <w:vAlign w:val="top"/>
          </w:tcPr>
          <w:p w14:paraId="398F7F20">
            <w:pPr>
              <w:spacing w:after="0"/>
            </w:pPr>
            <w:r>
              <w:t>Planned time</w:t>
            </w:r>
          </w:p>
        </w:tc>
        <w:tc>
          <w:tcPr>
            <w:tcW w:w="780" w:type="dxa"/>
            <w:vAlign w:val="top"/>
          </w:tcPr>
          <w:p w14:paraId="0E1A0C0B">
            <w:pPr>
              <w:spacing w:after="0"/>
            </w:pPr>
            <w:r>
              <w:t>Actual time</w:t>
            </w:r>
          </w:p>
        </w:tc>
        <w:tc>
          <w:tcPr>
            <w:tcW w:w="780" w:type="dxa"/>
            <w:vAlign w:val="top"/>
          </w:tcPr>
          <w:p w14:paraId="5EAD5BF4">
            <w:pPr>
              <w:spacing w:after="0"/>
            </w:pPr>
            <w:r>
              <w:t>Deviation (min)</w:t>
            </w:r>
          </w:p>
        </w:tc>
        <w:tc>
          <w:tcPr>
            <w:tcW w:w="780" w:type="dxa"/>
            <w:vAlign w:val="top"/>
          </w:tcPr>
          <w:p w14:paraId="15AADD2D">
            <w:pPr>
              <w:spacing w:after="0"/>
            </w:pPr>
            <w:r>
              <w:t>Volume</w:t>
            </w:r>
          </w:p>
        </w:tc>
        <w:tc>
          <w:tcPr>
            <w:tcW w:w="780" w:type="dxa"/>
            <w:vAlign w:val="top"/>
          </w:tcPr>
          <w:p w14:paraId="630D2D74">
            <w:pPr>
              <w:spacing w:after="0"/>
            </w:pPr>
            <w:r>
              <w:t>Hemolysis (Y/N)</w:t>
            </w:r>
          </w:p>
        </w:tc>
        <w:tc>
          <w:tcPr>
            <w:tcW w:w="780" w:type="dxa"/>
            <w:vAlign w:val="top"/>
          </w:tcPr>
          <w:p w14:paraId="7C46A1E6">
            <w:pPr>
              <w:spacing w:after="0"/>
            </w:pPr>
            <w:r>
              <w:t>Operator</w:t>
            </w:r>
          </w:p>
        </w:tc>
      </w:tr>
    </w:tbl>
    <w:p w14:paraId="569016FE">
      <w:pPr>
        <w:pStyle w:val="4"/>
        <w:jc w:val="left"/>
      </w:pPr>
      <w:r>
        <w:t>Appendix C. Sample transfer and shipping log (template)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134"/>
        <w:gridCol w:w="1058"/>
        <w:gridCol w:w="1079"/>
        <w:gridCol w:w="623"/>
        <w:gridCol w:w="896"/>
        <w:gridCol w:w="744"/>
        <w:gridCol w:w="602"/>
        <w:gridCol w:w="977"/>
        <w:gridCol w:w="1627"/>
      </w:tblGrid>
      <w:tr w14:paraId="5FFEF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top"/>
          </w:tcPr>
          <w:p w14:paraId="0912BBEF">
            <w:pPr>
              <w:spacing w:after="0"/>
            </w:pPr>
            <w:r>
              <w:t>Sample ID</w:t>
            </w:r>
          </w:p>
        </w:tc>
        <w:tc>
          <w:tcPr>
            <w:tcW w:w="936" w:type="dxa"/>
            <w:vAlign w:val="top"/>
          </w:tcPr>
          <w:p w14:paraId="51F2684D">
            <w:pPr>
              <w:spacing w:after="0"/>
            </w:pPr>
            <w:r>
              <w:t>Participant ID</w:t>
            </w:r>
          </w:p>
        </w:tc>
        <w:tc>
          <w:tcPr>
            <w:tcW w:w="936" w:type="dxa"/>
            <w:vAlign w:val="top"/>
          </w:tcPr>
          <w:p w14:paraId="0C8D357A">
            <w:pPr>
              <w:spacing w:after="0"/>
            </w:pPr>
            <w:r>
              <w:t>Collection date</w:t>
            </w:r>
          </w:p>
        </w:tc>
        <w:tc>
          <w:tcPr>
            <w:tcW w:w="936" w:type="dxa"/>
            <w:vAlign w:val="top"/>
          </w:tcPr>
          <w:p w14:paraId="55BFBE05">
            <w:pPr>
              <w:spacing w:after="0"/>
            </w:pPr>
            <w:r>
              <w:t>Timepoint</w:t>
            </w:r>
          </w:p>
        </w:tc>
        <w:tc>
          <w:tcPr>
            <w:tcW w:w="936" w:type="dxa"/>
            <w:vAlign w:val="top"/>
          </w:tcPr>
          <w:p w14:paraId="0438D178">
            <w:pPr>
              <w:spacing w:after="0"/>
            </w:pPr>
            <w:r>
              <w:t>Type</w:t>
            </w:r>
          </w:p>
        </w:tc>
        <w:tc>
          <w:tcPr>
            <w:tcW w:w="936" w:type="dxa"/>
            <w:vAlign w:val="top"/>
          </w:tcPr>
          <w:p w14:paraId="10D7A11F">
            <w:pPr>
              <w:spacing w:after="0"/>
            </w:pPr>
            <w:r>
              <w:t>Storage location</w:t>
            </w:r>
          </w:p>
        </w:tc>
        <w:tc>
          <w:tcPr>
            <w:tcW w:w="936" w:type="dxa"/>
            <w:vAlign w:val="top"/>
          </w:tcPr>
          <w:p w14:paraId="1A2477AA">
            <w:pPr>
              <w:spacing w:after="0"/>
            </w:pPr>
            <w:r>
              <w:t>Temp logger ID</w:t>
            </w:r>
          </w:p>
        </w:tc>
        <w:tc>
          <w:tcPr>
            <w:tcW w:w="936" w:type="dxa"/>
            <w:vAlign w:val="top"/>
          </w:tcPr>
          <w:p w14:paraId="5E074337">
            <w:pPr>
              <w:spacing w:after="0"/>
            </w:pPr>
            <w:r>
              <w:t>Sent time</w:t>
            </w:r>
          </w:p>
        </w:tc>
        <w:tc>
          <w:tcPr>
            <w:tcW w:w="936" w:type="dxa"/>
            <w:vAlign w:val="top"/>
          </w:tcPr>
          <w:p w14:paraId="30FFB199">
            <w:pPr>
              <w:spacing w:after="0"/>
            </w:pPr>
            <w:r>
              <w:t>Received time</w:t>
            </w:r>
          </w:p>
        </w:tc>
        <w:tc>
          <w:tcPr>
            <w:tcW w:w="936" w:type="dxa"/>
            <w:vAlign w:val="top"/>
          </w:tcPr>
          <w:p w14:paraId="0F586EE1">
            <w:pPr>
              <w:spacing w:after="0"/>
            </w:pPr>
            <w:r>
              <w:t>Status/Deviation</w:t>
            </w:r>
          </w:p>
        </w:tc>
      </w:tr>
    </w:tbl>
    <w:p w14:paraId="5437D067">
      <w:pPr>
        <w:pStyle w:val="4"/>
        <w:jc w:val="left"/>
      </w:pPr>
      <w:r>
        <w:t>Appendix D. Research TDM/modeling report (controlled template)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35E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top"/>
          </w:tcPr>
          <w:p w14:paraId="4E24E6D9">
            <w:pPr>
              <w:spacing w:after="0"/>
            </w:pPr>
            <w:r>
              <w:t>Field</w:t>
            </w:r>
          </w:p>
        </w:tc>
        <w:tc>
          <w:tcPr>
            <w:tcW w:w="4680" w:type="dxa"/>
            <w:vAlign w:val="top"/>
          </w:tcPr>
          <w:p w14:paraId="09AB40A1">
            <w:pPr>
              <w:spacing w:after="0"/>
            </w:pPr>
            <w:r>
              <w:t>Content</w:t>
            </w:r>
          </w:p>
        </w:tc>
      </w:tr>
      <w:tr w14:paraId="590F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vAlign w:val="top"/>
          </w:tcPr>
          <w:p w14:paraId="6F15553C">
            <w:pPr>
              <w:spacing w:after="0"/>
            </w:pPr>
            <w:r>
              <w:t>Intended use</w:t>
            </w:r>
          </w:p>
        </w:tc>
        <w:tc>
          <w:tcPr>
            <w:tcW w:w="4680" w:type="dxa"/>
            <w:vAlign w:val="top"/>
          </w:tcPr>
          <w:p w14:paraId="7C6D0C91">
            <w:pPr>
              <w:spacing w:after="0"/>
            </w:pPr>
            <w:r>
              <w:t>Research use only; not for clinical decisions</w:t>
            </w:r>
          </w:p>
        </w:tc>
      </w:tr>
      <w:tr w14:paraId="6C3B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top"/>
          </w:tcPr>
          <w:p w14:paraId="753ADE98">
            <w:pPr>
              <w:spacing w:after="0"/>
            </w:pPr>
            <w:r>
              <w:t>Model version</w:t>
            </w:r>
          </w:p>
        </w:tc>
        <w:tc>
          <w:tcPr>
            <w:tcW w:w="4680" w:type="dxa"/>
            <w:vAlign w:val="top"/>
          </w:tcPr>
          <w:p w14:paraId="22D46842">
            <w:pPr>
              <w:spacing w:after="0"/>
            </w:pPr>
          </w:p>
        </w:tc>
      </w:tr>
      <w:tr w14:paraId="683EE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top"/>
          </w:tcPr>
          <w:p w14:paraId="128E198C">
            <w:pPr>
              <w:spacing w:after="0"/>
            </w:pPr>
            <w:r>
              <w:t>Steady-state AUC0-24</w:t>
            </w:r>
          </w:p>
        </w:tc>
        <w:tc>
          <w:tcPr>
            <w:tcW w:w="4680" w:type="dxa"/>
            <w:vAlign w:val="top"/>
          </w:tcPr>
          <w:p w14:paraId="07D7A961">
            <w:pPr>
              <w:spacing w:after="0"/>
            </w:pPr>
          </w:p>
        </w:tc>
      </w:tr>
      <w:tr w14:paraId="66543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top"/>
          </w:tcPr>
          <w:p w14:paraId="5EA2A0A0">
            <w:pPr>
              <w:spacing w:after="0"/>
            </w:pPr>
            <w:r>
              <w:t>QC status</w:t>
            </w:r>
          </w:p>
        </w:tc>
        <w:tc>
          <w:tcPr>
            <w:tcW w:w="4680" w:type="dxa"/>
            <w:vAlign w:val="top"/>
          </w:tcPr>
          <w:p w14:paraId="073F39E8">
            <w:pPr>
              <w:spacing w:after="0"/>
            </w:pPr>
          </w:p>
        </w:tc>
      </w:tr>
      <w:tr w14:paraId="03E8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top"/>
          </w:tcPr>
          <w:p w14:paraId="6D3F5F5F">
            <w:pPr>
              <w:spacing w:after="0"/>
            </w:pPr>
            <w:r>
              <w:t>Notes</w:t>
            </w:r>
          </w:p>
        </w:tc>
        <w:tc>
          <w:tcPr>
            <w:tcW w:w="4680" w:type="dxa"/>
            <w:vAlign w:val="top"/>
          </w:tcPr>
          <w:p w14:paraId="1A8FE2C0">
            <w:pPr>
              <w:spacing w:after="0"/>
            </w:pPr>
            <w:r>
              <w:t>Controlled disclosure follows SOP12</w:t>
            </w:r>
          </w:p>
        </w:tc>
      </w:tr>
    </w:tbl>
    <w:p w14:paraId="6FC0AA6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9A55F1"/>
    <w:rsid w:val="42DE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1323</Words>
  <Characters>8647</Characters>
  <Lines>0</Lines>
  <Paragraphs>0</Paragraphs>
  <TotalTime>0</TotalTime>
  <ScaleCrop>false</ScaleCrop>
  <LinksUpToDate>false</LinksUpToDate>
  <CharactersWithSpaces>9778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2026-03-04T13:37:15Z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F46C2ED723DA44F9AF3A574AE1667648_12</vt:lpwstr>
  </property>
</Properties>
</file>