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F45FB">
      <w:pPr>
        <w:pStyle w:val="31"/>
        <w:widowControl/>
        <w:ind w:firstLine="2891" w:firstLineChars="900"/>
      </w:pPr>
      <w:r>
        <w:t>TDSC 研究 SOP09</w:t>
      </w:r>
    </w:p>
    <w:p w14:paraId="193681D9">
      <w:pPr>
        <w:pStyle w:val="164"/>
        <w:widowControl/>
      </w:pPr>
      <w:r>
        <w:t>EDC 自动分级规则表——实验室与心电（QTcF）</w:t>
      </w:r>
    </w:p>
    <w:p w14:paraId="2901EFA1">
      <w:pPr>
        <w:pStyle w:val="31"/>
        <w:widowControl/>
        <w:ind w:firstLine="964" w:firstLineChars="300"/>
      </w:pPr>
      <w:r>
        <w:t>Auto-grading Rules (Laboratory &amp; ECG QTcF)</w:t>
      </w:r>
    </w:p>
    <w:p w14:paraId="1F15408A">
      <w:pPr>
        <w:jc w:val="left"/>
      </w:pP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 w14:paraId="58893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1BB45A9">
            <w:pPr>
              <w:pStyle w:val="19"/>
              <w:widowControl/>
            </w:pPr>
            <w:r>
              <w:t>SOP编号</w:t>
            </w:r>
          </w:p>
        </w:tc>
        <w:tc>
          <w:tcPr>
            <w:tcW w:w="2500" w:type="pct"/>
          </w:tcPr>
          <w:p w14:paraId="1BC10A70">
            <w:pPr>
              <w:pStyle w:val="19"/>
              <w:widowControl/>
            </w:pPr>
            <w:r>
              <w:t>TDSC-SOP09</w:t>
            </w:r>
          </w:p>
        </w:tc>
      </w:tr>
      <w:tr w14:paraId="597F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5B7010BB">
            <w:pPr>
              <w:pStyle w:val="19"/>
              <w:widowControl/>
            </w:pPr>
            <w:r>
              <w:t>版本</w:t>
            </w:r>
          </w:p>
        </w:tc>
        <w:tc>
          <w:tcPr>
            <w:tcW w:w="2500" w:type="pct"/>
          </w:tcPr>
          <w:p w14:paraId="37A9D3B8">
            <w:pPr>
              <w:pStyle w:val="19"/>
              <w:widowControl/>
            </w:pPr>
            <w:r>
              <w:t>V1.1</w:t>
            </w:r>
          </w:p>
        </w:tc>
      </w:tr>
      <w:tr w14:paraId="2DFE8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93C0752">
            <w:pPr>
              <w:pStyle w:val="19"/>
              <w:widowControl/>
            </w:pPr>
            <w:r>
              <w:t>生效日期</w:t>
            </w:r>
          </w:p>
        </w:tc>
        <w:tc>
          <w:tcPr>
            <w:tcW w:w="2500" w:type="pct"/>
          </w:tcPr>
          <w:p w14:paraId="49B8396B">
            <w:pPr>
              <w:pStyle w:val="19"/>
              <w:widowControl/>
            </w:pPr>
            <w:r>
              <w:t>2026-03-04</w:t>
            </w:r>
          </w:p>
        </w:tc>
      </w:tr>
      <w:tr w14:paraId="521BB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C6E924D">
            <w:pPr>
              <w:pStyle w:val="19"/>
              <w:widowControl/>
            </w:pPr>
            <w:r>
              <w:t>依据</w:t>
            </w:r>
          </w:p>
        </w:tc>
        <w:tc>
          <w:tcPr>
            <w:tcW w:w="2500" w:type="pct"/>
          </w:tcPr>
          <w:p w14:paraId="68750B24">
            <w:pPr>
              <w:pStyle w:val="19"/>
              <w:widowControl/>
            </w:pPr>
            <w:r>
              <w:t>DAIDS AE Grading Table v2.1（Corrected, 2017-07）+ TDSC研究方案/Protocol V2.0（2026-02-28）安全性条款</w:t>
            </w:r>
          </w:p>
        </w:tc>
      </w:tr>
      <w:tr w14:paraId="00FB8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29DB68C">
            <w:pPr>
              <w:pStyle w:val="19"/>
              <w:widowControl/>
            </w:pPr>
            <w:r>
              <w:t>适用对象</w:t>
            </w:r>
          </w:p>
        </w:tc>
        <w:tc>
          <w:tcPr>
            <w:tcW w:w="2500" w:type="pct"/>
          </w:tcPr>
          <w:p w14:paraId="54283FC0">
            <w:pPr>
              <w:pStyle w:val="19"/>
              <w:widowControl/>
            </w:pPr>
            <w:r>
              <w:t>EDC建库/数据管理人员、研究者、研究护士、CRC、质控/监查人员</w:t>
            </w:r>
          </w:p>
        </w:tc>
      </w:tr>
      <w:tr w14:paraId="096BF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313B5BF5">
            <w:pPr>
              <w:pStyle w:val="19"/>
              <w:widowControl/>
            </w:pPr>
            <w:r>
              <w:t>关联文件</w:t>
            </w:r>
          </w:p>
        </w:tc>
        <w:tc>
          <w:tcPr>
            <w:tcW w:w="2500" w:type="pct"/>
          </w:tcPr>
          <w:p w14:paraId="46E16F04">
            <w:pPr>
              <w:pStyle w:val="19"/>
              <w:widowControl/>
            </w:pPr>
            <w:r>
              <w:t>SOP06（Integrated AE Capture，含附录A/B）；SOP10（AE Management Playbook）；SOP00（文件体系与版本控制/培训管理）；（如有）随机化规格书/EDC数据字典/EDC验证与UAT记录</w:t>
            </w:r>
          </w:p>
        </w:tc>
      </w:tr>
    </w:tbl>
    <w:p w14:paraId="742F3F17">
      <w:pPr>
        <w:jc w:val="left"/>
      </w:pPr>
    </w:p>
    <w:p w14:paraId="71C4A25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70E0219E">
      <w:pPr>
        <w:pStyle w:val="19"/>
        <w:widowControl/>
      </w:pPr>
      <w:r>
        <w:t>在EDC中对关键实验室与心电（QTcF）数据实现自动分级与自动触发：（1）实验室异常按DAIDS阈值自动计算Grade（1–4），研究者仅需完成临床意义、因果关系、处置、是否SAE/AESI/IRE等确认；（2）QTcF按研究方案规则自动生成风险分层与处置提示，并与电解质异常联动生成复核任务单；（3）对TB-DM人群特异重大风险（如严重低血糖/疑似DKA/HHS）提供研究特异的“红旗触发”（不替代DAIDS分级）。</w:t>
      </w:r>
    </w:p>
    <w:p w14:paraId="59D19BC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0F1F2B4A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适用于TDSC研究成人受试者在筛选期、治疗期及随访期的实验室检查与心电图（QTcF）数据采集与自动分级。</w:t>
      </w:r>
    </w:p>
    <w:p w14:paraId="0FD34B12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本SOP仅定义EDC自动计算/触发规则；临床处置与上报时限以SOP10为准，PRO-CTCAE红旗闭环以SOP06为准。</w:t>
      </w:r>
    </w:p>
    <w:p w14:paraId="0DCF9ADE">
      <w:pPr>
        <w:pStyle w:val="19"/>
        <w:widowControl/>
        <w:numPr>
          <w:ilvl w:val="0"/>
          <w:numId w:val="8"/>
        </w:numPr>
        <w:ind w:left="425" w:leftChars="0" w:hanging="425" w:firstLineChars="0"/>
      </w:pPr>
      <w:r>
        <w:t>如当地实验室参考范围（ULN/LLN）或单位不一致，须先完成标准化/转换与校验后再计算。</w:t>
      </w:r>
    </w:p>
    <w:p w14:paraId="550C744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角色与职责</w:t>
      </w:r>
    </w:p>
    <w:p w14:paraId="108B233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EDC建库/数据管理：按本SOP实现字段、单位、逻辑、审计追踪与Query规则；维护逻辑版本与UAT证据。</w:t>
      </w:r>
    </w:p>
    <w:p w14:paraId="02E3FD41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研究者/研究护士：核对自动分级结果，完成医学判断（临床意义/因果关系/处置/是否SAE/AESI/IRE）并闭环。</w:t>
      </w:r>
    </w:p>
    <w:p w14:paraId="3707B0A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CRC：协助核对源数据、完成数据补全与Query回复，不得替代研究者医学判断。</w:t>
      </w:r>
    </w:p>
    <w:p w14:paraId="4C9F3D7B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质控/监查：核查自动逻辑执行一致性、缺失与异常处理是否合规；抽查任务单响应时效。</w:t>
      </w:r>
    </w:p>
    <w:p w14:paraId="7A59C70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通用数据标准与计算规则（写入EDC逻辑）</w:t>
      </w:r>
    </w:p>
    <w:p w14:paraId="01F739E5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输入字段（每条结果必须齐全）：受试者ID、访视号/日期、检测项目、结果值、单位、当地参考范围（ULN/LLN或参考区间）、基线值（如需）、性别（用于Hb/QT阈值）、年龄（用于少数条目分层）。</w:t>
      </w:r>
    </w:p>
    <w:p w14:paraId="4EB41F5D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输出字段：DAIDS Grade（1–4）、计算方式（绝对值/×ULN/×LLN/相对基线）、触发标志（绿/黄/红/红线）、自动生成的复核任务单（如适用）。</w:t>
      </w:r>
    </w:p>
    <w:p w14:paraId="2392A98F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分级取“最重原则”：同一项目若同时满足多种规则（如肌酐既可按×ULN又可按×基线），取较高Grade。</w:t>
      </w:r>
    </w:p>
    <w:p w14:paraId="2743D428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单位处理：优先EDC</w:t>
      </w:r>
      <w:bookmarkStart w:id="0" w:name="_GoBack"/>
      <w:bookmarkEnd w:id="0"/>
      <w:r>
        <w:t>内部统一存储为标准单位；如允许多单位录入，须先转换后再计算Grade（转换因子见第5节）。</w:t>
      </w:r>
    </w:p>
    <w:p w14:paraId="477B22FB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缺失处理：若缺ULN/LLN、单位不匹配、或数值超出合理范围，EDC不计算Grade并自动发出数据质控Query。</w:t>
      </w:r>
    </w:p>
    <w:p w14:paraId="3F93DAC1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重复检测：同一访视窗口存在多次结果，EDC保留全部记录；安全触发以“最高Grade/最异常值”触发（由数据管理在建库时锁定）。</w:t>
      </w:r>
    </w:p>
    <w:p w14:paraId="3D4B3612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禁止人工覆盖自动Grade：如需更正，必须更正源数据（单位/ULN/数值）后触发重新计算并保留审计追踪。</w:t>
      </w:r>
    </w:p>
    <w:p w14:paraId="7854EB61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关键单位换算（如EDC采用标准单位）</w:t>
      </w:r>
    </w:p>
    <w:tbl>
      <w:tblPr>
        <w:tblStyle w:val="33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649"/>
        <w:gridCol w:w="3100"/>
        <w:gridCol w:w="2809"/>
      </w:tblGrid>
      <w:tr w14:paraId="40F02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9" w:type="pct"/>
            <w:vAlign w:val="top"/>
          </w:tcPr>
          <w:p w14:paraId="2B435DF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项目</w:t>
            </w:r>
          </w:p>
        </w:tc>
        <w:tc>
          <w:tcPr>
            <w:tcW w:w="909" w:type="pct"/>
            <w:vAlign w:val="top"/>
          </w:tcPr>
          <w:p w14:paraId="28F2DA7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常见单位A</w:t>
            </w:r>
          </w:p>
        </w:tc>
        <w:tc>
          <w:tcPr>
            <w:tcW w:w="1666" w:type="pct"/>
            <w:vAlign w:val="top"/>
          </w:tcPr>
          <w:p w14:paraId="4E9870D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转换到单位B</w:t>
            </w:r>
          </w:p>
        </w:tc>
        <w:tc>
          <w:tcPr>
            <w:tcW w:w="1514" w:type="pct"/>
            <w:vAlign w:val="top"/>
          </w:tcPr>
          <w:p w14:paraId="6AED008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备注</w:t>
            </w:r>
          </w:p>
        </w:tc>
      </w:tr>
      <w:tr w14:paraId="594BD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9" w:type="pct"/>
            <w:vAlign w:val="top"/>
          </w:tcPr>
          <w:p w14:paraId="76A1B7D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镁（Mg）</w:t>
            </w:r>
          </w:p>
        </w:tc>
        <w:tc>
          <w:tcPr>
            <w:tcW w:w="909" w:type="pct"/>
            <w:vAlign w:val="top"/>
          </w:tcPr>
          <w:p w14:paraId="4B7FAA0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mg/dL</w:t>
            </w:r>
          </w:p>
        </w:tc>
        <w:tc>
          <w:tcPr>
            <w:tcW w:w="1666" w:type="pct"/>
            <w:vAlign w:val="top"/>
          </w:tcPr>
          <w:p w14:paraId="1A63A60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mmol/L = mg/dL × 0.4114</w:t>
            </w:r>
          </w:p>
        </w:tc>
        <w:tc>
          <w:tcPr>
            <w:tcW w:w="1514" w:type="pct"/>
            <w:vAlign w:val="top"/>
          </w:tcPr>
          <w:p w14:paraId="24FEAB1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按DAIDS附注</w:t>
            </w:r>
          </w:p>
        </w:tc>
      </w:tr>
      <w:tr w14:paraId="1D0D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9" w:type="pct"/>
            <w:vAlign w:val="top"/>
          </w:tcPr>
          <w:p w14:paraId="75A7F7E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钙（Ca）</w:t>
            </w:r>
          </w:p>
        </w:tc>
        <w:tc>
          <w:tcPr>
            <w:tcW w:w="909" w:type="pct"/>
            <w:vAlign w:val="top"/>
          </w:tcPr>
          <w:p w14:paraId="6FAB7EA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mg/dL</w:t>
            </w:r>
          </w:p>
        </w:tc>
        <w:tc>
          <w:tcPr>
            <w:tcW w:w="1666" w:type="pct"/>
            <w:vAlign w:val="top"/>
          </w:tcPr>
          <w:p w14:paraId="3565A46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mmol/L = mg/dL × 0.2495</w:t>
            </w:r>
          </w:p>
        </w:tc>
        <w:tc>
          <w:tcPr>
            <w:tcW w:w="1514" w:type="pct"/>
            <w:vAlign w:val="top"/>
          </w:tcPr>
          <w:p w14:paraId="4E92D6E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如采用mmol/L分级</w:t>
            </w:r>
          </w:p>
        </w:tc>
      </w:tr>
      <w:tr w14:paraId="55A2F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9" w:type="pct"/>
            <w:vAlign w:val="top"/>
          </w:tcPr>
          <w:p w14:paraId="304D7CB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钾（K）</w:t>
            </w:r>
          </w:p>
        </w:tc>
        <w:tc>
          <w:tcPr>
            <w:tcW w:w="909" w:type="pct"/>
            <w:vAlign w:val="top"/>
          </w:tcPr>
          <w:p w14:paraId="2FC7B71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mmol/L</w:t>
            </w:r>
          </w:p>
        </w:tc>
        <w:tc>
          <w:tcPr>
            <w:tcW w:w="1666" w:type="pct"/>
            <w:vAlign w:val="top"/>
          </w:tcPr>
          <w:p w14:paraId="3990C77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不建议换算</w:t>
            </w:r>
          </w:p>
        </w:tc>
        <w:tc>
          <w:tcPr>
            <w:tcW w:w="1514" w:type="pct"/>
            <w:vAlign w:val="top"/>
          </w:tcPr>
          <w:p w14:paraId="755F9F1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以mmol/L为准</w:t>
            </w:r>
          </w:p>
        </w:tc>
      </w:tr>
      <w:tr w14:paraId="119C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9" w:type="pct"/>
            <w:vAlign w:val="top"/>
          </w:tcPr>
          <w:p w14:paraId="2BA224C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ALT/AST/TBil/Cr</w:t>
            </w:r>
          </w:p>
        </w:tc>
        <w:tc>
          <w:tcPr>
            <w:tcW w:w="909" w:type="pct"/>
            <w:vAlign w:val="top"/>
          </w:tcPr>
          <w:p w14:paraId="5679D94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按各中心原单位</w:t>
            </w:r>
          </w:p>
        </w:tc>
        <w:tc>
          <w:tcPr>
            <w:tcW w:w="1666" w:type="pct"/>
            <w:vAlign w:val="top"/>
          </w:tcPr>
          <w:p w14:paraId="3566D80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建议不转换，使用×ULN或×基线</w:t>
            </w:r>
          </w:p>
        </w:tc>
        <w:tc>
          <w:tcPr>
            <w:tcW w:w="1514" w:type="pct"/>
            <w:vAlign w:val="top"/>
          </w:tcPr>
          <w:p w14:paraId="5009D53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必须录入ULN/LLN</w:t>
            </w:r>
          </w:p>
        </w:tc>
      </w:tr>
    </w:tbl>
    <w:p w14:paraId="0FECA31E">
      <w:pPr>
        <w:jc w:val="left"/>
      </w:pPr>
    </w:p>
    <w:p w14:paraId="1F0AA05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实验室项目DAIDS自动分级规则表（成人适用）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2"/>
        <w:gridCol w:w="1242"/>
        <w:gridCol w:w="1292"/>
        <w:gridCol w:w="1205"/>
        <w:gridCol w:w="1411"/>
        <w:gridCol w:w="1522"/>
        <w:gridCol w:w="1058"/>
        <w:gridCol w:w="1044"/>
      </w:tblGrid>
      <w:tr w14:paraId="5493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75DDE5A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指标（EDC字段）</w:t>
            </w:r>
          </w:p>
        </w:tc>
        <w:tc>
          <w:tcPr>
            <w:tcW w:w="673" w:type="pct"/>
            <w:vAlign w:val="top"/>
          </w:tcPr>
          <w:p w14:paraId="5CC02E75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DAIDS条目</w:t>
            </w:r>
          </w:p>
        </w:tc>
        <w:tc>
          <w:tcPr>
            <w:tcW w:w="647" w:type="pct"/>
            <w:vAlign w:val="top"/>
          </w:tcPr>
          <w:p w14:paraId="18EBF48D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计算字段</w:t>
            </w:r>
          </w:p>
        </w:tc>
        <w:tc>
          <w:tcPr>
            <w:tcW w:w="655" w:type="pct"/>
            <w:vAlign w:val="top"/>
          </w:tcPr>
          <w:p w14:paraId="644A545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</w:t>
            </w:r>
          </w:p>
        </w:tc>
        <w:tc>
          <w:tcPr>
            <w:tcW w:w="730" w:type="pct"/>
            <w:vAlign w:val="top"/>
          </w:tcPr>
          <w:p w14:paraId="4987477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</w:t>
            </w:r>
          </w:p>
        </w:tc>
        <w:tc>
          <w:tcPr>
            <w:tcW w:w="784" w:type="pct"/>
            <w:vAlign w:val="top"/>
          </w:tcPr>
          <w:p w14:paraId="16A80F2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G3</w:t>
            </w:r>
          </w:p>
        </w:tc>
        <w:tc>
          <w:tcPr>
            <w:tcW w:w="540" w:type="pct"/>
            <w:vAlign w:val="top"/>
          </w:tcPr>
          <w:p w14:paraId="5C64D8B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G4</w:t>
            </w:r>
          </w:p>
        </w:tc>
        <w:tc>
          <w:tcPr>
            <w:tcW w:w="532" w:type="pct"/>
            <w:vAlign w:val="top"/>
          </w:tcPr>
          <w:p w14:paraId="2A57F1B0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EDC自动提示/任务单（建议）</w:t>
            </w:r>
          </w:p>
        </w:tc>
      </w:tr>
      <w:tr w14:paraId="25CD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4250C06E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</w:t>
            </w:r>
          </w:p>
        </w:tc>
        <w:tc>
          <w:tcPr>
            <w:tcW w:w="673" w:type="pct"/>
            <w:vAlign w:val="top"/>
          </w:tcPr>
          <w:p w14:paraId="288E26EC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 or SGPT, High</w:t>
            </w:r>
          </w:p>
        </w:tc>
        <w:tc>
          <w:tcPr>
            <w:tcW w:w="647" w:type="pct"/>
            <w:vAlign w:val="top"/>
          </w:tcPr>
          <w:p w14:paraId="51A4E07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R=ALT/ULN</w:t>
            </w:r>
          </w:p>
        </w:tc>
        <w:tc>
          <w:tcPr>
            <w:tcW w:w="655" w:type="pct"/>
            <w:vAlign w:val="top"/>
          </w:tcPr>
          <w:p w14:paraId="1B97326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1.25–&lt;2.5×</w:t>
            </w:r>
          </w:p>
        </w:tc>
        <w:tc>
          <w:tcPr>
            <w:tcW w:w="730" w:type="pct"/>
            <w:vAlign w:val="top"/>
          </w:tcPr>
          <w:p w14:paraId="1B53545E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2.5–&lt;5.0×</w:t>
            </w:r>
          </w:p>
        </w:tc>
        <w:tc>
          <w:tcPr>
            <w:tcW w:w="784" w:type="pct"/>
            <w:vAlign w:val="top"/>
          </w:tcPr>
          <w:p w14:paraId="6FB6A7C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5.0–&lt;10.0×</w:t>
            </w:r>
          </w:p>
        </w:tc>
        <w:tc>
          <w:tcPr>
            <w:tcW w:w="540" w:type="pct"/>
            <w:vAlign w:val="top"/>
          </w:tcPr>
          <w:p w14:paraId="7C8B3963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≥10.0×</w:t>
            </w:r>
          </w:p>
        </w:tc>
        <w:tc>
          <w:tcPr>
            <w:tcW w:w="532" w:type="pct"/>
            <w:vAlign w:val="top"/>
          </w:tcPr>
          <w:p w14:paraId="067F95A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G2：48–72h复查；G3+：生成“疑似DILI复核”任务；G4：红线提示急诊/住院评估</w:t>
            </w:r>
          </w:p>
        </w:tc>
      </w:tr>
      <w:tr w14:paraId="3F5C5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34D5E4E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</w:t>
            </w:r>
          </w:p>
        </w:tc>
        <w:tc>
          <w:tcPr>
            <w:tcW w:w="673" w:type="pct"/>
            <w:vAlign w:val="top"/>
          </w:tcPr>
          <w:p w14:paraId="4B44782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AST or SGOT, High</w:t>
            </w:r>
          </w:p>
        </w:tc>
        <w:tc>
          <w:tcPr>
            <w:tcW w:w="647" w:type="pct"/>
            <w:vAlign w:val="top"/>
          </w:tcPr>
          <w:p w14:paraId="6E8BE78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R=AST/ULN</w:t>
            </w:r>
          </w:p>
        </w:tc>
        <w:tc>
          <w:tcPr>
            <w:tcW w:w="655" w:type="pct"/>
            <w:vAlign w:val="top"/>
          </w:tcPr>
          <w:p w14:paraId="3DF2C1B5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1.25–&lt;2.5×</w:t>
            </w:r>
          </w:p>
        </w:tc>
        <w:tc>
          <w:tcPr>
            <w:tcW w:w="730" w:type="pct"/>
            <w:vAlign w:val="top"/>
          </w:tcPr>
          <w:p w14:paraId="7A1A02A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2.5–&lt;5.0×</w:t>
            </w:r>
          </w:p>
        </w:tc>
        <w:tc>
          <w:tcPr>
            <w:tcW w:w="784" w:type="pct"/>
            <w:vAlign w:val="top"/>
          </w:tcPr>
          <w:p w14:paraId="5832D512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5.0–&lt;10.0×</w:t>
            </w:r>
          </w:p>
        </w:tc>
        <w:tc>
          <w:tcPr>
            <w:tcW w:w="540" w:type="pct"/>
            <w:vAlign w:val="top"/>
          </w:tcPr>
          <w:p w14:paraId="5775174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≥10.0×</w:t>
            </w:r>
          </w:p>
        </w:tc>
        <w:tc>
          <w:tcPr>
            <w:tcW w:w="532" w:type="pct"/>
            <w:vAlign w:val="top"/>
          </w:tcPr>
          <w:p w14:paraId="5CB2D06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同ALT；可联动CK提示鉴别肌损伤</w:t>
            </w:r>
          </w:p>
        </w:tc>
      </w:tr>
      <w:tr w14:paraId="49F6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5C16FC5C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TBil</w:t>
            </w:r>
          </w:p>
        </w:tc>
        <w:tc>
          <w:tcPr>
            <w:tcW w:w="673" w:type="pct"/>
            <w:vAlign w:val="top"/>
          </w:tcPr>
          <w:p w14:paraId="35F629E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Bilirubin, High</w:t>
            </w:r>
          </w:p>
        </w:tc>
        <w:tc>
          <w:tcPr>
            <w:tcW w:w="647" w:type="pct"/>
            <w:vAlign w:val="top"/>
          </w:tcPr>
          <w:p w14:paraId="7784DEF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R=TBil/ULN</w:t>
            </w:r>
          </w:p>
        </w:tc>
        <w:tc>
          <w:tcPr>
            <w:tcW w:w="655" w:type="pct"/>
            <w:vAlign w:val="top"/>
          </w:tcPr>
          <w:p w14:paraId="42277A0D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1.1–&lt;1.6×</w:t>
            </w:r>
          </w:p>
        </w:tc>
        <w:tc>
          <w:tcPr>
            <w:tcW w:w="730" w:type="pct"/>
            <w:vAlign w:val="top"/>
          </w:tcPr>
          <w:p w14:paraId="741D4C56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1.6–&lt;2.6×</w:t>
            </w:r>
          </w:p>
        </w:tc>
        <w:tc>
          <w:tcPr>
            <w:tcW w:w="784" w:type="pct"/>
            <w:vAlign w:val="top"/>
          </w:tcPr>
          <w:p w14:paraId="3CACBC7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2.6–&lt;5.0×</w:t>
            </w:r>
          </w:p>
        </w:tc>
        <w:tc>
          <w:tcPr>
            <w:tcW w:w="540" w:type="pct"/>
            <w:vAlign w:val="top"/>
          </w:tcPr>
          <w:p w14:paraId="3F5504F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≥5.0×</w:t>
            </w:r>
          </w:p>
        </w:tc>
        <w:tc>
          <w:tcPr>
            <w:tcW w:w="532" w:type="pct"/>
            <w:vAlign w:val="top"/>
          </w:tcPr>
          <w:p w14:paraId="071CAAD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G2+：黄疸/瘙痒/尿色评估；G3+：生成“DILI/胆汁淤积复核”任务</w:t>
            </w:r>
          </w:p>
        </w:tc>
      </w:tr>
      <w:tr w14:paraId="74B76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6765ADEA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</w:t>
            </w:r>
          </w:p>
        </w:tc>
        <w:tc>
          <w:tcPr>
            <w:tcW w:w="673" w:type="pct"/>
            <w:vAlign w:val="top"/>
          </w:tcPr>
          <w:p w14:paraId="261B964F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Creatinine, High</w:t>
            </w:r>
          </w:p>
        </w:tc>
        <w:tc>
          <w:tcPr>
            <w:tcW w:w="647" w:type="pct"/>
            <w:vAlign w:val="top"/>
          </w:tcPr>
          <w:p w14:paraId="213AA4CA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max(×ULN,×基线)</w:t>
            </w:r>
          </w:p>
        </w:tc>
        <w:tc>
          <w:tcPr>
            <w:tcW w:w="655" w:type="pct"/>
            <w:vAlign w:val="top"/>
          </w:tcPr>
          <w:p w14:paraId="4086ADBA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×ULN 1.1–1.3 或 ×基线1.3–&lt;1.5</w:t>
            </w:r>
          </w:p>
        </w:tc>
        <w:tc>
          <w:tcPr>
            <w:tcW w:w="730" w:type="pct"/>
            <w:vAlign w:val="top"/>
          </w:tcPr>
          <w:p w14:paraId="1AFC74B2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×ULN&gt;1.3–1.8 或 ×基线1.5–&lt;2.0</w:t>
            </w:r>
          </w:p>
        </w:tc>
        <w:tc>
          <w:tcPr>
            <w:tcW w:w="784" w:type="pct"/>
            <w:vAlign w:val="top"/>
          </w:tcPr>
          <w:p w14:paraId="797B117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×ULN&gt;1.8–&lt;3.5</w:t>
            </w:r>
          </w:p>
        </w:tc>
        <w:tc>
          <w:tcPr>
            <w:tcW w:w="540" w:type="pct"/>
            <w:vAlign w:val="top"/>
          </w:tcPr>
          <w:p w14:paraId="62105AD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×ULN≥3.5 或 ×基线≥2.0</w:t>
            </w:r>
          </w:p>
        </w:tc>
        <w:tc>
          <w:tcPr>
            <w:tcW w:w="532" w:type="pct"/>
            <w:vAlign w:val="top"/>
          </w:tcPr>
          <w:p w14:paraId="05F98CA9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G2+：复查Cr/eGFR+电解质；G3+：红色提示肾内会诊/潜在SAE</w:t>
            </w:r>
          </w:p>
        </w:tc>
      </w:tr>
      <w:tr w14:paraId="04B7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7691E80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K（低）</w:t>
            </w:r>
          </w:p>
        </w:tc>
        <w:tc>
          <w:tcPr>
            <w:tcW w:w="673" w:type="pct"/>
            <w:vAlign w:val="top"/>
          </w:tcPr>
          <w:p w14:paraId="3BE87EA9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Potassium, Low</w:t>
            </w:r>
          </w:p>
        </w:tc>
        <w:tc>
          <w:tcPr>
            <w:tcW w:w="647" w:type="pct"/>
            <w:vAlign w:val="top"/>
          </w:tcPr>
          <w:p w14:paraId="2D90C91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mmol/L</w:t>
            </w:r>
          </w:p>
        </w:tc>
        <w:tc>
          <w:tcPr>
            <w:tcW w:w="655" w:type="pct"/>
            <w:vAlign w:val="top"/>
          </w:tcPr>
          <w:p w14:paraId="54A73C7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3.0–&lt;3.4</w:t>
            </w:r>
          </w:p>
        </w:tc>
        <w:tc>
          <w:tcPr>
            <w:tcW w:w="730" w:type="pct"/>
            <w:vAlign w:val="top"/>
          </w:tcPr>
          <w:p w14:paraId="7BC925D6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2.5–&lt;3.0</w:t>
            </w:r>
          </w:p>
        </w:tc>
        <w:tc>
          <w:tcPr>
            <w:tcW w:w="784" w:type="pct"/>
            <w:vAlign w:val="top"/>
          </w:tcPr>
          <w:p w14:paraId="6BB66AD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2.0–&lt;2.5</w:t>
            </w:r>
          </w:p>
        </w:tc>
        <w:tc>
          <w:tcPr>
            <w:tcW w:w="540" w:type="pct"/>
            <w:vAlign w:val="top"/>
          </w:tcPr>
          <w:p w14:paraId="28721F9C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&lt;2.0</w:t>
            </w:r>
          </w:p>
        </w:tc>
        <w:tc>
          <w:tcPr>
            <w:tcW w:w="532" w:type="pct"/>
            <w:vAlign w:val="top"/>
          </w:tcPr>
          <w:p w14:paraId="2452540D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G2+：生成“纠正电解质+复查心电”任务；G3+：红线提示心电监护</w:t>
            </w:r>
          </w:p>
        </w:tc>
      </w:tr>
      <w:tr w14:paraId="47276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67D580B6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K（高）</w:t>
            </w:r>
          </w:p>
        </w:tc>
        <w:tc>
          <w:tcPr>
            <w:tcW w:w="673" w:type="pct"/>
            <w:vAlign w:val="top"/>
          </w:tcPr>
          <w:p w14:paraId="16231FFC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Potassium, High</w:t>
            </w:r>
          </w:p>
        </w:tc>
        <w:tc>
          <w:tcPr>
            <w:tcW w:w="647" w:type="pct"/>
            <w:vAlign w:val="top"/>
          </w:tcPr>
          <w:p w14:paraId="63E6C2DE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mmol/L</w:t>
            </w:r>
          </w:p>
        </w:tc>
        <w:tc>
          <w:tcPr>
            <w:tcW w:w="655" w:type="pct"/>
            <w:vAlign w:val="top"/>
          </w:tcPr>
          <w:p w14:paraId="253E2055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5.6–&lt;6.0</w:t>
            </w:r>
          </w:p>
        </w:tc>
        <w:tc>
          <w:tcPr>
            <w:tcW w:w="730" w:type="pct"/>
            <w:vAlign w:val="top"/>
          </w:tcPr>
          <w:p w14:paraId="697EB47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6.0–&lt;6.5</w:t>
            </w:r>
          </w:p>
        </w:tc>
        <w:tc>
          <w:tcPr>
            <w:tcW w:w="784" w:type="pct"/>
            <w:vAlign w:val="top"/>
          </w:tcPr>
          <w:p w14:paraId="7817AB69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6.5–&lt;7.0</w:t>
            </w:r>
          </w:p>
        </w:tc>
        <w:tc>
          <w:tcPr>
            <w:tcW w:w="540" w:type="pct"/>
            <w:vAlign w:val="top"/>
          </w:tcPr>
          <w:p w14:paraId="7A8E9C0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≥7.0</w:t>
            </w:r>
          </w:p>
        </w:tc>
        <w:tc>
          <w:tcPr>
            <w:tcW w:w="532" w:type="pct"/>
            <w:vAlign w:val="top"/>
          </w:tcPr>
          <w:p w14:paraId="4F65F3A6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G2+：复查+心电；G3+：红线提示急诊处理</w:t>
            </w:r>
          </w:p>
        </w:tc>
      </w:tr>
      <w:tr w14:paraId="6EC8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2AB47DB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Mg（低）</w:t>
            </w:r>
          </w:p>
        </w:tc>
        <w:tc>
          <w:tcPr>
            <w:tcW w:w="673" w:type="pct"/>
            <w:vAlign w:val="top"/>
          </w:tcPr>
          <w:p w14:paraId="4535DBA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Magnesium, Low</w:t>
            </w:r>
          </w:p>
        </w:tc>
        <w:tc>
          <w:tcPr>
            <w:tcW w:w="647" w:type="pct"/>
            <w:vAlign w:val="top"/>
          </w:tcPr>
          <w:p w14:paraId="6B3FD529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mg/dL或mmol/L</w:t>
            </w:r>
          </w:p>
        </w:tc>
        <w:tc>
          <w:tcPr>
            <w:tcW w:w="655" w:type="pct"/>
            <w:vAlign w:val="top"/>
          </w:tcPr>
          <w:p w14:paraId="24E73B8C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mg/dL 1.2–&lt;1.4</w:t>
            </w:r>
          </w:p>
        </w:tc>
        <w:tc>
          <w:tcPr>
            <w:tcW w:w="730" w:type="pct"/>
            <w:vAlign w:val="top"/>
          </w:tcPr>
          <w:p w14:paraId="4A55BB40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0.9–&lt;1.2</w:t>
            </w:r>
          </w:p>
        </w:tc>
        <w:tc>
          <w:tcPr>
            <w:tcW w:w="784" w:type="pct"/>
            <w:vAlign w:val="top"/>
          </w:tcPr>
          <w:p w14:paraId="525C3AA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0.6–&lt;0.9</w:t>
            </w:r>
          </w:p>
        </w:tc>
        <w:tc>
          <w:tcPr>
            <w:tcW w:w="540" w:type="pct"/>
            <w:vAlign w:val="top"/>
          </w:tcPr>
          <w:p w14:paraId="1A420C5F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&lt;0.6</w:t>
            </w:r>
          </w:p>
        </w:tc>
        <w:tc>
          <w:tcPr>
            <w:tcW w:w="532" w:type="pct"/>
            <w:vAlign w:val="top"/>
          </w:tcPr>
          <w:p w14:paraId="7DAF6A90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G2+：提示补镁并联动QTcF；合并QT延长上调优先级</w:t>
            </w:r>
          </w:p>
        </w:tc>
      </w:tr>
      <w:tr w14:paraId="1F7B3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766CFB85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Ca（低）</w:t>
            </w:r>
          </w:p>
        </w:tc>
        <w:tc>
          <w:tcPr>
            <w:tcW w:w="673" w:type="pct"/>
            <w:vAlign w:val="top"/>
          </w:tcPr>
          <w:p w14:paraId="51DCB40D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Calcium, Low</w:t>
            </w:r>
          </w:p>
        </w:tc>
        <w:tc>
          <w:tcPr>
            <w:tcW w:w="647" w:type="pct"/>
            <w:vAlign w:val="top"/>
          </w:tcPr>
          <w:p w14:paraId="2FDFC1EF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mg/dL或mmol/L</w:t>
            </w:r>
          </w:p>
        </w:tc>
        <w:tc>
          <w:tcPr>
            <w:tcW w:w="655" w:type="pct"/>
            <w:vAlign w:val="top"/>
          </w:tcPr>
          <w:p w14:paraId="465FE079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mg/dL 7.8–&lt;8.4</w:t>
            </w:r>
          </w:p>
        </w:tc>
        <w:tc>
          <w:tcPr>
            <w:tcW w:w="730" w:type="pct"/>
            <w:vAlign w:val="top"/>
          </w:tcPr>
          <w:p w14:paraId="6B5B78C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7.0–&lt;7.8</w:t>
            </w:r>
          </w:p>
        </w:tc>
        <w:tc>
          <w:tcPr>
            <w:tcW w:w="784" w:type="pct"/>
            <w:vAlign w:val="top"/>
          </w:tcPr>
          <w:p w14:paraId="32B91F9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6.1–&lt;7.0</w:t>
            </w:r>
          </w:p>
        </w:tc>
        <w:tc>
          <w:tcPr>
            <w:tcW w:w="540" w:type="pct"/>
            <w:vAlign w:val="top"/>
          </w:tcPr>
          <w:p w14:paraId="2FA935AF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&lt;6.1</w:t>
            </w:r>
          </w:p>
        </w:tc>
        <w:tc>
          <w:tcPr>
            <w:tcW w:w="532" w:type="pct"/>
            <w:vAlign w:val="top"/>
          </w:tcPr>
          <w:p w14:paraId="518C4242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G2+：纠正并复查；与QTcF联动任务单</w:t>
            </w:r>
          </w:p>
        </w:tc>
      </w:tr>
      <w:tr w14:paraId="27F2D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2204B76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ANC（低）</w:t>
            </w:r>
          </w:p>
        </w:tc>
        <w:tc>
          <w:tcPr>
            <w:tcW w:w="673" w:type="pct"/>
            <w:vAlign w:val="top"/>
          </w:tcPr>
          <w:p w14:paraId="28A6ED4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ANC, Low</w:t>
            </w:r>
          </w:p>
        </w:tc>
        <w:tc>
          <w:tcPr>
            <w:tcW w:w="647" w:type="pct"/>
            <w:vAlign w:val="top"/>
          </w:tcPr>
          <w:p w14:paraId="738EB67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/mm³</w:t>
            </w:r>
          </w:p>
        </w:tc>
        <w:tc>
          <w:tcPr>
            <w:tcW w:w="655" w:type="pct"/>
            <w:vAlign w:val="top"/>
          </w:tcPr>
          <w:p w14:paraId="22B81F8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800–1000</w:t>
            </w:r>
          </w:p>
        </w:tc>
        <w:tc>
          <w:tcPr>
            <w:tcW w:w="730" w:type="pct"/>
            <w:vAlign w:val="top"/>
          </w:tcPr>
          <w:p w14:paraId="1E051C9D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600–799</w:t>
            </w:r>
          </w:p>
        </w:tc>
        <w:tc>
          <w:tcPr>
            <w:tcW w:w="784" w:type="pct"/>
            <w:vAlign w:val="top"/>
          </w:tcPr>
          <w:p w14:paraId="6A132DD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400–599</w:t>
            </w:r>
          </w:p>
        </w:tc>
        <w:tc>
          <w:tcPr>
            <w:tcW w:w="540" w:type="pct"/>
            <w:vAlign w:val="top"/>
          </w:tcPr>
          <w:p w14:paraId="4B1C034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&lt;400</w:t>
            </w:r>
          </w:p>
        </w:tc>
        <w:tc>
          <w:tcPr>
            <w:tcW w:w="532" w:type="pct"/>
            <w:vAlign w:val="top"/>
          </w:tcPr>
          <w:p w14:paraId="2281A98D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G3–G4：感染评估；伴发热提示潜在SAE</w:t>
            </w:r>
          </w:p>
        </w:tc>
      </w:tr>
      <w:tr w14:paraId="247DF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2CC178F7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Hb（低）</w:t>
            </w:r>
          </w:p>
        </w:tc>
        <w:tc>
          <w:tcPr>
            <w:tcW w:w="673" w:type="pct"/>
            <w:vAlign w:val="top"/>
          </w:tcPr>
          <w:p w14:paraId="5F5C5D2A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Hemoglobin, Low</w:t>
            </w:r>
          </w:p>
        </w:tc>
        <w:tc>
          <w:tcPr>
            <w:tcW w:w="647" w:type="pct"/>
            <w:vAlign w:val="top"/>
          </w:tcPr>
          <w:p w14:paraId="202E8BA1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g/dL + 性别</w:t>
            </w:r>
          </w:p>
        </w:tc>
        <w:tc>
          <w:tcPr>
            <w:tcW w:w="655" w:type="pct"/>
            <w:vAlign w:val="top"/>
          </w:tcPr>
          <w:p w14:paraId="28B4FA6B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男10.0–10.9；女9.5–10.4</w:t>
            </w:r>
          </w:p>
        </w:tc>
        <w:tc>
          <w:tcPr>
            <w:tcW w:w="730" w:type="pct"/>
            <w:vAlign w:val="top"/>
          </w:tcPr>
          <w:p w14:paraId="7B2F7960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男9.0–&lt;10.0；女8.5–&lt;9.5</w:t>
            </w:r>
          </w:p>
        </w:tc>
        <w:tc>
          <w:tcPr>
            <w:tcW w:w="784" w:type="pct"/>
            <w:vAlign w:val="top"/>
          </w:tcPr>
          <w:p w14:paraId="1828D2E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男7.0–&lt;9.0；女6.5–&lt;8.5</w:t>
            </w:r>
          </w:p>
        </w:tc>
        <w:tc>
          <w:tcPr>
            <w:tcW w:w="540" w:type="pct"/>
            <w:vAlign w:val="top"/>
          </w:tcPr>
          <w:p w14:paraId="51F06F45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男&lt;7.0；女&lt;6.5</w:t>
            </w:r>
          </w:p>
        </w:tc>
        <w:tc>
          <w:tcPr>
            <w:tcW w:w="532" w:type="pct"/>
            <w:vAlign w:val="top"/>
          </w:tcPr>
          <w:p w14:paraId="4F4C5EBC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G3+：加急评估（出血/溶血/输血指征）并考虑SAE</w:t>
            </w:r>
          </w:p>
        </w:tc>
      </w:tr>
      <w:tr w14:paraId="53C01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5" w:type="pct"/>
            <w:vAlign w:val="top"/>
          </w:tcPr>
          <w:p w14:paraId="0AFB2E74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PLT（低）</w:t>
            </w:r>
          </w:p>
        </w:tc>
        <w:tc>
          <w:tcPr>
            <w:tcW w:w="673" w:type="pct"/>
            <w:vAlign w:val="top"/>
          </w:tcPr>
          <w:p w14:paraId="629E0E78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Platelets, Decreased</w:t>
            </w:r>
          </w:p>
        </w:tc>
        <w:tc>
          <w:tcPr>
            <w:tcW w:w="647" w:type="pct"/>
            <w:vAlign w:val="top"/>
          </w:tcPr>
          <w:p w14:paraId="2050C39E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/mm³</w:t>
            </w:r>
          </w:p>
        </w:tc>
        <w:tc>
          <w:tcPr>
            <w:tcW w:w="655" w:type="pct"/>
            <w:vAlign w:val="top"/>
          </w:tcPr>
          <w:p w14:paraId="6F75F416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100k–&lt;125k</w:t>
            </w:r>
          </w:p>
        </w:tc>
        <w:tc>
          <w:tcPr>
            <w:tcW w:w="730" w:type="pct"/>
            <w:vAlign w:val="top"/>
          </w:tcPr>
          <w:p w14:paraId="423725A2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50k–&lt;100k</w:t>
            </w:r>
          </w:p>
        </w:tc>
        <w:tc>
          <w:tcPr>
            <w:tcW w:w="784" w:type="pct"/>
            <w:vAlign w:val="top"/>
          </w:tcPr>
          <w:p w14:paraId="08885DB3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25k–&lt;50k</w:t>
            </w:r>
          </w:p>
        </w:tc>
        <w:tc>
          <w:tcPr>
            <w:tcW w:w="540" w:type="pct"/>
            <w:vAlign w:val="top"/>
          </w:tcPr>
          <w:p w14:paraId="2251DE9E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&lt;25k</w:t>
            </w:r>
          </w:p>
        </w:tc>
        <w:tc>
          <w:tcPr>
            <w:tcW w:w="532" w:type="pct"/>
            <w:vAlign w:val="top"/>
          </w:tcPr>
          <w:p w14:paraId="6F9769C0">
            <w:pPr>
              <w:pStyle w:val="19"/>
              <w:widowControl/>
              <w:numPr>
                <w:numId w:val="0"/>
              </w:numPr>
              <w:ind w:left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G3+：出血风险评估；伴出血/需住院提示SAE</w:t>
            </w:r>
          </w:p>
        </w:tc>
      </w:tr>
    </w:tbl>
    <w:p w14:paraId="05A5A509">
      <w:pPr>
        <w:jc w:val="left"/>
      </w:pPr>
    </w:p>
    <w:p w14:paraId="58296F83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组合安全信号自动触发规则（研究特异提示）</w:t>
      </w:r>
    </w:p>
    <w:p w14:paraId="3B6615AE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疑似DILI信号（生成复核任务单，不等同最终判定）：ALT或AST ≥5×ULN，或TBil ≥2.6×ULN，或ALT/AST ≥3×ULN且TBil ≥2×ULN（Hy’s law提示，需临床核实排除胆道梗阻等）。</w:t>
      </w:r>
    </w:p>
    <w:p w14:paraId="4C59D0DA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QT风险增强信号（电解质联动）：当QTcF进入高风险区或红线时，如同时存在K&lt;3.0 mmol/L或Mg&lt;0.49 mmol/L或Ca&lt;1.75 mmol/L（或对应mg/dL阈值），EDC自动上调处置优先级并提示“先纠正电解质再复测心电”。</w:t>
      </w:r>
    </w:p>
    <w:p w14:paraId="752A69AC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感染风险信号：ANC&lt;600时提示监测感染症状；ANC&lt;400或伴发热时生成“感染/潜在SAE复核”任务单。</w:t>
      </w:r>
    </w:p>
    <w:p w14:paraId="73F31B6A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TB-DM代谢急症红旗（不替代DAIDS分级）：严重低血糖或疑似DKA/HHS触发任务单并提示按SOP10处置与上报。建议字段：血糖、尿/血酮、酸碱（如可得）。</w:t>
      </w:r>
    </w:p>
    <w:p w14:paraId="54A0782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心电（QTcF）自动分层与处置提示（按方案口径）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554"/>
        <w:gridCol w:w="1179"/>
        <w:gridCol w:w="1351"/>
        <w:gridCol w:w="1853"/>
        <w:gridCol w:w="2497"/>
      </w:tblGrid>
      <w:tr w14:paraId="6C57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96" w:type="pct"/>
            <w:vAlign w:val="top"/>
          </w:tcPr>
          <w:p w14:paraId="524CF1B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场景</w:t>
            </w:r>
          </w:p>
        </w:tc>
        <w:tc>
          <w:tcPr>
            <w:tcW w:w="811" w:type="pct"/>
            <w:vAlign w:val="top"/>
          </w:tcPr>
          <w:p w14:paraId="0436B4E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输入字段</w:t>
            </w:r>
          </w:p>
        </w:tc>
        <w:tc>
          <w:tcPr>
            <w:tcW w:w="615" w:type="pct"/>
            <w:vAlign w:val="top"/>
          </w:tcPr>
          <w:p w14:paraId="53A5AA9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自动计算</w:t>
            </w:r>
          </w:p>
        </w:tc>
        <w:tc>
          <w:tcPr>
            <w:tcW w:w="705" w:type="pct"/>
            <w:vAlign w:val="top"/>
          </w:tcPr>
          <w:p w14:paraId="796965B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风险分层（EDC显示）</w:t>
            </w:r>
          </w:p>
        </w:tc>
        <w:tc>
          <w:tcPr>
            <w:tcW w:w="967" w:type="pct"/>
            <w:vAlign w:val="top"/>
          </w:tcPr>
          <w:p w14:paraId="779F5B0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触发条件（自动）</w:t>
            </w:r>
          </w:p>
        </w:tc>
        <w:tc>
          <w:tcPr>
            <w:tcW w:w="1303" w:type="pct"/>
            <w:vAlign w:val="top"/>
          </w:tcPr>
          <w:p w14:paraId="79730CE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EDC提示/处置建议</w:t>
            </w:r>
          </w:p>
        </w:tc>
      </w:tr>
      <w:tr w14:paraId="24536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6" w:type="pct"/>
            <w:vAlign w:val="top"/>
          </w:tcPr>
          <w:p w14:paraId="25C91C4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筛选期</w:t>
            </w:r>
          </w:p>
        </w:tc>
        <w:tc>
          <w:tcPr>
            <w:tcW w:w="811" w:type="pct"/>
            <w:vAlign w:val="top"/>
          </w:tcPr>
          <w:p w14:paraId="790C8CB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QTcF（ms）、性别</w:t>
            </w:r>
          </w:p>
        </w:tc>
        <w:tc>
          <w:tcPr>
            <w:tcW w:w="615" w:type="pct"/>
            <w:vAlign w:val="top"/>
          </w:tcPr>
          <w:p w14:paraId="1CF1BF0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—</w:t>
            </w:r>
          </w:p>
        </w:tc>
        <w:tc>
          <w:tcPr>
            <w:tcW w:w="705" w:type="pct"/>
            <w:vAlign w:val="top"/>
          </w:tcPr>
          <w:p w14:paraId="394E767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正常/异常（筛选）</w:t>
            </w:r>
          </w:p>
        </w:tc>
        <w:tc>
          <w:tcPr>
            <w:tcW w:w="967" w:type="pct"/>
            <w:vAlign w:val="top"/>
          </w:tcPr>
          <w:p w14:paraId="17ABB25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男&gt;450 或 女&gt;470：异常（允许复测一次取平均）</w:t>
            </w:r>
          </w:p>
        </w:tc>
        <w:tc>
          <w:tcPr>
            <w:tcW w:w="1303" w:type="pct"/>
            <w:vAlign w:val="top"/>
          </w:tcPr>
          <w:p w14:paraId="34C4E26D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提示复测；仍异常按方案排除/评估风险并留痕</w:t>
            </w:r>
          </w:p>
        </w:tc>
      </w:tr>
      <w:tr w14:paraId="74D4A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6" w:type="pct"/>
            <w:vAlign w:val="top"/>
          </w:tcPr>
          <w:p w14:paraId="4BFA8434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治疗期常规</w:t>
            </w:r>
          </w:p>
        </w:tc>
        <w:tc>
          <w:tcPr>
            <w:tcW w:w="811" w:type="pct"/>
            <w:vAlign w:val="top"/>
          </w:tcPr>
          <w:p w14:paraId="397B650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QTcF、基线QTcF</w:t>
            </w:r>
          </w:p>
        </w:tc>
        <w:tc>
          <w:tcPr>
            <w:tcW w:w="615" w:type="pct"/>
            <w:vAlign w:val="top"/>
          </w:tcPr>
          <w:p w14:paraId="617AAD6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ΔQTcF=当前-基线</w:t>
            </w:r>
          </w:p>
        </w:tc>
        <w:tc>
          <w:tcPr>
            <w:tcW w:w="705" w:type="pct"/>
            <w:vAlign w:val="top"/>
          </w:tcPr>
          <w:p w14:paraId="2C7135B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低/中/高/红线</w:t>
            </w:r>
          </w:p>
        </w:tc>
        <w:tc>
          <w:tcPr>
            <w:tcW w:w="967" w:type="pct"/>
            <w:vAlign w:val="top"/>
          </w:tcPr>
          <w:p w14:paraId="3FF0A63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中风险：男450–500或女470–500或Δ30–60；红线：QTcF&gt;500或Δ&gt;60</w:t>
            </w:r>
          </w:p>
        </w:tc>
        <w:tc>
          <w:tcPr>
            <w:tcW w:w="1303" w:type="pct"/>
            <w:vAlign w:val="top"/>
          </w:tcPr>
          <w:p w14:paraId="4523723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中风险：复测心电+查K/Mg/Ca；红线：立即停止相关研究药物并启动SOP10安全流程；必要时心内会诊/监护</w:t>
            </w:r>
          </w:p>
        </w:tc>
      </w:tr>
      <w:tr w14:paraId="3279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6" w:type="pct"/>
            <w:vAlign w:val="top"/>
          </w:tcPr>
          <w:p w14:paraId="2932515A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非计划/症状触发</w:t>
            </w:r>
          </w:p>
        </w:tc>
        <w:tc>
          <w:tcPr>
            <w:tcW w:w="811" w:type="pct"/>
            <w:vAlign w:val="top"/>
          </w:tcPr>
          <w:p w14:paraId="45F03DD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QTcF、症状（晕厥/心悸/胸痛）</w:t>
            </w:r>
          </w:p>
        </w:tc>
        <w:tc>
          <w:tcPr>
            <w:tcW w:w="615" w:type="pct"/>
            <w:vAlign w:val="top"/>
          </w:tcPr>
          <w:p w14:paraId="13DB379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ΔQTcF</w:t>
            </w:r>
          </w:p>
        </w:tc>
        <w:tc>
          <w:tcPr>
            <w:tcW w:w="705" w:type="pct"/>
            <w:vAlign w:val="top"/>
          </w:tcPr>
          <w:p w14:paraId="42211BB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同上</w:t>
            </w:r>
          </w:p>
        </w:tc>
        <w:tc>
          <w:tcPr>
            <w:tcW w:w="967" w:type="pct"/>
            <w:vAlign w:val="top"/>
          </w:tcPr>
          <w:p w14:paraId="0895242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任何高危症状+QT异常</w:t>
            </w:r>
          </w:p>
        </w:tc>
        <w:tc>
          <w:tcPr>
            <w:tcW w:w="1303" w:type="pct"/>
            <w:vAlign w:val="top"/>
          </w:tcPr>
          <w:p w14:paraId="6F1398E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自动生成“紧急评估任务单”：立即联系研究医生/急诊评估并记录响应时间</w:t>
            </w:r>
          </w:p>
        </w:tc>
      </w:tr>
    </w:tbl>
    <w:p w14:paraId="67BD3AA4">
      <w:pPr>
        <w:jc w:val="left"/>
      </w:pPr>
    </w:p>
    <w:p w14:paraId="6AD2A93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质量控制与审计追踪（EDC要求）</w:t>
      </w:r>
    </w:p>
    <w:p w14:paraId="0F2CD2D3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所有自动计算字段必须保留：输入值、ULN/LLN、计算公式/方式、输出Grade与触发标志，并纳入审计追踪。</w:t>
      </w:r>
    </w:p>
    <w:p w14:paraId="40E84C99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单位不匹配、缺ULN/LLN、异常极值等自动发出Query并要求源文件核对；关闭Query需留存证据。</w:t>
      </w:r>
    </w:p>
    <w:p w14:paraId="1AD01334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红线/高风险触发应自动生成任务单并记录响应时间（用于质量指标与监查）。</w:t>
      </w:r>
    </w:p>
    <w:p w14:paraId="6AF762B2">
      <w:pPr>
        <w:pStyle w:val="19"/>
        <w:widowControl/>
        <w:numPr>
          <w:ilvl w:val="0"/>
          <w:numId w:val="12"/>
        </w:numPr>
        <w:ind w:left="360" w:leftChars="0" w:hanging="360" w:firstLineChars="0"/>
      </w:pPr>
      <w:r>
        <w:t>UAT建议最小测试用例：每个关键项目至少覆盖G0/G1/G2/G3/G4及边界值、单位换算、缺失ULN、重复结果取最重等场景；测试记录归档。</w:t>
      </w:r>
    </w:p>
    <w:p w14:paraId="576B4B9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版本与变更控制</w:t>
      </w:r>
    </w:p>
    <w:p w14:paraId="2056BA20">
      <w:pPr>
        <w:pStyle w:val="19"/>
        <w:widowControl/>
      </w:pPr>
      <w:r>
        <w:t>本规则表为EDC关键逻辑文件，属于核心质量文件。任何阈值或逻辑变更必须走SOP00版本控制流程，并评估对历史数据可比性与安全触发一致性的影响；必要时进行补充UAT并形成变更说明。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 U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3EE4F0"/>
    <w:multiLevelType w:val="singleLevel"/>
    <w:tmpl w:val="A53EE4F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1AA9500"/>
    <w:multiLevelType w:val="singleLevel"/>
    <w:tmpl w:val="01AA950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DBEE3FC"/>
    <w:multiLevelType w:val="singleLevel"/>
    <w:tmpl w:val="1DBEE3F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4E530B78"/>
    <w:multiLevelType w:val="singleLevel"/>
    <w:tmpl w:val="4E530B7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655F9182"/>
    <w:multiLevelType w:val="singleLevel"/>
    <w:tmpl w:val="655F9182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67BEEB99"/>
    <w:multiLevelType w:val="singleLevel"/>
    <w:tmpl w:val="67BEEB9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7CAA88B8"/>
    <w:multiLevelType w:val="singleLevel"/>
    <w:tmpl w:val="7CAA88B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11"/>
  </w:num>
  <w:num w:numId="9">
    <w:abstractNumId w:val="0"/>
  </w:num>
  <w:num w:numId="10">
    <w:abstractNumId w:val="6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5D1DDC"/>
    <w:rsid w:val="6D093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表格标题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2373</Words>
  <Characters>3718</Characters>
  <Lines>0</Lines>
  <Paragraphs>0</Paragraphs>
  <TotalTime>11</TotalTime>
  <ScaleCrop>false</ScaleCrop>
  <LinksUpToDate>false</LinksUpToDate>
  <CharactersWithSpaces>3793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2026-03-13T07:34:11Z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01EF46317A4643A0B049B625D08DCE27_12</vt:lpwstr>
  </property>
</Properties>
</file>