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05DF4">
      <w:pPr>
        <w:pStyle w:val="31"/>
        <w:widowControl/>
        <w:ind w:firstLine="1606" w:firstLineChars="500"/>
      </w:pPr>
      <w:r>
        <w:t>TDSC 研究标准操作规程（SOP）</w:t>
      </w:r>
    </w:p>
    <w:p w14:paraId="76FFAE5A">
      <w:pPr>
        <w:jc w:val="center"/>
      </w:pPr>
      <w:r>
        <w:t>SOP19：数据管理与质量控制（EDC、核查规则、查询、冻结/锁库、稽查）</w:t>
      </w:r>
    </w:p>
    <w:p w14:paraId="2CCEB623">
      <w:pPr>
        <w:pStyle w:val="31"/>
        <w:widowControl/>
      </w:pPr>
      <w:r>
        <w:t>Data Management, Query Lifecycle, and Database Lock Procedure</w:t>
      </w:r>
    </w:p>
    <w:p w14:paraId="4144D9BD">
      <w:pPr>
        <w:pStyle w:val="19"/>
        <w:widowControl/>
      </w:pPr>
      <w:r>
        <w:t>版本：V1.1    日期：2026-03-04    适用：TDSC 全体分中心与所有队列；对接研究方案“数据管理与质量控制（EDC/逻辑核查/Query/锁库）”章节</w:t>
      </w:r>
    </w:p>
    <w:p w14:paraId="6F8D3D6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目的</w:t>
      </w:r>
    </w:p>
    <w:p w14:paraId="266EFD82">
      <w:pPr>
        <w:pStyle w:val="19"/>
        <w:widowControl/>
      </w:pPr>
      <w:r>
        <w:t>规范TDSC研究的数据管理、逻辑核查（Edit Checks）、质疑（Query）闭环处理与数据库冻结/锁库流程，确保：</w:t>
      </w:r>
    </w:p>
    <w:p w14:paraId="4B5384E8">
      <w:pPr>
        <w:pStyle w:val="16"/>
        <w:bidi w:val="0"/>
        <w:ind w:left="360" w:leftChars="0" w:hanging="360" w:firstLineChars="0"/>
      </w:pPr>
      <w:r>
        <w:t>数据准确、完整、可追溯（源数据—eCRF—分析数据库一致）；</w:t>
      </w:r>
    </w:p>
    <w:p w14:paraId="49D454EC">
      <w:pPr>
        <w:pStyle w:val="16"/>
        <w:bidi w:val="0"/>
        <w:ind w:left="360" w:leftChars="0" w:hanging="360" w:firstLineChars="0"/>
      </w:pPr>
      <w:r>
        <w:t>逻辑核查与人工核查结果均能形成可审计的Query闭环；</w:t>
      </w:r>
    </w:p>
    <w:p w14:paraId="373FAFED">
      <w:pPr>
        <w:pStyle w:val="16"/>
        <w:bidi w:val="0"/>
        <w:ind w:left="360" w:leftChars="0" w:hanging="360" w:firstLineChars="0"/>
      </w:pPr>
      <w:r>
        <w:t>锁库前数据清理充分，锁库后数据不可随意更改；</w:t>
      </w:r>
    </w:p>
    <w:p w14:paraId="0644E2F1">
      <w:pPr>
        <w:pStyle w:val="16"/>
        <w:bidi w:val="0"/>
        <w:ind w:left="360" w:leftChars="0" w:hanging="360" w:firstLineChars="0"/>
      </w:pPr>
      <w:r>
        <w:t>符合研究方案对EDC系统、SDV与数据核查的要求，并满足合规审计需要。</w:t>
      </w:r>
    </w:p>
    <w:p w14:paraId="6D33628E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适用范围</w:t>
      </w:r>
    </w:p>
    <w:p w14:paraId="14C22876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适用于所有由eCRF/EDC系统管理的数据：入排、随机/分层、用药、疗效评估、AE/SAE、实验室与心电、影像学、PRO、药物发放与依从性等。</w:t>
      </w:r>
    </w:p>
    <w:p w14:paraId="3EDD4169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适用于所有数据核查来源：EDC自动逻辑核查（系统规则）、数据管理团队中央核查、CRA监查发现、医学监查/安全性审核、统计核查等。</w:t>
      </w:r>
    </w:p>
    <w:p w14:paraId="3C88E1DD">
      <w:pPr>
        <w:pStyle w:val="19"/>
        <w:widowControl/>
        <w:numPr>
          <w:ilvl w:val="0"/>
          <w:numId w:val="8"/>
        </w:numPr>
        <w:ind w:left="360" w:leftChars="0" w:hanging="360" w:firstLineChars="0"/>
      </w:pPr>
      <w:r>
        <w:t>适用于研究全生命周期：数据录入—核查—Query—关闭—冻结/锁库—归档。</w:t>
      </w:r>
    </w:p>
    <w:p w14:paraId="4985A468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参考文件（对接/交叉引用）</w:t>
      </w:r>
    </w:p>
    <w:p w14:paraId="3349DBE1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TDSC 研究方案 V2.0（2026-02-28）：第7章 数据管理与质量控制（EDC、SDV、Edit Checks、Query）。</w:t>
      </w:r>
    </w:p>
    <w:p w14:paraId="5A9C754D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SOP00：文件体系与版本控制/培训管理。</w:t>
      </w:r>
    </w:p>
    <w:p w14:paraId="69E6955F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SOP09：EDC自动分级规则表（实验室与心电，DAIDS自动分级）。</w:t>
      </w:r>
    </w:p>
    <w:p w14:paraId="07E63770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SOP06（含附录A/B）：PRO-CTCAE联合应用与量表配置（如涉及PRO数据导入与核查）。</w:t>
      </w:r>
    </w:p>
    <w:p w14:paraId="05D49C53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SOP20：方案偏差违背与CAPA（超窗/缺失/数据问题的质量闭环）。</w:t>
      </w:r>
    </w:p>
    <w:p w14:paraId="717B5A11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SOP15：疗效/结局评估与CEC裁决材料包（终点事件证据链与一致性核对）。</w:t>
      </w:r>
    </w:p>
    <w:p w14:paraId="007AB17A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SOP10：研究药物不良反应处理方法（AE/SAE/AESI上报与一致性核对）。</w:t>
      </w:r>
    </w:p>
    <w:p w14:paraId="34220DE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SOP18：随访与失访管理（窗口、追访策略、缺失数据处理与留痕）。</w:t>
      </w:r>
    </w:p>
    <w:p w14:paraId="2C343804">
      <w:pPr>
        <w:pStyle w:val="19"/>
        <w:widowControl/>
        <w:numPr>
          <w:ilvl w:val="0"/>
          <w:numId w:val="9"/>
        </w:numPr>
        <w:ind w:left="360" w:leftChars="0" w:hanging="360" w:firstLineChars="0"/>
      </w:pPr>
      <w:r>
        <w:t>如有：统计分析计划（SAP）/数据管理计划（DMP）/监查计划（Monitoring Plan）。</w:t>
      </w:r>
    </w:p>
    <w:p w14:paraId="7BA4358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术语与定义</w:t>
      </w:r>
    </w:p>
    <w:p w14:paraId="7B3598F4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EDC/eCRF：电子数据采集系统与电子病例报告表。</w:t>
      </w:r>
    </w:p>
    <w:p w14:paraId="7C92BFB6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源数据（Source）：病历、检查化验单、影像报告、给药记录、PRO原始记录等可追溯原始资料。</w:t>
      </w:r>
    </w:p>
    <w:p w14:paraId="1948237E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SDV：源数据核查，核对源数据与eCRF一致性。</w:t>
      </w:r>
    </w:p>
    <w:p w14:paraId="63E30B40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Edit Checks：EDC内置或外部程序化的逻辑核查规则（范围核查、日期顺序、跨表一致性等）。</w:t>
      </w:r>
    </w:p>
    <w:p w14:paraId="0EB9C33C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Query：对缺失、异常值或逻辑矛盾的质疑单；可由系统自动触发或人工创建。</w:t>
      </w:r>
    </w:p>
    <w:p w14:paraId="5722F9D7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Query闭环：创建—分派—回复/更正—复核—关闭（必要时重开）。</w:t>
      </w:r>
    </w:p>
    <w:p w14:paraId="4FFED0A4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冻结（Freeze）：形成一次“数据截面（Data Cut）”，用于阶段性汇总/中期评估；冻结期间限制编辑或仅允许受控更改。</w:t>
      </w:r>
    </w:p>
    <w:p w14:paraId="39001DF9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锁库（Lock）：完成终末数据清理与签字后，将数据库设为只读并生成可追溯分析数据库；锁库后任何更改必须走受控解锁流程。</w:t>
      </w:r>
    </w:p>
    <w:p w14:paraId="2A4AB42E">
      <w:pPr>
        <w:pStyle w:val="19"/>
        <w:widowControl/>
        <w:numPr>
          <w:ilvl w:val="0"/>
          <w:numId w:val="10"/>
        </w:numPr>
        <w:ind w:left="360" w:leftChars="0" w:hanging="360" w:firstLineChars="0"/>
      </w:pPr>
      <w:r>
        <w:t>审计追踪（Audit Trail）：记录每一次数据变更的操作者、时间、原因与前后值。</w:t>
      </w:r>
    </w:p>
    <w:p w14:paraId="177C6E85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角色与职责（RACI简述）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3"/>
        <w:gridCol w:w="7193"/>
      </w:tblGrid>
      <w:tr w14:paraId="48689B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0603AEC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角色</w:t>
            </w:r>
          </w:p>
        </w:tc>
        <w:tc>
          <w:tcPr>
            <w:tcW w:w="3755" w:type="pct"/>
            <w:vAlign w:val="top"/>
          </w:tcPr>
          <w:p w14:paraId="0C6B8EB7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主要职责（摘要）</w:t>
            </w:r>
          </w:p>
        </w:tc>
      </w:tr>
      <w:tr w14:paraId="444CB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731846E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分中心研究者/PI</w:t>
            </w:r>
          </w:p>
        </w:tc>
        <w:tc>
          <w:tcPr>
            <w:tcW w:w="3755" w:type="pct"/>
            <w:vAlign w:val="top"/>
          </w:tcPr>
          <w:p w14:paraId="1EEED02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对本中心数据真实性负责；审核并签字关键表单；对Query回复的医学解释负责。</w:t>
            </w:r>
          </w:p>
        </w:tc>
      </w:tr>
      <w:tr w14:paraId="1DF6F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5A5A185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CRC/研究护士</w:t>
            </w:r>
          </w:p>
        </w:tc>
        <w:tc>
          <w:tcPr>
            <w:tcW w:w="3755" w:type="pct"/>
            <w:vAlign w:val="top"/>
          </w:tcPr>
          <w:p w14:paraId="79CAFDE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按研究方案及时录入eCRF；维护源文件；配合SDV；响应并整改Query。</w:t>
            </w:r>
          </w:p>
        </w:tc>
      </w:tr>
      <w:tr w14:paraId="1BEC3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3FEB37C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数据管理（DM）团队</w:t>
            </w:r>
          </w:p>
        </w:tc>
        <w:tc>
          <w:tcPr>
            <w:tcW w:w="3755" w:type="pct"/>
            <w:vAlign w:val="top"/>
          </w:tcPr>
          <w:p w14:paraId="2DA3F7B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制定数据核查规则与数据清理计划；运行Edit Checks；创建/复核/关闭Query；组织冻结/锁库。</w:t>
            </w:r>
          </w:p>
        </w:tc>
      </w:tr>
      <w:tr w14:paraId="01284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1565ED34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CRA/监查员</w:t>
            </w:r>
          </w:p>
        </w:tc>
        <w:tc>
          <w:tcPr>
            <w:tcW w:w="3755" w:type="pct"/>
            <w:vAlign w:val="top"/>
          </w:tcPr>
          <w:p w14:paraId="623A1B1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按监查计划执行SDV与合规核查；提出人工Query或问题单；核实整改效果。</w:t>
            </w:r>
          </w:p>
        </w:tc>
      </w:tr>
      <w:tr w14:paraId="45B26F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38302F5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医学监查/安全性团队</w:t>
            </w:r>
          </w:p>
        </w:tc>
        <w:tc>
          <w:tcPr>
            <w:tcW w:w="3755" w:type="pct"/>
            <w:vAlign w:val="top"/>
          </w:tcPr>
          <w:p w14:paraId="55BE68BB">
            <w:pPr>
              <w:spacing w:after="0" w:line="240" w:lineRule="auto"/>
            </w:pPr>
            <w:r>
              <w:t>复核SAE与重点AE一致性；对安全相关Query优先处理；与DSMB/CEC对接（如适用）。</w:t>
            </w:r>
          </w:p>
        </w:tc>
      </w:tr>
      <w:tr w14:paraId="2915E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4436B91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统计团队</w:t>
            </w:r>
          </w:p>
        </w:tc>
        <w:tc>
          <w:tcPr>
            <w:tcW w:w="3755" w:type="pct"/>
            <w:vAlign w:val="top"/>
          </w:tcPr>
          <w:p w14:paraId="547C6C89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提出统计逻辑核查需求；参与冻结/锁库前终末一致性检查；接收锁库分析数据。</w:t>
            </w:r>
          </w:p>
        </w:tc>
      </w:tr>
      <w:tr w14:paraId="1956BD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4" w:type="pct"/>
            <w:vAlign w:val="top"/>
          </w:tcPr>
          <w:p w14:paraId="75DDE2DC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EDC管理员/IT</w:t>
            </w:r>
          </w:p>
        </w:tc>
        <w:tc>
          <w:tcPr>
            <w:tcW w:w="3755" w:type="pct"/>
            <w:vAlign w:val="top"/>
          </w:tcPr>
          <w:p w14:paraId="2251EBD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账户与权限管理；系统配置与版本管理；备份与灾备；导入/导出与审计追踪维护。</w:t>
            </w:r>
          </w:p>
        </w:tc>
      </w:tr>
    </w:tbl>
    <w:p w14:paraId="43A86510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数据全流程概览</w:t>
      </w:r>
    </w:p>
    <w:p w14:paraId="2C84B415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数据产生：按随访表完成检查/评估，形成源文件。</w:t>
      </w:r>
    </w:p>
    <w:p w14:paraId="4EA62221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数据录入：CRC录入eCRF；系统记录录入者与时间戳。</w:t>
      </w:r>
    </w:p>
    <w:p w14:paraId="3027467E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自动核查：EDC规则即时触发Edit Checks（缺失/范围/逻辑）。</w:t>
      </w:r>
    </w:p>
    <w:p w14:paraId="6CAFB554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人工核查：DM中央核查、CRA监查、医学/统计复核。</w:t>
      </w:r>
    </w:p>
    <w:p w14:paraId="7A62D0DD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Query闭环：创建→分派→回复→复核→关闭（必要时重开）。</w:t>
      </w:r>
    </w:p>
    <w:p w14:paraId="6B576D49">
      <w:pPr>
        <w:pStyle w:val="19"/>
        <w:widowControl/>
        <w:numPr>
          <w:ilvl w:val="0"/>
          <w:numId w:val="11"/>
        </w:numPr>
        <w:ind w:left="360" w:leftChars="0" w:hanging="360" w:firstLineChars="0"/>
      </w:pPr>
      <w:r>
        <w:t>冻结/锁库：冻结用于阶段性数据截面；锁库用于最终分析数据库。</w:t>
      </w:r>
    </w:p>
    <w:p w14:paraId="3CD2810F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具体流程</w:t>
      </w:r>
    </w:p>
    <w:p w14:paraId="16682AA5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数据录入与更正</w:t>
      </w:r>
    </w:p>
    <w:p w14:paraId="74B56325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录入原则：以源文件为准；关键数据必须可追溯到源文件（研究方案要求）。</w:t>
      </w:r>
    </w:p>
    <w:p w14:paraId="3C6EA7C7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更正原则：任何更正必须在EDC中保留审计追踪，并填写更正原因（如“录入错误”“源文件更正”“补录结果回报”）。</w:t>
      </w:r>
    </w:p>
    <w:p w14:paraId="6827578B">
      <w:pPr>
        <w:pStyle w:val="19"/>
        <w:widowControl/>
        <w:numPr>
          <w:ilvl w:val="0"/>
          <w:numId w:val="13"/>
        </w:numPr>
        <w:ind w:left="360" w:leftChars="0" w:hanging="360" w:firstLineChars="0"/>
      </w:pPr>
      <w:r>
        <w:t>外部数据导入：实验室、TB22、影像中心阅片、PRO等如采用批量导入，须保留导入日志、版本号、字段映射与质控记录。</w:t>
      </w:r>
    </w:p>
    <w:p w14:paraId="3DCC630F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逻辑核查（Edit Checks）与自动衍生</w:t>
      </w:r>
    </w:p>
    <w:p w14:paraId="3EB63F38">
      <w:pPr>
        <w:pStyle w:val="19"/>
        <w:widowControl/>
      </w:pPr>
      <w:r>
        <w:t>数据管理团队依据研究方案编写逻辑核查规则，至少覆盖以下类别：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4671"/>
        <w:gridCol w:w="3238"/>
      </w:tblGrid>
      <w:tr w14:paraId="3C15D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pct"/>
            <w:vAlign w:val="top"/>
          </w:tcPr>
          <w:p w14:paraId="025C43B5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类别</w:t>
            </w:r>
          </w:p>
        </w:tc>
        <w:tc>
          <w:tcPr>
            <w:tcW w:w="2438" w:type="pct"/>
            <w:vAlign w:val="top"/>
          </w:tcPr>
          <w:p w14:paraId="620C1CC2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示例（非穷尽）</w:t>
            </w:r>
          </w:p>
        </w:tc>
        <w:tc>
          <w:tcPr>
            <w:tcW w:w="1690" w:type="pct"/>
            <w:vAlign w:val="top"/>
          </w:tcPr>
          <w:p w14:paraId="755AF56B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输出/处置</w:t>
            </w:r>
          </w:p>
        </w:tc>
      </w:tr>
      <w:tr w14:paraId="0A9BC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pct"/>
            <w:vAlign w:val="top"/>
          </w:tcPr>
          <w:p w14:paraId="38B39849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缺失核查</w:t>
            </w:r>
          </w:p>
        </w:tc>
        <w:tc>
          <w:tcPr>
            <w:tcW w:w="2438" w:type="pct"/>
            <w:vAlign w:val="top"/>
          </w:tcPr>
          <w:p w14:paraId="1F159DCE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关键字段空缺（入排、主要终点、SAE等）</w:t>
            </w:r>
          </w:p>
        </w:tc>
        <w:tc>
          <w:tcPr>
            <w:tcW w:w="1690" w:type="pct"/>
            <w:vAlign w:val="top"/>
          </w:tcPr>
          <w:p w14:paraId="23D303D5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自动Query/阻断提交/提示补录</w:t>
            </w:r>
          </w:p>
        </w:tc>
      </w:tr>
      <w:tr w14:paraId="7460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pct"/>
            <w:vAlign w:val="top"/>
          </w:tcPr>
          <w:p w14:paraId="575D0E83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范围核查</w:t>
            </w:r>
          </w:p>
        </w:tc>
        <w:tc>
          <w:tcPr>
            <w:tcW w:w="2438" w:type="pct"/>
            <w:vAlign w:val="top"/>
          </w:tcPr>
          <w:p w14:paraId="1425895E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实验室值超出合理范围；体温/心率异常</w:t>
            </w:r>
          </w:p>
        </w:tc>
        <w:tc>
          <w:tcPr>
            <w:tcW w:w="1690" w:type="pct"/>
            <w:vAlign w:val="top"/>
          </w:tcPr>
          <w:p w14:paraId="27F96760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自动提示或Query；必要时触发安全审核</w:t>
            </w:r>
          </w:p>
        </w:tc>
      </w:tr>
      <w:tr w14:paraId="705FC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pct"/>
            <w:vAlign w:val="top"/>
          </w:tcPr>
          <w:p w14:paraId="7F937013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日期顺序核查</w:t>
            </w:r>
          </w:p>
        </w:tc>
        <w:tc>
          <w:tcPr>
            <w:tcW w:w="2438" w:type="pct"/>
            <w:vAlign w:val="top"/>
          </w:tcPr>
          <w:p w14:paraId="71F4E713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停药日期早于给药日期；访视日期超窗口且无偏差记录</w:t>
            </w:r>
          </w:p>
        </w:tc>
        <w:tc>
          <w:tcPr>
            <w:tcW w:w="1690" w:type="pct"/>
            <w:vAlign w:val="top"/>
          </w:tcPr>
          <w:p w14:paraId="16994C6F">
            <w:pPr>
              <w:spacing w:after="0" w:line="240" w:lineRule="auto"/>
            </w:pPr>
            <w:r>
              <w:t>自动Query；必要时记录方案偏差（见SOP20）</w:t>
            </w:r>
          </w:p>
        </w:tc>
      </w:tr>
      <w:tr w14:paraId="60F7B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pct"/>
            <w:vAlign w:val="top"/>
          </w:tcPr>
          <w:p w14:paraId="59596CDE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跨表一致性</w:t>
            </w:r>
          </w:p>
        </w:tc>
        <w:tc>
          <w:tcPr>
            <w:tcW w:w="2438" w:type="pct"/>
            <w:vAlign w:val="top"/>
          </w:tcPr>
          <w:p w14:paraId="4C1B7849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随机/分层与用药方案不一致；AE与停药原因不一致</w:t>
            </w:r>
          </w:p>
        </w:tc>
        <w:tc>
          <w:tcPr>
            <w:tcW w:w="1690" w:type="pct"/>
            <w:vAlign w:val="top"/>
          </w:tcPr>
          <w:p w14:paraId="53FB6B0B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人工复核+Query</w:t>
            </w:r>
          </w:p>
        </w:tc>
      </w:tr>
      <w:tr w14:paraId="3645B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pct"/>
            <w:vAlign w:val="top"/>
          </w:tcPr>
          <w:p w14:paraId="466BB504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自动分级/计算</w:t>
            </w:r>
          </w:p>
        </w:tc>
        <w:tc>
          <w:tcPr>
            <w:tcW w:w="2438" w:type="pct"/>
            <w:vAlign w:val="top"/>
          </w:tcPr>
          <w:p w14:paraId="113DCDC8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实验室与心电DAIDS自动分级、QTcF计算（见SOP09）</w:t>
            </w:r>
          </w:p>
        </w:tc>
        <w:tc>
          <w:tcPr>
            <w:tcW w:w="1690" w:type="pct"/>
            <w:vAlign w:val="top"/>
          </w:tcPr>
          <w:p w14:paraId="1585E611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EDC自动生成Grade；研究者确认与处置</w:t>
            </w:r>
          </w:p>
        </w:tc>
      </w:tr>
      <w:tr w14:paraId="67DF4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70" w:type="pct"/>
            <w:vAlign w:val="top"/>
          </w:tcPr>
          <w:p w14:paraId="0A962A2D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编码与字典</w:t>
            </w:r>
          </w:p>
        </w:tc>
        <w:tc>
          <w:tcPr>
            <w:tcW w:w="2438" w:type="pct"/>
            <w:vAlign w:val="top"/>
          </w:tcPr>
          <w:p w14:paraId="31D2FB45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MedDRA/WHO-DD编码缺失或冲突</w:t>
            </w:r>
          </w:p>
        </w:tc>
        <w:tc>
          <w:tcPr>
            <w:tcW w:w="1690" w:type="pct"/>
            <w:vAlign w:val="top"/>
          </w:tcPr>
          <w:p w14:paraId="692C4B8D">
            <w:pPr>
              <w:spacing w:after="0" w:line="240" w:lineRule="auto"/>
            </w:pPr>
            <w:r>
              <w:rPr>
                <w:rFonts w:ascii="Calibri" w:hAnsi="Calibri" w:eastAsia="Calibri"/>
                <w:sz w:val="20"/>
              </w:rPr>
              <w:t>DM/编码员修正并记录版本</w:t>
            </w:r>
          </w:p>
        </w:tc>
      </w:tr>
    </w:tbl>
    <w:p w14:paraId="76767032"/>
    <w:p w14:paraId="24BDD898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Query创建与分派</w:t>
      </w:r>
    </w:p>
    <w:p w14:paraId="29E70778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自动Query：由EDC Edit Checks触发（建议自动标记规则版本与触发条件）。</w:t>
      </w:r>
    </w:p>
    <w:p w14:paraId="2493A425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人工Query：由DM中央核查、CRA监查、医学/统计复核创建。</w:t>
      </w:r>
    </w:p>
    <w:p w14:paraId="2F9EBC37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优先级分级：安全相关（SAE/关键AE/关键终点）应标记为“高优先级”，优先闭环；一般数据质量Query为“常规”。</w:t>
      </w:r>
    </w:p>
    <w:p w14:paraId="7DDAB82B">
      <w:pPr>
        <w:pStyle w:val="19"/>
        <w:widowControl/>
        <w:numPr>
          <w:ilvl w:val="0"/>
          <w:numId w:val="14"/>
        </w:numPr>
        <w:ind w:left="360" w:leftChars="0" w:hanging="360" w:firstLineChars="0"/>
      </w:pPr>
      <w:r>
        <w:t>分派对象：默认分派至分中心CRC/研究者；涉及实验室/影像外部数据者可分派至相应责任方并抄送DM。</w:t>
      </w:r>
    </w:p>
    <w:p w14:paraId="5C4148B2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Query闭环流程（创建→回复→复核→关闭）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2534"/>
        <w:gridCol w:w="5379"/>
      </w:tblGrid>
      <w:tr w14:paraId="6F330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pct"/>
            <w:vAlign w:val="top"/>
          </w:tcPr>
          <w:p w14:paraId="12B81DE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步骤</w:t>
            </w:r>
          </w:p>
        </w:tc>
        <w:tc>
          <w:tcPr>
            <w:tcW w:w="1323" w:type="pct"/>
            <w:vAlign w:val="top"/>
          </w:tcPr>
          <w:p w14:paraId="50ED6560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责任方</w:t>
            </w:r>
          </w:p>
        </w:tc>
        <w:tc>
          <w:tcPr>
            <w:tcW w:w="2808" w:type="pct"/>
            <w:vAlign w:val="top"/>
          </w:tcPr>
          <w:p w14:paraId="06498F34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关键要求（要点）</w:t>
            </w:r>
          </w:p>
        </w:tc>
      </w:tr>
      <w:tr w14:paraId="0F4C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pct"/>
            <w:vAlign w:val="top"/>
          </w:tcPr>
          <w:p w14:paraId="317DF35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1. 创建</w:t>
            </w:r>
          </w:p>
        </w:tc>
        <w:tc>
          <w:tcPr>
            <w:tcW w:w="1323" w:type="pct"/>
            <w:vAlign w:val="top"/>
          </w:tcPr>
          <w:p w14:paraId="401448C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EDC/DM/CRA/医学/统计</w:t>
            </w:r>
          </w:p>
        </w:tc>
        <w:tc>
          <w:tcPr>
            <w:tcW w:w="2808" w:type="pct"/>
            <w:vAlign w:val="top"/>
          </w:tcPr>
          <w:p w14:paraId="5E52920D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描述问题、引用字段与时间点、提出期望操作（更正/确认/补充解释）。</w:t>
            </w:r>
          </w:p>
        </w:tc>
      </w:tr>
      <w:tr w14:paraId="20CBD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pct"/>
            <w:vAlign w:val="top"/>
          </w:tcPr>
          <w:p w14:paraId="461D276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2. 通知与分派</w:t>
            </w:r>
          </w:p>
        </w:tc>
        <w:tc>
          <w:tcPr>
            <w:tcW w:w="1323" w:type="pct"/>
            <w:vAlign w:val="top"/>
          </w:tcPr>
          <w:p w14:paraId="15E9B1C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EDC系统/DM</w:t>
            </w:r>
          </w:p>
        </w:tc>
        <w:tc>
          <w:tcPr>
            <w:tcW w:w="2808" w:type="pct"/>
            <w:vAlign w:val="top"/>
          </w:tcPr>
          <w:p w14:paraId="1CE9616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系统通知分中心；必要时邮件/IM提醒；记录分派日期。</w:t>
            </w:r>
          </w:p>
        </w:tc>
      </w:tr>
      <w:tr w14:paraId="4CF4D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pct"/>
            <w:vAlign w:val="top"/>
          </w:tcPr>
          <w:p w14:paraId="367F4434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3. 现场核对</w:t>
            </w:r>
          </w:p>
        </w:tc>
        <w:tc>
          <w:tcPr>
            <w:tcW w:w="1323" w:type="pct"/>
            <w:vAlign w:val="top"/>
          </w:tcPr>
          <w:p w14:paraId="01E23E5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CRC/研究者</w:t>
            </w:r>
          </w:p>
        </w:tc>
        <w:tc>
          <w:tcPr>
            <w:tcW w:w="2808" w:type="pct"/>
            <w:vAlign w:val="top"/>
          </w:tcPr>
          <w:p w14:paraId="0EA45E4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回查源文件；必要时补采/补录；如源文件亦需更正，按机构流程完成并留痕。</w:t>
            </w:r>
          </w:p>
        </w:tc>
      </w:tr>
      <w:tr w14:paraId="680F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pct"/>
            <w:vAlign w:val="top"/>
          </w:tcPr>
          <w:p w14:paraId="7A008D9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4. 回复</w:t>
            </w:r>
          </w:p>
        </w:tc>
        <w:tc>
          <w:tcPr>
            <w:tcW w:w="1323" w:type="pct"/>
            <w:vAlign w:val="top"/>
          </w:tcPr>
          <w:p w14:paraId="4E75C7EB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CRC/研究者</w:t>
            </w:r>
          </w:p>
        </w:tc>
        <w:tc>
          <w:tcPr>
            <w:tcW w:w="2808" w:type="pct"/>
            <w:vAlign w:val="top"/>
          </w:tcPr>
          <w:p w14:paraId="55C5533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在EDC中更正数据并填写原因；或选择“确认无误”并给出医学解释；可上传支持性文件（如允许）。</w:t>
            </w:r>
          </w:p>
        </w:tc>
      </w:tr>
      <w:tr w14:paraId="10B73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pct"/>
            <w:vAlign w:val="top"/>
          </w:tcPr>
          <w:p w14:paraId="3F8E8EFF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5. 复核</w:t>
            </w:r>
          </w:p>
        </w:tc>
        <w:tc>
          <w:tcPr>
            <w:tcW w:w="1323" w:type="pct"/>
            <w:vAlign w:val="top"/>
          </w:tcPr>
          <w:p w14:paraId="46643BBA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DM/CRA（视问题来源）</w:t>
            </w:r>
          </w:p>
        </w:tc>
        <w:tc>
          <w:tcPr>
            <w:tcW w:w="2808" w:type="pct"/>
            <w:vAlign w:val="top"/>
          </w:tcPr>
          <w:p w14:paraId="4E8A6F5E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核对回复是否解决问题；必要时重开Query或升级。</w:t>
            </w:r>
          </w:p>
        </w:tc>
      </w:tr>
      <w:tr w14:paraId="4A56CE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8" w:type="pct"/>
            <w:vAlign w:val="top"/>
          </w:tcPr>
          <w:p w14:paraId="7FBDB79F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6. 关闭</w:t>
            </w:r>
          </w:p>
        </w:tc>
        <w:tc>
          <w:tcPr>
            <w:tcW w:w="1323" w:type="pct"/>
            <w:vAlign w:val="top"/>
          </w:tcPr>
          <w:p w14:paraId="5F8F479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DM（或系统）</w:t>
            </w:r>
          </w:p>
        </w:tc>
        <w:tc>
          <w:tcPr>
            <w:tcW w:w="2808" w:type="pct"/>
            <w:vAlign w:val="top"/>
          </w:tcPr>
          <w:p w14:paraId="1595EBC0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满足关闭标准后关闭；保留关闭日期与关闭者。</w:t>
            </w:r>
          </w:p>
        </w:tc>
      </w:tr>
    </w:tbl>
    <w:p w14:paraId="400542AF"/>
    <w:p w14:paraId="4D463E91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重开规则：若后续发现回复不充分、产生新矛盾或源文件变更，DM可重开Query并注明原因。</w:t>
      </w:r>
    </w:p>
    <w:p w14:paraId="2239BA6A">
      <w:pPr>
        <w:pStyle w:val="19"/>
        <w:widowControl/>
        <w:numPr>
          <w:ilvl w:val="0"/>
          <w:numId w:val="15"/>
        </w:numPr>
        <w:ind w:left="360" w:leftChars="0" w:hanging="360" w:firstLineChars="0"/>
      </w:pPr>
      <w:r>
        <w:t>升级机制：超过约定时限未回复或反复不一致的，升级至分中心PI与项目管理；必要时启动CAPA（SOP20）。</w:t>
      </w:r>
    </w:p>
    <w:p w14:paraId="114C7C48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关键数据一致性核对（Reconciliation）</w:t>
      </w:r>
    </w:p>
    <w:p w14:paraId="5BD357B9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安全性：SAE/关键AE在源文件、eCRF与安全性汇总表之间一致；对漏报/误报进行追踪（研究方案要求）。</w:t>
      </w:r>
    </w:p>
    <w:p w14:paraId="7C55EFD1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实验室与心电：原始结果、自动分级（SOP09）与研究者确认一致；异常/关键值的处置记录齐全。</w:t>
      </w:r>
    </w:p>
    <w:p w14:paraId="07E5C1BF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影像：影像采集日期与随访表一致；中心阅片评分与eCRF字段一致；重大影像学发现已回报并记录。</w:t>
      </w:r>
    </w:p>
    <w:p w14:paraId="27852828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PRO：扫码填报/系统导入数据与eCRF记录一致；缺失/异常模式可触发提醒或Query。</w:t>
      </w:r>
    </w:p>
    <w:p w14:paraId="1CCA035B">
      <w:pPr>
        <w:pStyle w:val="19"/>
        <w:widowControl/>
        <w:numPr>
          <w:ilvl w:val="0"/>
          <w:numId w:val="16"/>
        </w:numPr>
        <w:ind w:left="360" w:leftChars="0" w:hanging="360" w:firstLineChars="0"/>
      </w:pPr>
      <w:r>
        <w:t>用药：发放、回收、依从性记录与方案用药一致；任何调整/停药与AE/原因表单一致。</w:t>
      </w:r>
    </w:p>
    <w:p w14:paraId="5F91536D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数据清理节奏与质量指标</w:t>
      </w:r>
    </w:p>
    <w:p w14:paraId="57E9A061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例行清理：DM定期运行Edit Checks与中央核查，生成“未关闭Query清单”“缺失关键字段清单”“超窗/偏差清单”。</w:t>
      </w:r>
    </w:p>
    <w:p w14:paraId="640847D5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质量指标建议：Query关闭率、Query平均周转时间、关键字段缺失率、跨表矛盾率、超窗率。</w:t>
      </w:r>
    </w:p>
    <w:p w14:paraId="30E5B07F">
      <w:pPr>
        <w:pStyle w:val="19"/>
        <w:widowControl/>
        <w:numPr>
          <w:ilvl w:val="0"/>
          <w:numId w:val="17"/>
        </w:numPr>
        <w:ind w:left="360" w:leftChars="0" w:hanging="360" w:firstLineChars="0"/>
      </w:pPr>
      <w:r>
        <w:t>反馈机制：定期向分中心发送数据质量报告；必要时组织再培训（对接SOP00）。</w:t>
      </w:r>
    </w:p>
    <w:p w14:paraId="63769A46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数据冻结（Data Cut/Freeze）与中期节点支持</w:t>
      </w:r>
    </w:p>
    <w:p w14:paraId="17DDC566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冻结适用场景：阶段性汇总（如DSMB中期审阅、里程碑汇报、预设分析节点）。</w:t>
      </w:r>
    </w:p>
    <w:p w14:paraId="4073A8F2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冻结前提：冻结范围内关键Query已尽可能关闭；冻结清单与版本号明确（数据字典、编码字典、程序版本）。</w:t>
      </w:r>
    </w:p>
    <w:p w14:paraId="5F373E80">
      <w:pPr>
        <w:pStyle w:val="19"/>
        <w:widowControl/>
        <w:numPr>
          <w:ilvl w:val="0"/>
          <w:numId w:val="18"/>
        </w:numPr>
        <w:ind w:left="360" w:leftChars="0" w:hanging="360" w:firstLineChars="0"/>
      </w:pPr>
      <w:r>
        <w:t>冻结产出：生成可追溯的数据截面（含导出时间、版本号、校验值/哈希），并严格控制访问权限与盲态状态（如适用）。</w:t>
      </w:r>
    </w:p>
    <w:p w14:paraId="649519DA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锁库流程（Database Lock）</w:t>
      </w:r>
    </w:p>
    <w:p w14:paraId="59756D64">
      <w:pPr>
        <w:pStyle w:val="19"/>
        <w:widowControl/>
      </w:pPr>
      <w:r>
        <w:t>研究方案未对锁库步骤作操作级展开时，本SOP给出统一的“可审计锁库流程”。锁库以“终末数据清理完成并经签字确认”为前提。</w:t>
      </w:r>
    </w:p>
    <w:p w14:paraId="4C3BDB9B">
      <w:pPr>
        <w:pStyle w:val="4"/>
        <w:widowControl/>
        <w:numPr>
          <w:ilvl w:val="0"/>
          <w:numId w:val="12"/>
        </w:numPr>
        <w:ind w:left="0" w:leftChars="0" w:firstLine="0" w:firstLineChars="0"/>
        <w:rPr>
          <w:b/>
          <w:bdr w:val="none" w:sz="0" w:space="0"/>
        </w:rPr>
      </w:pPr>
      <w:r>
        <w:t>稽查/审计与检查准备（Inspection readiness）</w:t>
      </w:r>
    </w:p>
    <w:p w14:paraId="738839FE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稽查对象：EDC数据、审计追踪、数据导入日志、Query闭环记录、冻结/锁库证据、权限与备份记录等。</w:t>
      </w:r>
    </w:p>
    <w:p w14:paraId="1B92ADCF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最低可核查信息（Minimum Auditable Set）：数据管理计划（如有）、Edit Checks规则清单与版本、数据质量报告、锁库批准表、导出日志与校验值、重要偏差与CAPA闭环证据（SOP20）。</w:t>
      </w:r>
    </w:p>
    <w:p w14:paraId="1B6BABFD">
      <w:pPr>
        <w:pStyle w:val="19"/>
        <w:widowControl/>
        <w:numPr>
          <w:ilvl w:val="0"/>
          <w:numId w:val="19"/>
        </w:numPr>
        <w:ind w:left="360" w:leftChars="0" w:hanging="360" w:firstLineChars="0"/>
      </w:pPr>
      <w:r>
        <w:t>与终点/CEC一致性：终点证据链材料包（SOP15）与EDC字段必须一致；晚到结果/更正需保留来源与时间戳。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0"/>
        <w:gridCol w:w="4151"/>
        <w:gridCol w:w="3885"/>
      </w:tblGrid>
      <w:tr w14:paraId="650B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pct"/>
            <w:vAlign w:val="top"/>
          </w:tcPr>
          <w:p w14:paraId="6124CD8F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阶段</w:t>
            </w:r>
          </w:p>
        </w:tc>
        <w:tc>
          <w:tcPr>
            <w:tcW w:w="2167" w:type="pct"/>
            <w:vAlign w:val="top"/>
          </w:tcPr>
          <w:p w14:paraId="5FABA361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关键条件</w:t>
            </w:r>
          </w:p>
        </w:tc>
        <w:tc>
          <w:tcPr>
            <w:tcW w:w="2028" w:type="pct"/>
            <w:vAlign w:val="top"/>
          </w:tcPr>
          <w:p w14:paraId="38C2A52D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0"/>
              </w:rPr>
              <w:t>主要产出/记录</w:t>
            </w:r>
          </w:p>
        </w:tc>
      </w:tr>
      <w:tr w14:paraId="4B95F0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pct"/>
            <w:vAlign w:val="top"/>
          </w:tcPr>
          <w:p w14:paraId="3E36630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A. 锁库准备</w:t>
            </w:r>
          </w:p>
        </w:tc>
        <w:tc>
          <w:tcPr>
            <w:tcW w:w="2167" w:type="pct"/>
            <w:vAlign w:val="top"/>
          </w:tcPr>
          <w:p w14:paraId="264308C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主要终点/SAE等关键数据完成SDV；未关闭Query清零或完成豁免记录；编码完成；一致性核对完成</w:t>
            </w:r>
          </w:p>
        </w:tc>
        <w:tc>
          <w:tcPr>
            <w:tcW w:w="2028" w:type="pct"/>
            <w:vAlign w:val="top"/>
          </w:tcPr>
          <w:p w14:paraId="669AEE1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锁库前数据清理报告；未关闭问题豁免清单（如有）</w:t>
            </w:r>
          </w:p>
        </w:tc>
      </w:tr>
      <w:tr w14:paraId="5351E3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pct"/>
            <w:vAlign w:val="top"/>
          </w:tcPr>
          <w:p w14:paraId="6A365A5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B. 预锁（可选）</w:t>
            </w:r>
          </w:p>
        </w:tc>
        <w:tc>
          <w:tcPr>
            <w:tcW w:w="2167" w:type="pct"/>
            <w:vAlign w:val="top"/>
          </w:tcPr>
          <w:p w14:paraId="20C3B77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限制编辑权限，仅允许受控更改</w:t>
            </w:r>
          </w:p>
        </w:tc>
        <w:tc>
          <w:tcPr>
            <w:tcW w:w="2028" w:type="pct"/>
            <w:vAlign w:val="top"/>
          </w:tcPr>
          <w:p w14:paraId="51B1A25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预锁声明；权限变更记录</w:t>
            </w:r>
          </w:p>
        </w:tc>
      </w:tr>
      <w:tr w14:paraId="0CA5B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pct"/>
            <w:vAlign w:val="top"/>
          </w:tcPr>
          <w:p w14:paraId="0F9C098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C. 正式锁库</w:t>
            </w:r>
          </w:p>
        </w:tc>
        <w:tc>
          <w:tcPr>
            <w:tcW w:w="2167" w:type="pct"/>
            <w:vAlign w:val="top"/>
          </w:tcPr>
          <w:p w14:paraId="21260EC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DM发起锁库；PI/申办方/统计（按DMP）完成签字；系统设为只读</w:t>
            </w:r>
          </w:p>
        </w:tc>
        <w:tc>
          <w:tcPr>
            <w:tcW w:w="2028" w:type="pct"/>
            <w:vAlign w:val="top"/>
          </w:tcPr>
          <w:p w14:paraId="076BFE6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锁库批准表；锁库时间戳；只读权限证明</w:t>
            </w:r>
          </w:p>
        </w:tc>
      </w:tr>
      <w:tr w14:paraId="73227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pct"/>
            <w:vAlign w:val="top"/>
          </w:tcPr>
          <w:p w14:paraId="3D8EBD2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D. 锁库产出</w:t>
            </w:r>
          </w:p>
        </w:tc>
        <w:tc>
          <w:tcPr>
            <w:tcW w:w="2167" w:type="pct"/>
            <w:vAlign w:val="top"/>
          </w:tcPr>
          <w:p w14:paraId="4C9BBB6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导出分析数据库（去标识化Subject ID）；生成校验值/版本号；归档</w:t>
            </w:r>
          </w:p>
        </w:tc>
        <w:tc>
          <w:tcPr>
            <w:tcW w:w="2028" w:type="pct"/>
            <w:vAlign w:val="top"/>
          </w:tcPr>
          <w:p w14:paraId="0AEC8035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分析数据集+数据字典+导出日志+校验值</w:t>
            </w:r>
          </w:p>
        </w:tc>
      </w:tr>
      <w:tr w14:paraId="6A317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04" w:type="pct"/>
            <w:vAlign w:val="top"/>
          </w:tcPr>
          <w:p w14:paraId="3AF437D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E. 解锁（如必须）</w:t>
            </w:r>
          </w:p>
        </w:tc>
        <w:tc>
          <w:tcPr>
            <w:tcW w:w="2167" w:type="pct"/>
            <w:vAlign w:val="top"/>
          </w:tcPr>
          <w:p w14:paraId="028F4B4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仅限严重错误或监管要求；走变更控制；记录影响评估与CAPA</w:t>
            </w:r>
          </w:p>
        </w:tc>
        <w:tc>
          <w:tcPr>
            <w:tcW w:w="2028" w:type="pct"/>
            <w:vAlign w:val="top"/>
          </w:tcPr>
          <w:p w14:paraId="1211CEA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解锁申请/批准；变更记录；重锁库记录</w:t>
            </w:r>
          </w:p>
        </w:tc>
      </w:tr>
    </w:tbl>
    <w:p w14:paraId="16F5B6C1"/>
    <w:p w14:paraId="24E35089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安全与合规（权限、保密、备份）</w:t>
      </w:r>
    </w:p>
    <w:p w14:paraId="0781D771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去标识化：eCRF与分析数据库仅使用Subject ID，不包含姓名/身份证号等直接识别信息（与研究方案一致）。</w:t>
      </w:r>
    </w:p>
    <w:p w14:paraId="2964C6A8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鉴认代码表：由各中心单独保存，与医疗记录分开存放；不得上传至分析数据库。</w:t>
      </w:r>
    </w:p>
    <w:p w14:paraId="2CAAF9DB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权限管理：基于角色的最小权限原则；锁库后仅只读权限；所有更改留存审计追踪。</w:t>
      </w:r>
    </w:p>
    <w:p w14:paraId="6DE62E71">
      <w:pPr>
        <w:pStyle w:val="19"/>
        <w:widowControl/>
        <w:numPr>
          <w:ilvl w:val="0"/>
          <w:numId w:val="20"/>
        </w:numPr>
        <w:ind w:left="360" w:leftChars="0" w:hanging="360" w:firstLineChars="0"/>
      </w:pPr>
      <w:r>
        <w:t>备份与灾备：EDC管理员按机构/申办方流程执行定期备份与恢复演练，保留记录。</w:t>
      </w:r>
    </w:p>
    <w:p w14:paraId="794BDF24">
      <w:pPr>
        <w:pStyle w:val="3"/>
        <w:widowControl/>
        <w:numPr>
          <w:ilvl w:val="0"/>
          <w:numId w:val="7"/>
        </w:numPr>
        <w:ind w:left="0" w:leftChars="0" w:firstLine="0" w:firstLineChars="0"/>
        <w:rPr>
          <w:b/>
          <w:bdr w:val="none" w:sz="0" w:space="0"/>
        </w:rPr>
      </w:pPr>
      <w:r>
        <w:t>培训与文件留存</w:t>
      </w:r>
    </w:p>
    <w:p w14:paraId="535BD18C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培训：研究启动与重大版本更新时，对CRC/研究者/DM/CRA开展EDC操作、录入规范、Query处理、锁库流程培训（对接SOP00）。</w:t>
      </w:r>
    </w:p>
    <w:p w14:paraId="29C4F5C6">
      <w:pPr>
        <w:pStyle w:val="19"/>
        <w:widowControl/>
        <w:numPr>
          <w:ilvl w:val="0"/>
          <w:numId w:val="21"/>
        </w:numPr>
        <w:ind w:left="360" w:leftChars="0" w:hanging="360" w:firstLineChars="0"/>
      </w:pPr>
      <w:r>
        <w:t>留存：本SOP、Edit Ch</w:t>
      </w:r>
      <w:bookmarkStart w:id="0" w:name="_GoBack"/>
      <w:bookmarkEnd w:id="0"/>
      <w:r>
        <w:t>ecks规则清单与版本、Query日志、冻结/锁库批准表、导出日志与校验值、数据质量报告均应归档。</w:t>
      </w:r>
    </w:p>
    <w:p w14:paraId="67CA428E">
      <w:pPr>
        <w:pStyle w:val="164"/>
        <w:widowControl/>
      </w:pPr>
      <w:r>
        <w:t>附录A：Query字段建议（用于EDC或导出）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17"/>
        <w:gridCol w:w="6959"/>
      </w:tblGrid>
      <w:tr w14:paraId="210B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03A3E86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字段</w:t>
            </w:r>
          </w:p>
        </w:tc>
        <w:tc>
          <w:tcPr>
            <w:tcW w:w="3633" w:type="pct"/>
            <w:vAlign w:val="top"/>
          </w:tcPr>
          <w:p w14:paraId="6EE03312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说明</w:t>
            </w:r>
          </w:p>
        </w:tc>
      </w:tr>
      <w:tr w14:paraId="559FE7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5336C70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Query ID</w:t>
            </w:r>
          </w:p>
        </w:tc>
        <w:tc>
          <w:tcPr>
            <w:tcW w:w="3633" w:type="pct"/>
            <w:vAlign w:val="top"/>
          </w:tcPr>
          <w:p w14:paraId="5E3B1C64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唯一编号</w:t>
            </w:r>
          </w:p>
        </w:tc>
      </w:tr>
      <w:tr w14:paraId="37C04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46E9C78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来源</w:t>
            </w:r>
          </w:p>
        </w:tc>
        <w:tc>
          <w:tcPr>
            <w:tcW w:w="3633" w:type="pct"/>
            <w:vAlign w:val="top"/>
          </w:tcPr>
          <w:p w14:paraId="0CE785CB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自动/DM/CRA/医学/统计</w:t>
            </w:r>
          </w:p>
        </w:tc>
      </w:tr>
      <w:tr w14:paraId="0794F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7ADA3B7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优先级</w:t>
            </w:r>
          </w:p>
        </w:tc>
        <w:tc>
          <w:tcPr>
            <w:tcW w:w="3633" w:type="pct"/>
            <w:vAlign w:val="top"/>
          </w:tcPr>
          <w:p w14:paraId="27EBA910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高（安全/关键终点）/常规</w:t>
            </w:r>
          </w:p>
        </w:tc>
      </w:tr>
      <w:tr w14:paraId="4DC8A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32BA68DC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问题描述</w:t>
            </w:r>
          </w:p>
        </w:tc>
        <w:tc>
          <w:tcPr>
            <w:tcW w:w="3633" w:type="pct"/>
            <w:vAlign w:val="top"/>
          </w:tcPr>
          <w:p w14:paraId="4D122317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清晰可操作（引用字段、访视、期望动作）</w:t>
            </w:r>
          </w:p>
        </w:tc>
      </w:tr>
      <w:tr w14:paraId="06CDD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77EF2D0A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分派对象</w:t>
            </w:r>
          </w:p>
        </w:tc>
        <w:tc>
          <w:tcPr>
            <w:tcW w:w="3633" w:type="pct"/>
            <w:vAlign w:val="top"/>
          </w:tcPr>
          <w:p w14:paraId="008BF42E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分中心/责任人</w:t>
            </w:r>
          </w:p>
        </w:tc>
      </w:tr>
      <w:tr w14:paraId="1284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17D25641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创建/分派/回复/关闭日期</w:t>
            </w:r>
          </w:p>
        </w:tc>
        <w:tc>
          <w:tcPr>
            <w:tcW w:w="3633" w:type="pct"/>
            <w:vAlign w:val="top"/>
          </w:tcPr>
          <w:p w14:paraId="58CBE5D9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用于周转时间监控</w:t>
            </w:r>
          </w:p>
        </w:tc>
      </w:tr>
      <w:tr w14:paraId="01E877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75D7A313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关闭状态</w:t>
            </w:r>
          </w:p>
        </w:tc>
        <w:tc>
          <w:tcPr>
            <w:tcW w:w="3633" w:type="pct"/>
            <w:vAlign w:val="top"/>
          </w:tcPr>
          <w:p w14:paraId="6DA600B6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关闭/重开/豁免（需说明与批准）</w:t>
            </w:r>
          </w:p>
        </w:tc>
      </w:tr>
      <w:tr w14:paraId="0CB60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6" w:type="pct"/>
            <w:vAlign w:val="top"/>
          </w:tcPr>
          <w:p w14:paraId="39AA91C8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审计追踪引用</w:t>
            </w:r>
          </w:p>
        </w:tc>
        <w:tc>
          <w:tcPr>
            <w:tcW w:w="3633" w:type="pct"/>
            <w:vAlign w:val="top"/>
          </w:tcPr>
          <w:p w14:paraId="2641DE8F">
            <w:pPr>
              <w:pStyle w:val="19"/>
              <w:widowControl/>
              <w:numPr>
                <w:numId w:val="0"/>
              </w:numPr>
              <w:tabs>
                <w:tab w:val="left" w:pos="360"/>
              </w:tabs>
              <w:ind w:leftChars="0"/>
            </w:pPr>
            <w:r>
              <w:t>相关eCRF变更记录ID（如系统支持）</w:t>
            </w:r>
          </w:p>
        </w:tc>
      </w:tr>
    </w:tbl>
    <w:p w14:paraId="3BA43506"/>
    <w:p w14:paraId="21997374">
      <w:r>
        <w:br w:type="page"/>
      </w:r>
    </w:p>
    <w:p w14:paraId="275745DF">
      <w:pPr>
        <w:pStyle w:val="3"/>
      </w:pPr>
      <w:r>
        <w:t>附录B：锁库核对清单（简版）</w:t>
      </w:r>
    </w:p>
    <w:tbl>
      <w:tblPr>
        <w:tblStyle w:val="3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96"/>
        <w:gridCol w:w="5580"/>
      </w:tblGrid>
      <w:tr w14:paraId="7F134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09DCF743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核对项</w:t>
            </w:r>
          </w:p>
        </w:tc>
        <w:tc>
          <w:tcPr>
            <w:tcW w:w="2913" w:type="pct"/>
            <w:vAlign w:val="top"/>
          </w:tcPr>
          <w:p w14:paraId="7E6EE448">
            <w:pPr>
              <w:spacing w:after="0" w:line="240" w:lineRule="auto"/>
            </w:pPr>
            <w:r>
              <w:rPr>
                <w:rFonts w:ascii="Calibri" w:hAnsi="Calibri" w:eastAsia="Calibri"/>
                <w:b/>
                <w:sz w:val="21"/>
              </w:rPr>
              <w:t>完成情况/备注</w:t>
            </w:r>
          </w:p>
        </w:tc>
      </w:tr>
      <w:tr w14:paraId="46BA8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584032EC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关键数据SDV完成（入排、主要终点、SAE等）</w:t>
            </w:r>
          </w:p>
        </w:tc>
        <w:tc>
          <w:tcPr>
            <w:tcW w:w="2913" w:type="pct"/>
            <w:vAlign w:val="top"/>
          </w:tcPr>
          <w:p w14:paraId="7395934E">
            <w:pPr>
              <w:spacing w:after="0" w:line="240" w:lineRule="auto"/>
            </w:pPr>
          </w:p>
        </w:tc>
      </w:tr>
      <w:tr w14:paraId="64CD8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541E203C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所有Query已关闭或完成豁免记录</w:t>
            </w:r>
          </w:p>
        </w:tc>
        <w:tc>
          <w:tcPr>
            <w:tcW w:w="2913" w:type="pct"/>
            <w:vAlign w:val="top"/>
          </w:tcPr>
          <w:p w14:paraId="5981622A">
            <w:pPr>
              <w:spacing w:after="0" w:line="240" w:lineRule="auto"/>
            </w:pPr>
          </w:p>
        </w:tc>
      </w:tr>
      <w:tr w14:paraId="648D86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0F20FD5B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编码完成（MedDRA/WHO-DD等，如适用）</w:t>
            </w:r>
          </w:p>
        </w:tc>
        <w:tc>
          <w:tcPr>
            <w:tcW w:w="2913" w:type="pct"/>
            <w:vAlign w:val="top"/>
          </w:tcPr>
          <w:p w14:paraId="21A493A1">
            <w:pPr>
              <w:spacing w:after="0" w:line="240" w:lineRule="auto"/>
            </w:pPr>
          </w:p>
        </w:tc>
      </w:tr>
      <w:tr w14:paraId="0C06E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55C04916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一致性核对完成（安全性/影像/实验室/PRO/用药）</w:t>
            </w:r>
          </w:p>
        </w:tc>
        <w:tc>
          <w:tcPr>
            <w:tcW w:w="2913" w:type="pct"/>
            <w:vAlign w:val="top"/>
          </w:tcPr>
          <w:p w14:paraId="6C00AA62">
            <w:pPr>
              <w:spacing w:after="0" w:line="240" w:lineRule="auto"/>
            </w:pPr>
          </w:p>
        </w:tc>
      </w:tr>
      <w:tr w14:paraId="5AD66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1830B282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导出分析数据集（含数据字典、导出日志、校验值）</w:t>
            </w:r>
          </w:p>
        </w:tc>
        <w:tc>
          <w:tcPr>
            <w:tcW w:w="2913" w:type="pct"/>
            <w:vAlign w:val="top"/>
          </w:tcPr>
          <w:p w14:paraId="6399599F">
            <w:pPr>
              <w:spacing w:after="0" w:line="240" w:lineRule="auto"/>
            </w:pPr>
          </w:p>
        </w:tc>
      </w:tr>
      <w:tr w14:paraId="73BE1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6AC998A5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锁库批准（PI/DM/统计/申办方，按DMP）</w:t>
            </w:r>
          </w:p>
        </w:tc>
        <w:tc>
          <w:tcPr>
            <w:tcW w:w="2913" w:type="pct"/>
            <w:vAlign w:val="top"/>
          </w:tcPr>
          <w:p w14:paraId="2EC81FF3">
            <w:pPr>
              <w:spacing w:after="0" w:line="240" w:lineRule="auto"/>
            </w:pPr>
          </w:p>
        </w:tc>
      </w:tr>
      <w:tr w14:paraId="29B99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86" w:type="pct"/>
            <w:vAlign w:val="top"/>
          </w:tcPr>
          <w:p w14:paraId="549A1618">
            <w:pPr>
              <w:spacing w:after="0" w:line="240" w:lineRule="auto"/>
            </w:pPr>
            <w:r>
              <w:rPr>
                <w:rFonts w:ascii="Calibri" w:hAnsi="Calibri" w:eastAsia="Calibri"/>
                <w:sz w:val="21"/>
              </w:rPr>
              <w:t>锁库后权限只读确认</w:t>
            </w:r>
          </w:p>
        </w:tc>
        <w:tc>
          <w:tcPr>
            <w:tcW w:w="2913" w:type="pct"/>
            <w:vAlign w:val="top"/>
          </w:tcPr>
          <w:p w14:paraId="4B6FBA2C">
            <w:pPr>
              <w:spacing w:after="0" w:line="240" w:lineRule="auto"/>
            </w:pPr>
          </w:p>
        </w:tc>
      </w:tr>
    </w:tbl>
    <w:p w14:paraId="7267F77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altName w:val="Yu Gothic UI Semilight"/>
    <w:panose1 w:val="02020400000000000000"/>
    <w:charset w:val="80"/>
    <w:family w:val="auto"/>
    <w:pitch w:val="default"/>
    <w:sig w:usb0="00000000" w:usb1="00000000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9A748"/>
    <w:multiLevelType w:val="singleLevel"/>
    <w:tmpl w:val="9AD9A748"/>
    <w:lvl w:ilvl="0" w:tentative="0">
      <w:start w:val="1"/>
      <w:numFmt w:val="decimal"/>
      <w:suff w:val="space"/>
      <w:lvlText w:val="7.%1"/>
      <w:lvlJc w:val="left"/>
      <w:pPr>
        <w:ind w:left="0" w:firstLine="0"/>
      </w:pPr>
      <w:rPr>
        <w:rFonts w:hint="default"/>
      </w:rPr>
    </w:lvl>
  </w:abstractNum>
  <w:abstractNum w:abstractNumId="1">
    <w:nsid w:val="A69E38BE"/>
    <w:multiLevelType w:val="singleLevel"/>
    <w:tmpl w:val="A69E38B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AA55FCCE"/>
    <w:multiLevelType w:val="singleLevel"/>
    <w:tmpl w:val="AA55FCCE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3">
    <w:nsid w:val="AE58E7DB"/>
    <w:multiLevelType w:val="singleLevel"/>
    <w:tmpl w:val="AE58E7DB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BAFD3154"/>
    <w:multiLevelType w:val="singleLevel"/>
    <w:tmpl w:val="BAFD3154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BFFC39E8"/>
    <w:multiLevelType w:val="singleLevel"/>
    <w:tmpl w:val="BFFC39E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D69173E8"/>
    <w:multiLevelType w:val="singleLevel"/>
    <w:tmpl w:val="D69173E8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E91E0F55"/>
    <w:multiLevelType w:val="singleLevel"/>
    <w:tmpl w:val="E91E0F55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9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0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11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12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3">
    <w:nsid w:val="06C71BE4"/>
    <w:multiLevelType w:val="singleLevel"/>
    <w:tmpl w:val="06C71BE4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4">
    <w:nsid w:val="13419D9A"/>
    <w:multiLevelType w:val="singleLevel"/>
    <w:tmpl w:val="13419D9A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5">
    <w:nsid w:val="3834667F"/>
    <w:multiLevelType w:val="singleLevel"/>
    <w:tmpl w:val="3834667F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6">
    <w:nsid w:val="3D6BC3C2"/>
    <w:multiLevelType w:val="singleLevel"/>
    <w:tmpl w:val="3D6BC3C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7">
    <w:nsid w:val="55BAACE2"/>
    <w:multiLevelType w:val="singleLevel"/>
    <w:tmpl w:val="55BAACE2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8">
    <w:nsid w:val="57167439"/>
    <w:multiLevelType w:val="singleLevel"/>
    <w:tmpl w:val="57167439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9">
    <w:nsid w:val="704B4B10"/>
    <w:multiLevelType w:val="singleLevel"/>
    <w:tmpl w:val="704B4B10"/>
    <w:lvl w:ilvl="0" w:tentative="0">
      <w:start w:val="0"/>
      <w:numFmt w:val="bullet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0">
    <w:nsid w:val="778F5174"/>
    <w:multiLevelType w:val="singleLevel"/>
    <w:tmpl w:val="778F5174"/>
    <w:lvl w:ilvl="0" w:tentative="0">
      <w:start w:val="0"/>
      <w:numFmt w:val="bullet"/>
      <w:pStyle w:val="16"/>
      <w:suff w:val="space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9"/>
  </w:num>
  <w:num w:numId="2">
    <w:abstractNumId w:val="12"/>
  </w:num>
  <w:num w:numId="3">
    <w:abstractNumId w:val="20"/>
  </w:num>
  <w:num w:numId="4">
    <w:abstractNumId w:val="10"/>
  </w:num>
  <w:num w:numId="5">
    <w:abstractNumId w:val="8"/>
  </w:num>
  <w:num w:numId="6">
    <w:abstractNumId w:val="11"/>
  </w:num>
  <w:num w:numId="7">
    <w:abstractNumId w:val="13"/>
  </w:num>
  <w:num w:numId="8">
    <w:abstractNumId w:val="16"/>
  </w:num>
  <w:num w:numId="9">
    <w:abstractNumId w:val="4"/>
  </w:num>
  <w:num w:numId="10">
    <w:abstractNumId w:val="18"/>
  </w:num>
  <w:num w:numId="11">
    <w:abstractNumId w:val="2"/>
  </w:num>
  <w:num w:numId="12">
    <w:abstractNumId w:val="0"/>
  </w:num>
  <w:num w:numId="13">
    <w:abstractNumId w:val="3"/>
  </w:num>
  <w:num w:numId="14">
    <w:abstractNumId w:val="15"/>
  </w:num>
  <w:num w:numId="15">
    <w:abstractNumId w:val="7"/>
  </w:num>
  <w:num w:numId="16">
    <w:abstractNumId w:val="19"/>
  </w:num>
  <w:num w:numId="17">
    <w:abstractNumId w:val="17"/>
  </w:num>
  <w:num w:numId="18">
    <w:abstractNumId w:val="14"/>
  </w:num>
  <w:num w:numId="19">
    <w:abstractNumId w:val="5"/>
  </w:num>
  <w:num w:numId="20">
    <w:abstractNumId w:val="6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814C4C"/>
    <w:rsid w:val="3BB7184F"/>
    <w:rsid w:val="69D9295E"/>
    <w:rsid w:val="71B2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theme="minorBidi"/>
      <w:sz w:val="22"/>
      <w:szCs w:val="22"/>
      <w:lang w:val="en-US" w:eastAsia="en-US" w:bidi="ar-SA"/>
    </w:rPr>
  </w:style>
  <w:style w:type="paragraph" w:styleId="3">
    <w:name w:val="heading 1"/>
    <w:next w:val="1"/>
    <w:link w:val="138"/>
    <w:qFormat/>
    <w:uiPriority w:val="9"/>
    <w:pPr>
      <w:spacing w:before="200" w:after="80" w:line="240" w:lineRule="auto"/>
      <w:jc w:val="left"/>
      <w:outlineLvl w:val="0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4">
    <w:name w:val="heading 2"/>
    <w:next w:val="1"/>
    <w:link w:val="139"/>
    <w:unhideWhenUsed/>
    <w:qFormat/>
    <w:uiPriority w:val="9"/>
    <w:pPr>
      <w:spacing w:before="200" w:after="80" w:line="240" w:lineRule="auto"/>
      <w:jc w:val="left"/>
      <w:outlineLvl w:val="1"/>
    </w:pPr>
    <w:rPr>
      <w:rFonts w:ascii="Times New Roman" w:hAnsi="Times New Roman" w:eastAsia="宋体" w:cs="Times New Roman"/>
      <w:b/>
      <w:sz w:val="28"/>
      <w:szCs w:val="22"/>
      <w:lang w:bidi="ar-SA"/>
    </w:rPr>
  </w:style>
  <w:style w:type="paragraph" w:styleId="5">
    <w:name w:val="heading 3"/>
    <w:next w:val="1"/>
    <w:link w:val="140"/>
    <w:unhideWhenUsed/>
    <w:qFormat/>
    <w:uiPriority w:val="9"/>
    <w:pPr>
      <w:spacing w:before="160" w:after="40" w:line="240" w:lineRule="auto"/>
      <w:jc w:val="left"/>
      <w:outlineLvl w:val="2"/>
    </w:pPr>
    <w:rPr>
      <w:rFonts w:ascii="Times New Roman" w:hAnsi="Times New Roman" w:eastAsia="宋体" w:cs="Times New Roman"/>
      <w:b/>
      <w:sz w:val="24"/>
      <w:szCs w:val="22"/>
      <w:lang w:bidi="ar-SA"/>
    </w:rPr>
  </w:style>
  <w:style w:type="paragraph" w:styleId="6">
    <w:name w:val="heading 4"/>
    <w:next w:val="1"/>
    <w:link w:val="150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3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7">
    <w:name w:val="heading 5"/>
    <w:next w:val="1"/>
    <w:link w:val="151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4"/>
    </w:pPr>
    <w:rPr>
      <w:rFonts w:ascii="Times New Roman" w:hAnsi="Times New Roman" w:eastAsia="宋体" w:cs="Times New Roman"/>
      <w:b/>
      <w:bCs/>
      <w:kern w:val="2"/>
      <w:sz w:val="28"/>
      <w:szCs w:val="28"/>
      <w:lang w:bidi="ar-SA"/>
    </w:rPr>
  </w:style>
  <w:style w:type="paragraph" w:styleId="8">
    <w:name w:val="heading 6"/>
    <w:next w:val="1"/>
    <w:link w:val="152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5"/>
    </w:pPr>
    <w:rPr>
      <w:rFonts w:ascii="Times New Roman" w:hAnsi="Times New Roman" w:eastAsia="宋体" w:cs="Times New Roman"/>
      <w:b/>
      <w:bCs/>
      <w:kern w:val="2"/>
      <w:sz w:val="28"/>
      <w:szCs w:val="24"/>
      <w:lang w:bidi="ar-SA"/>
    </w:rPr>
  </w:style>
  <w:style w:type="paragraph" w:styleId="9">
    <w:name w:val="heading 7"/>
    <w:next w:val="1"/>
    <w:link w:val="153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6"/>
    </w:pPr>
    <w:rPr>
      <w:rFonts w:ascii="Times New Roman" w:hAnsi="Times New Roman" w:eastAsia="宋体" w:cs="Times New Roman"/>
      <w:b/>
      <w:bCs/>
      <w:kern w:val="2"/>
      <w:sz w:val="24"/>
      <w:szCs w:val="24"/>
      <w:lang w:bidi="ar-SA"/>
    </w:rPr>
  </w:style>
  <w:style w:type="paragraph" w:styleId="10">
    <w:name w:val="heading 8"/>
    <w:next w:val="1"/>
    <w:link w:val="154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7"/>
    </w:pPr>
    <w:rPr>
      <w:rFonts w:ascii="Times New Roman" w:hAnsi="Times New Roman" w:eastAsia="宋体" w:cs="Times New Roman"/>
      <w:b/>
      <w:kern w:val="2"/>
      <w:sz w:val="24"/>
      <w:szCs w:val="24"/>
      <w:lang w:bidi="ar-SA"/>
    </w:rPr>
  </w:style>
  <w:style w:type="paragraph" w:styleId="11">
    <w:name w:val="heading 9"/>
    <w:next w:val="1"/>
    <w:link w:val="155"/>
    <w:semiHidden/>
    <w:unhideWhenUsed/>
    <w:qFormat/>
    <w:uiPriority w:val="9"/>
    <w:pPr>
      <w:keepNext/>
      <w:keepLines/>
      <w:widowControl w:val="0"/>
      <w:adjustRightInd w:val="0"/>
      <w:spacing w:before="100" w:after="100" w:line="360" w:lineRule="auto"/>
      <w:jc w:val="both"/>
      <w:outlineLvl w:val="8"/>
    </w:pPr>
    <w:rPr>
      <w:rFonts w:ascii="Times New Roman" w:hAnsi="Times New Roman" w:eastAsia="宋体" w:cs="Times New Roman"/>
      <w:b/>
      <w:kern w:val="2"/>
      <w:sz w:val="21"/>
      <w:szCs w:val="21"/>
      <w:lang w:bidi="ar-SA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link w:val="144"/>
    <w:unhideWhenUsed/>
    <w:qFormat/>
    <w:uiPriority w:val="99"/>
    <w:pPr>
      <w:spacing w:before="0" w:after="0" w:line="240" w:lineRule="auto"/>
      <w:ind w:firstLine="0"/>
      <w:outlineLvl w:val="9"/>
    </w:pPr>
    <w:rPr>
      <w:rFonts w:ascii="Times New Roman" w:hAnsi="Calibri" w:eastAsia="宋体" w:cs="Times New Roman"/>
      <w:sz w:val="24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next w:val="1"/>
    <w:link w:val="142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b/>
      <w:kern w:val="28"/>
      <w:sz w:val="32"/>
      <w:szCs w:val="24"/>
      <w:lang w:bidi="ar-SA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next w:val="1"/>
    <w:link w:val="141"/>
    <w:qFormat/>
    <w:uiPriority w:val="10"/>
    <w:pPr>
      <w:spacing w:before="240" w:after="120" w:line="240" w:lineRule="auto"/>
      <w:jc w:val="left"/>
      <w:outlineLvl w:val="9"/>
    </w:pPr>
    <w:rPr>
      <w:rFonts w:ascii="Times New Roman" w:hAnsi="Times New Roman" w:eastAsia="宋体" w:cs="Times New Roman"/>
      <w:b/>
      <w:sz w:val="32"/>
      <w:szCs w:val="22"/>
      <w:lang w:bidi="ar-SA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1E386B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E386B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874CB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附录标题"/>
    <w:next w:val="1"/>
    <w:uiPriority w:val="0"/>
    <w:pPr>
      <w:spacing w:before="240" w:after="120" w:line="240" w:lineRule="auto"/>
      <w:jc w:val="left"/>
      <w:outlineLvl w:val="0"/>
    </w:pPr>
    <w:rPr>
      <w:rFonts w:ascii="Times New Roman" w:hAnsi="Times New Roman" w:eastAsia="宋体" w:cs="Times New Roman"/>
      <w:b/>
      <w:sz w:val="32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1940</Words>
  <Characters>2433</Characters>
  <Lines>0</Lines>
  <Paragraphs>0</Paragraphs>
  <TotalTime>2</TotalTime>
  <ScaleCrop>false</ScaleCrop>
  <LinksUpToDate>false</LinksUpToDate>
  <CharactersWithSpaces>2474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任坦坦</cp:lastModifiedBy>
  <dcterms:modified xsi:type="dcterms:W3CDTF">2026-03-13T07:37:41Z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eyJoZGlkIjoiMDMyZjEyMjdiYzk5MGYwOGM0ZTYwODZjYzI4ODdjNzYiLCJ1c2VySWQiOiI5NjExNDM1MzcifQ==</vt:lpwstr>
  </property>
  <property fmtid="{D5CDD505-2E9C-101B-9397-08002B2CF9AE}" pid="3" name="KSOProductBuildVer">
    <vt:lpwstr>2052-12.1.0.21171</vt:lpwstr>
  </property>
  <property fmtid="{D5CDD505-2E9C-101B-9397-08002B2CF9AE}" pid="4" name="ICV">
    <vt:lpwstr>0D3DFFFA2590435894B6B5C1F9CC9B34_12</vt:lpwstr>
  </property>
</Properties>
</file>