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AB06D">
      <w:pPr>
        <w:pStyle w:val="31"/>
        <w:widowControl/>
        <w:ind w:firstLine="2249" w:firstLineChars="700"/>
      </w:pPr>
      <w:r>
        <w:t>TDSC 研究标准操作规程（SOP）</w:t>
      </w:r>
    </w:p>
    <w:p w14:paraId="40DB0E4A">
      <w:pPr>
        <w:jc w:val="center"/>
      </w:pPr>
      <w:r>
        <w:t>SOP2</w:t>
      </w:r>
      <w:r>
        <w:rPr>
          <w:rFonts w:hint="eastAsia" w:eastAsia="宋体"/>
          <w:lang w:val="en-US" w:eastAsia="zh-CN"/>
        </w:rPr>
        <w:t>4</w:t>
      </w:r>
      <w:bookmarkStart w:id="0" w:name="_GoBack"/>
      <w:bookmarkEnd w:id="0"/>
      <w:r>
        <w:t>：方案偏差、违背与纠正预防（CAPA）</w:t>
      </w:r>
    </w:p>
    <w:p w14:paraId="518E875C">
      <w:pPr>
        <w:pStyle w:val="19"/>
        <w:widowControl/>
        <w:ind w:firstLine="720" w:firstLineChars="300"/>
      </w:pPr>
      <w:r>
        <w:t>Protocol Deviations/Violations and Corrective &amp; Preventive Actions (CAPA)</w:t>
      </w:r>
    </w:p>
    <w:p w14:paraId="698C39C0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25E98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633B71FE">
            <w:pPr>
              <w:pStyle w:val="19"/>
              <w:widowControl/>
            </w:pPr>
            <w:r>
              <w:t>受控文件编号</w:t>
            </w:r>
          </w:p>
        </w:tc>
        <w:tc>
          <w:tcPr>
            <w:tcW w:w="2500" w:type="pct"/>
            <w:vAlign w:val="top"/>
          </w:tcPr>
          <w:p w14:paraId="598CCAE5">
            <w:pPr>
              <w:pStyle w:val="19"/>
              <w:widowControl/>
            </w:pPr>
            <w:r>
              <w:t>TDSC-SOP-20</w:t>
            </w:r>
          </w:p>
        </w:tc>
      </w:tr>
      <w:tr w14:paraId="7B4B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0151453B">
            <w:pPr>
              <w:pStyle w:val="19"/>
              <w:widowControl/>
            </w:pPr>
            <w:r>
              <w:t>版本</w:t>
            </w:r>
          </w:p>
        </w:tc>
        <w:tc>
          <w:tcPr>
            <w:tcW w:w="2500" w:type="pct"/>
            <w:vAlign w:val="top"/>
          </w:tcPr>
          <w:p w14:paraId="4598F6D2">
            <w:pPr>
              <w:pStyle w:val="19"/>
              <w:widowControl/>
            </w:pPr>
            <w:r>
              <w:t>V1.1</w:t>
            </w:r>
          </w:p>
        </w:tc>
      </w:tr>
      <w:tr w14:paraId="5419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11733A4F">
            <w:pPr>
              <w:pStyle w:val="19"/>
              <w:widowControl/>
            </w:pPr>
            <w:r>
              <w:t>生效日期</w:t>
            </w:r>
          </w:p>
        </w:tc>
        <w:tc>
          <w:tcPr>
            <w:tcW w:w="2500" w:type="pct"/>
            <w:vAlign w:val="top"/>
          </w:tcPr>
          <w:p w14:paraId="22055CA8">
            <w:pPr>
              <w:pStyle w:val="19"/>
              <w:widowControl/>
            </w:pPr>
            <w:r>
              <w:t>2026-03-04</w:t>
            </w:r>
          </w:p>
        </w:tc>
      </w:tr>
      <w:tr w14:paraId="4487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4BA7BD9A">
            <w:pPr>
              <w:pStyle w:val="19"/>
              <w:widowControl/>
            </w:pPr>
            <w:r>
              <w:t>研究</w:t>
            </w:r>
          </w:p>
        </w:tc>
        <w:tc>
          <w:tcPr>
            <w:tcW w:w="2500" w:type="pct"/>
            <w:vAlign w:val="top"/>
          </w:tcPr>
          <w:p w14:paraId="60BAD5FF">
            <w:pPr>
              <w:pStyle w:val="19"/>
              <w:widowControl/>
            </w:pPr>
            <w:r>
              <w:t>TDSC（TB-DM Short Course）研究</w:t>
            </w:r>
          </w:p>
        </w:tc>
      </w:tr>
      <w:tr w14:paraId="7D61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6BB93A99">
            <w:pPr>
              <w:pStyle w:val="19"/>
              <w:widowControl/>
            </w:pPr>
            <w:r>
              <w:t>方案引用</w:t>
            </w:r>
          </w:p>
        </w:tc>
        <w:tc>
          <w:tcPr>
            <w:tcW w:w="2500" w:type="pct"/>
            <w:vAlign w:val="top"/>
          </w:tcPr>
          <w:p w14:paraId="766DF5D3">
            <w:pPr>
              <w:pStyle w:val="19"/>
              <w:widowControl/>
            </w:pPr>
            <w:r>
              <w:t>TDSC 研究方案 V2.0（2026-02-28）</w:t>
            </w:r>
          </w:p>
        </w:tc>
      </w:tr>
      <w:tr w14:paraId="6534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24356825">
            <w:pPr>
              <w:pStyle w:val="19"/>
              <w:widowControl/>
            </w:pPr>
            <w:r>
              <w:t>起草</w:t>
            </w:r>
          </w:p>
        </w:tc>
        <w:tc>
          <w:tcPr>
            <w:tcW w:w="2500" w:type="pct"/>
            <w:vAlign w:val="top"/>
          </w:tcPr>
          <w:p w14:paraId="17F271D8">
            <w:pPr>
              <w:pStyle w:val="19"/>
              <w:widowControl/>
            </w:pPr>
            <w:r>
              <w:t>____________</w:t>
            </w:r>
          </w:p>
        </w:tc>
      </w:tr>
      <w:tr w14:paraId="55BD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7F0F6FE2">
            <w:pPr>
              <w:pStyle w:val="19"/>
              <w:widowControl/>
            </w:pPr>
            <w:r>
              <w:t>审核</w:t>
            </w:r>
          </w:p>
        </w:tc>
        <w:tc>
          <w:tcPr>
            <w:tcW w:w="2500" w:type="pct"/>
            <w:vAlign w:val="top"/>
          </w:tcPr>
          <w:p w14:paraId="704F5B04">
            <w:pPr>
              <w:pStyle w:val="19"/>
              <w:widowControl/>
            </w:pPr>
            <w:r>
              <w:t>____________</w:t>
            </w:r>
          </w:p>
        </w:tc>
      </w:tr>
      <w:tr w14:paraId="20B7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top"/>
          </w:tcPr>
          <w:p w14:paraId="1D651DA4">
            <w:pPr>
              <w:pStyle w:val="19"/>
              <w:widowControl/>
            </w:pPr>
            <w:r>
              <w:t>批准</w:t>
            </w:r>
          </w:p>
        </w:tc>
        <w:tc>
          <w:tcPr>
            <w:tcW w:w="2500" w:type="pct"/>
            <w:vAlign w:val="top"/>
          </w:tcPr>
          <w:p w14:paraId="5129C900">
            <w:pPr>
              <w:pStyle w:val="19"/>
              <w:widowControl/>
            </w:pPr>
            <w:r>
              <w:t>____________</w:t>
            </w:r>
          </w:p>
        </w:tc>
      </w:tr>
    </w:tbl>
    <w:p w14:paraId="521B720E"/>
    <w:p w14:paraId="43AC66E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8DA4FF4">
      <w:pPr>
        <w:pStyle w:val="19"/>
        <w:widowControl/>
      </w:pPr>
      <w:r>
        <w:t>本SOP用于统一TDSC研究中“方案偏差（deviation）/方案违背（violation）”的识别、分级、报告、记录、纠正与预防（CAPA）流程，确保：</w:t>
      </w:r>
    </w:p>
    <w:p w14:paraId="50FF0415">
      <w:pPr>
        <w:pStyle w:val="16"/>
        <w:bidi w:val="0"/>
        <w:ind w:left="360" w:leftChars="0" w:hanging="360" w:firstLineChars="0"/>
      </w:pPr>
      <w:r>
        <w:t>受试者权益与安全得到优先保护；</w:t>
      </w:r>
    </w:p>
    <w:p w14:paraId="5B458471">
      <w:pPr>
        <w:pStyle w:val="16"/>
        <w:bidi w:val="0"/>
        <w:ind w:left="360" w:leftChars="0" w:hanging="360" w:firstLineChars="0"/>
      </w:pPr>
      <w:r>
        <w:t>研究数据真实、完整、可追溯，关键终点与关键程序不被系统性破坏；</w:t>
      </w:r>
    </w:p>
    <w:p w14:paraId="4CDE465A">
      <w:pPr>
        <w:pStyle w:val="16"/>
        <w:bidi w:val="0"/>
        <w:ind w:left="360" w:leftChars="0" w:hanging="360" w:firstLineChars="0"/>
      </w:pPr>
      <w:r>
        <w:t>偏差问题得到及时纠正并形成可验证的预防措施；</w:t>
      </w:r>
    </w:p>
    <w:p w14:paraId="2A5E2105">
      <w:pPr>
        <w:pStyle w:val="16"/>
        <w:bidi w:val="0"/>
        <w:ind w:left="360" w:leftChars="0" w:hanging="360" w:firstLineChars="0"/>
      </w:pPr>
      <w:r>
        <w:t>项目层面可以对偏差趋势进行监测与持续质量改进。</w:t>
      </w:r>
    </w:p>
    <w:p w14:paraId="2D01327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20BCFD94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适用于TDSC研究所有参与中心、所有研究团队成员，以及与研究实施相关的工作组（如数据管理与统计、EDC与信息系统、质量管理与监查、PMO等）。</w:t>
      </w:r>
    </w:p>
    <w:p w14:paraId="4E13E9B5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适用于研究全过程：筛查/知情同意、入组、随机/决策节点、给药与依从性管理、随访评估、AE/SAE报告、数据管理、影像与实验室流程、生物样本管理、文件管理等。</w:t>
      </w:r>
    </w:p>
    <w:p w14:paraId="7BC908D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本SOP与SOP00（文件体系与版本控制/培训管理）共同构成质量管理与文件管理的基础制度。</w:t>
      </w:r>
    </w:p>
    <w:p w14:paraId="6BF5C52F">
      <w:pPr>
        <w:pStyle w:val="4"/>
        <w:widowControl/>
      </w:pPr>
      <w:r>
        <w:t>2.1 参考文件（交叉引用）</w:t>
      </w:r>
    </w:p>
    <w:p w14:paraId="7CA0F54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TDSC 研究方案 V2.0（2026-02-28）</w:t>
      </w:r>
    </w:p>
    <w:p w14:paraId="65F47DE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</w:t>
      </w:r>
      <w:r>
        <w:rPr>
          <w:rFonts w:hint="eastAsia"/>
          <w:lang w:val="en-US" w:eastAsia="zh-CN"/>
        </w:rPr>
        <w:t>04</w:t>
      </w:r>
      <w:r>
        <w:t>：筛选与知情同意（知情同意缺陷、撤回同意与失访边界）。</w:t>
      </w:r>
    </w:p>
    <w:p w14:paraId="52161CC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SOP1</w:t>
      </w:r>
      <w:r>
        <w:rPr>
          <w:rFonts w:hint="eastAsia"/>
          <w:lang w:val="en-US" w:eastAsia="zh-CN"/>
        </w:rPr>
        <w:t>5</w:t>
      </w:r>
      <w:r>
        <w:t>：随访与失访管理（窗口、追访策略、缺失数据留痕与趋势指标）。</w:t>
      </w:r>
    </w:p>
    <w:p w14:paraId="1F1BE98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</w:t>
      </w:r>
      <w:r>
        <w:rPr>
          <w:rFonts w:hint="eastAsia"/>
          <w:lang w:val="en-US" w:eastAsia="zh-CN"/>
        </w:rPr>
        <w:t>23</w:t>
      </w:r>
      <w:r>
        <w:t>：数据管理与质量控制（EDC核查规则、Query闭环、冻结/锁库）。</w:t>
      </w:r>
    </w:p>
    <w:p w14:paraId="353511A8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SOP1</w:t>
      </w:r>
      <w:r>
        <w:rPr>
          <w:rFonts w:hint="eastAsia"/>
          <w:lang w:val="en-US" w:eastAsia="zh-CN"/>
        </w:rPr>
        <w:t>1</w:t>
      </w:r>
      <w:r>
        <w:t>：疗效/结局评估与CEC材料包（复发/再感染证据链）。</w:t>
      </w:r>
    </w:p>
    <w:p w14:paraId="7AF2FD9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SOP0</w:t>
      </w:r>
      <w:r>
        <w:rPr>
          <w:rFonts w:hint="eastAsia"/>
          <w:lang w:val="en-US" w:eastAsia="zh-CN"/>
        </w:rPr>
        <w:t>9</w:t>
      </w:r>
      <w:r>
        <w:t>（含附录A/B）与SOP10：AE/SAE/AESI捕获、分级与上报时限。</w:t>
      </w:r>
    </w:p>
    <w:p w14:paraId="514E615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定义与分类</w:t>
      </w:r>
    </w:p>
    <w:p w14:paraId="073B8A99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关键术语</w:t>
      </w:r>
    </w:p>
    <w:p w14:paraId="348C8D05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方案偏差（Protocol deviation）：任何未严格按研究方案/ICF/IB/SOP执行的情况，但不一定影响受试者安全或关键数据完整性。</w:t>
      </w:r>
    </w:p>
    <w:p w14:paraId="26BF00C7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方案违背（Protocol violation）：性质更严重的偏离，通常涉及关键纳排、关键干预/用药、关键评估/终点、知情同意、随机流程、受试者安全报告等，可能影响安全或数据可解释性。</w:t>
      </w:r>
    </w:p>
    <w:p w14:paraId="323DAAC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重大偏差/重大违背（Major deviation/violation）：对受试者安全/权益、关键数据完整性、主要终点或关键程序有潜在或实际影响的偏离。</w:t>
      </w:r>
    </w:p>
    <w:p w14:paraId="33193AF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轻微偏差（Minor deviation）：对安全与关键数据影响很小或无影响、可通过更正/补充说明纠正的偏离。</w:t>
      </w:r>
    </w:p>
    <w:p w14:paraId="6B6944B0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即时纠正（Immediate corrective action）：为降低即时风险或阻止偏差扩大的临时措施（如暂停入组、补做关键评估、隔离批次样本）。</w:t>
      </w:r>
    </w:p>
    <w:p w14:paraId="0419507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CAPA：纠正措施（Corrective Action）用于消除已发生问题及其原因；预防措施（Preventive Action）用于消除潜在问题原因，防止再次发生。</w:t>
      </w:r>
    </w:p>
    <w:p w14:paraId="0F0F5B1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分级建议（用于一致性管理）</w:t>
      </w:r>
    </w:p>
    <w:p w14:paraId="516124BD">
      <w:pPr>
        <w:pStyle w:val="19"/>
        <w:widowControl/>
      </w:pPr>
      <w:r>
        <w:t>建议按影响维度进行分级（最终分级以PI/质量管理与监查工作组复核为准）：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866"/>
        <w:gridCol w:w="5051"/>
      </w:tblGrid>
      <w:tr w14:paraId="4FB7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vAlign w:val="top"/>
          </w:tcPr>
          <w:p w14:paraId="580D53D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分级</w:t>
            </w:r>
          </w:p>
        </w:tc>
        <w:tc>
          <w:tcPr>
            <w:tcW w:w="1496" w:type="pct"/>
            <w:vAlign w:val="top"/>
          </w:tcPr>
          <w:p w14:paraId="1E57295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判定核心</w:t>
            </w:r>
          </w:p>
        </w:tc>
        <w:tc>
          <w:tcPr>
            <w:tcW w:w="2636" w:type="pct"/>
            <w:vAlign w:val="top"/>
          </w:tcPr>
          <w:p w14:paraId="2AEDDFB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典型情形（示例）</w:t>
            </w:r>
          </w:p>
        </w:tc>
      </w:tr>
      <w:tr w14:paraId="72AA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vAlign w:val="top"/>
          </w:tcPr>
          <w:p w14:paraId="2A29141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重大（Major）</w:t>
            </w:r>
          </w:p>
        </w:tc>
        <w:tc>
          <w:tcPr>
            <w:tcW w:w="1496" w:type="pct"/>
            <w:vAlign w:val="top"/>
          </w:tcPr>
          <w:p w14:paraId="7C62196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可能/已经影响：①受试者安全/权益；或②主要终点/关键程序；或③数据完整性与可解释性</w:t>
            </w:r>
          </w:p>
        </w:tc>
        <w:tc>
          <w:tcPr>
            <w:tcW w:w="2636" w:type="pct"/>
            <w:vAlign w:val="top"/>
          </w:tcPr>
          <w:p w14:paraId="13C1D04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知情同意缺失或关键要素缺失；错误入组（关键纳排不满足）；随机路径错误；关键决策节点（如M6）核心指标缺失且无法补救；禁止合并用药未报告；SAE未按要求报告；关键样本混淆/标签错误导致不可追溯。</w:t>
            </w:r>
          </w:p>
        </w:tc>
      </w:tr>
      <w:tr w14:paraId="28F9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vAlign w:val="top"/>
          </w:tcPr>
          <w:p w14:paraId="43EA66D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轻微（Minor）</w:t>
            </w:r>
          </w:p>
        </w:tc>
        <w:tc>
          <w:tcPr>
            <w:tcW w:w="1496" w:type="pct"/>
            <w:vAlign w:val="top"/>
          </w:tcPr>
          <w:p w14:paraId="70ED546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对安全/关键数据影响小，可通过补采/补录/更正说明纠正</w:t>
            </w:r>
          </w:p>
        </w:tc>
        <w:tc>
          <w:tcPr>
            <w:tcW w:w="2636" w:type="pct"/>
            <w:vAlign w:val="top"/>
          </w:tcPr>
          <w:p w14:paraId="4357B04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非关键时间窗轻微超窗；某些非关键问卷漏填后补齐；非关键文件签字日期不规范但可追溯。</w:t>
            </w:r>
          </w:p>
        </w:tc>
      </w:tr>
    </w:tbl>
    <w:p w14:paraId="0F501A0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组织治理与职责分工</w:t>
      </w:r>
    </w:p>
    <w:p w14:paraId="02C60F2C">
      <w:pPr>
        <w:pStyle w:val="19"/>
        <w:widowControl/>
      </w:pPr>
      <w:r>
        <w:t>TDSC研究采用SC–DSMB–SAB–PMO–工作组–研究中心的治理架构。与本SOP相关的核心职责如下：</w:t>
      </w:r>
    </w:p>
    <w:p w14:paraId="483EEFE9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各中心PI/研究医生：对本中心偏差管理负首责；完成偏差初步判定、即时纠正、影响评估与签字确认CAPA。</w:t>
      </w:r>
    </w:p>
    <w:p w14:paraId="0B7B135B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CRC/研究护士：日常识别与记录偏差、维护偏差台账（Deviation Log）、推动补做/补录并收集证据材料。</w:t>
      </w:r>
    </w:p>
    <w:p w14:paraId="623B4CD7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质量管理与监查工作组：开展基于风险的监查/稽查；对发现的问题提出整改要求并推动CAPA执行；定期向PMO/SC汇报质量风险与趋势。</w:t>
      </w:r>
    </w:p>
    <w:p w14:paraId="6F62E84B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PMO：负责项目层面的文件管理与版本控制、培训与沟通组织、跨中心问题协调与闭环跟踪。</w:t>
      </w:r>
    </w:p>
    <w:p w14:paraId="5AA04605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数据管理与统计工作组/EDC工作组：通过数据核查规则、数据清理与逻辑核验发现偏差；对系统性问题提出流程/系统改进建议。</w:t>
      </w:r>
    </w:p>
    <w:p w14:paraId="71378D1E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DSMB（如涉及安全或数据完整性重大风险）：在需要时审阅重大问题及纠正结果，并提出继续/修改/暂停建议。</w:t>
      </w:r>
    </w:p>
    <w:p w14:paraId="5FF1450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偏差的识别来源与触发点</w:t>
      </w:r>
    </w:p>
    <w:p w14:paraId="427F9795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现场/远程监查发现（源数据核对、流程观察、药品/样本管理检查）。</w:t>
      </w:r>
    </w:p>
    <w:p w14:paraId="0B856157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EDC逻辑核查、缺失/超窗警报、查询（Query）与数据清理过程。</w:t>
      </w:r>
    </w:p>
    <w:p w14:paraId="720A93DA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影像中心阅片一致性审查、实验室质控与培养/检测报告异常提示。</w:t>
      </w:r>
    </w:p>
    <w:p w14:paraId="3395D8C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SAE/安全性信号回顾、DSMB建议、受试者投诉/不良体验反馈。</w:t>
      </w:r>
    </w:p>
    <w:p w14:paraId="646A3577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内部稽查/外部审计发现（如适用）。</w:t>
      </w:r>
    </w:p>
    <w:p w14:paraId="299F874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处理流程总览（从发现到关闭）</w:t>
      </w:r>
    </w:p>
    <w:p w14:paraId="5E04F2F3">
      <w:pPr>
        <w:pStyle w:val="19"/>
        <w:widowControl/>
      </w:pPr>
      <w:r>
        <w:t>所有偏差均应遵循“发现 → 记录 → 分级与影响评估 → 即时纠正（如需） → 根因分析 → CAPA计划 → 执行与证据 → 有效性评估 → 关闭”的闭环流程。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719"/>
        <w:gridCol w:w="5486"/>
      </w:tblGrid>
      <w:tr w14:paraId="3FB3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3E67B2BD">
            <w:pPr>
              <w:pStyle w:val="19"/>
              <w:widowControl/>
            </w:pPr>
            <w:r>
              <w:t>步骤</w:t>
            </w:r>
          </w:p>
        </w:tc>
        <w:tc>
          <w:tcPr>
            <w:tcW w:w="1419" w:type="pct"/>
            <w:vAlign w:val="top"/>
          </w:tcPr>
          <w:p w14:paraId="01743022">
            <w:pPr>
              <w:pStyle w:val="19"/>
              <w:widowControl/>
            </w:pPr>
            <w:r>
              <w:t>责任人（牵头）</w:t>
            </w:r>
          </w:p>
        </w:tc>
        <w:tc>
          <w:tcPr>
            <w:tcW w:w="2863" w:type="pct"/>
            <w:vAlign w:val="top"/>
          </w:tcPr>
          <w:p w14:paraId="7061C9F3">
            <w:pPr>
              <w:pStyle w:val="19"/>
              <w:widowControl/>
            </w:pPr>
            <w:r>
              <w:t>关键输出</w:t>
            </w:r>
          </w:p>
        </w:tc>
      </w:tr>
      <w:tr w14:paraId="79E9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58A9CCFB">
            <w:pPr>
              <w:pStyle w:val="19"/>
              <w:widowControl/>
            </w:pPr>
            <w:r>
              <w:t>1. 发现与记录</w:t>
            </w:r>
          </w:p>
        </w:tc>
        <w:tc>
          <w:tcPr>
            <w:tcW w:w="1419" w:type="pct"/>
            <w:vAlign w:val="top"/>
          </w:tcPr>
          <w:p w14:paraId="4917B3C7">
            <w:pPr>
              <w:pStyle w:val="19"/>
              <w:widowControl/>
            </w:pPr>
            <w:r>
              <w:t>发现者/CRC</w:t>
            </w:r>
          </w:p>
        </w:tc>
        <w:tc>
          <w:tcPr>
            <w:tcW w:w="2863" w:type="pct"/>
            <w:vAlign w:val="top"/>
          </w:tcPr>
          <w:p w14:paraId="41BD821D">
            <w:pPr>
              <w:pStyle w:val="19"/>
              <w:widowControl/>
            </w:pPr>
            <w:r>
              <w:t>偏差初始记录（含日期、描述、关联受试者/访视/表单）</w:t>
            </w:r>
          </w:p>
        </w:tc>
      </w:tr>
      <w:tr w14:paraId="51CD6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5E4F4C11">
            <w:pPr>
              <w:pStyle w:val="19"/>
              <w:widowControl/>
            </w:pPr>
            <w:r>
              <w:t>2. 初步分级与即时风险控制</w:t>
            </w:r>
          </w:p>
        </w:tc>
        <w:tc>
          <w:tcPr>
            <w:tcW w:w="1419" w:type="pct"/>
            <w:vAlign w:val="top"/>
          </w:tcPr>
          <w:p w14:paraId="31FCC2F8">
            <w:pPr>
              <w:pStyle w:val="19"/>
              <w:widowControl/>
            </w:pPr>
            <w:r>
              <w:t>PI/研究医生</w:t>
            </w:r>
          </w:p>
        </w:tc>
        <w:tc>
          <w:tcPr>
            <w:tcW w:w="2863" w:type="pct"/>
            <w:vAlign w:val="top"/>
          </w:tcPr>
          <w:p w14:paraId="3F0FE652">
            <w:pPr>
              <w:pStyle w:val="19"/>
              <w:widowControl/>
            </w:pPr>
            <w:r>
              <w:t>初步分级（Major/Minor）；必要时采取即时纠正措施并记录</w:t>
            </w:r>
          </w:p>
        </w:tc>
      </w:tr>
      <w:tr w14:paraId="5C25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41C0D728">
            <w:pPr>
              <w:pStyle w:val="19"/>
              <w:widowControl/>
            </w:pPr>
            <w:r>
              <w:t>3. 影响评估与报告升级</w:t>
            </w:r>
          </w:p>
        </w:tc>
        <w:tc>
          <w:tcPr>
            <w:tcW w:w="1419" w:type="pct"/>
            <w:vAlign w:val="top"/>
          </w:tcPr>
          <w:p w14:paraId="23AC95FD">
            <w:pPr>
              <w:pStyle w:val="19"/>
              <w:widowControl/>
            </w:pPr>
            <w:r>
              <w:t>PI + 质量管理与监查工作组</w:t>
            </w:r>
          </w:p>
        </w:tc>
        <w:tc>
          <w:tcPr>
            <w:tcW w:w="2863" w:type="pct"/>
            <w:vAlign w:val="top"/>
          </w:tcPr>
          <w:p w14:paraId="639F3B74">
            <w:pPr>
              <w:pStyle w:val="19"/>
              <w:widowControl/>
            </w:pPr>
            <w:r>
              <w:t>对安全/权益/关键数据影响评估；必要时升级报告至PMO/SC/DSMB/伦理（按规定）</w:t>
            </w:r>
          </w:p>
        </w:tc>
      </w:tr>
      <w:tr w14:paraId="614D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17562820">
            <w:pPr>
              <w:pStyle w:val="19"/>
              <w:widowControl/>
            </w:pPr>
            <w:r>
              <w:t>4. 根因分析（RCA）</w:t>
            </w:r>
          </w:p>
        </w:tc>
        <w:tc>
          <w:tcPr>
            <w:tcW w:w="1419" w:type="pct"/>
            <w:vAlign w:val="top"/>
          </w:tcPr>
          <w:p w14:paraId="720D17C4">
            <w:pPr>
              <w:pStyle w:val="19"/>
              <w:widowControl/>
            </w:pPr>
            <w:r>
              <w:t>PI/CRC + 相关工作组</w:t>
            </w:r>
          </w:p>
        </w:tc>
        <w:tc>
          <w:tcPr>
            <w:tcW w:w="2863" w:type="pct"/>
            <w:vAlign w:val="top"/>
          </w:tcPr>
          <w:p w14:paraId="5F47C5E7">
            <w:pPr>
              <w:pStyle w:val="19"/>
              <w:widowControl/>
            </w:pPr>
            <w:r>
              <w:t>RCA记录（5Why/鱼骨图等）</w:t>
            </w:r>
          </w:p>
        </w:tc>
      </w:tr>
      <w:tr w14:paraId="4BE6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72A64742">
            <w:pPr>
              <w:pStyle w:val="19"/>
              <w:widowControl/>
            </w:pPr>
            <w:r>
              <w:t>5. CAPA制定与批准</w:t>
            </w:r>
          </w:p>
        </w:tc>
        <w:tc>
          <w:tcPr>
            <w:tcW w:w="1419" w:type="pct"/>
            <w:vAlign w:val="top"/>
          </w:tcPr>
          <w:p w14:paraId="09590164">
            <w:pPr>
              <w:pStyle w:val="19"/>
              <w:widowControl/>
            </w:pPr>
            <w:r>
              <w:t>PI（中心）/PMO（跨中心）</w:t>
            </w:r>
          </w:p>
        </w:tc>
        <w:tc>
          <w:tcPr>
            <w:tcW w:w="2863" w:type="pct"/>
            <w:vAlign w:val="top"/>
          </w:tcPr>
          <w:p w14:paraId="4C1BAB72">
            <w:pPr>
              <w:pStyle w:val="19"/>
              <w:widowControl/>
            </w:pPr>
            <w:r>
              <w:t>CAPA计划（纠正+预防），责任人、完成时限、证据要求</w:t>
            </w:r>
          </w:p>
        </w:tc>
      </w:tr>
      <w:tr w14:paraId="2EC6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54ACEDEB">
            <w:pPr>
              <w:pStyle w:val="19"/>
              <w:widowControl/>
            </w:pPr>
            <w:r>
              <w:t>6. 执行与跟踪</w:t>
            </w:r>
          </w:p>
        </w:tc>
        <w:tc>
          <w:tcPr>
            <w:tcW w:w="1419" w:type="pct"/>
            <w:vAlign w:val="top"/>
          </w:tcPr>
          <w:p w14:paraId="37A0A80E">
            <w:pPr>
              <w:pStyle w:val="19"/>
              <w:widowControl/>
            </w:pPr>
            <w:r>
              <w:t>责任人/CRC/监查</w:t>
            </w:r>
          </w:p>
        </w:tc>
        <w:tc>
          <w:tcPr>
            <w:tcW w:w="2863" w:type="pct"/>
            <w:vAlign w:val="top"/>
          </w:tcPr>
          <w:p w14:paraId="57D11557">
            <w:pPr>
              <w:pStyle w:val="19"/>
              <w:widowControl/>
            </w:pPr>
            <w:r>
              <w:t>执行证据（培训记录、系统改动、文件修订、再核查结果）</w:t>
            </w:r>
          </w:p>
        </w:tc>
      </w:tr>
      <w:tr w14:paraId="2222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pct"/>
            <w:vAlign w:val="top"/>
          </w:tcPr>
          <w:p w14:paraId="25ABAFBA">
            <w:pPr>
              <w:pStyle w:val="19"/>
              <w:widowControl/>
            </w:pPr>
            <w:r>
              <w:t>7. 有效性评估与关闭</w:t>
            </w:r>
          </w:p>
        </w:tc>
        <w:tc>
          <w:tcPr>
            <w:tcW w:w="1419" w:type="pct"/>
            <w:vAlign w:val="top"/>
          </w:tcPr>
          <w:p w14:paraId="00CF4E71">
            <w:pPr>
              <w:pStyle w:val="19"/>
              <w:widowControl/>
            </w:pPr>
            <w:r>
              <w:t>质量管理与监查工作组 + PI</w:t>
            </w:r>
          </w:p>
        </w:tc>
        <w:tc>
          <w:tcPr>
            <w:tcW w:w="2863" w:type="pct"/>
            <w:vAlign w:val="top"/>
          </w:tcPr>
          <w:p w14:paraId="0E03FA37">
            <w:pPr>
              <w:pStyle w:val="19"/>
              <w:widowControl/>
            </w:pPr>
            <w:r>
              <w:t>有效性核查（抽查/复核）；偏差关闭与趋势归档</w:t>
            </w:r>
          </w:p>
        </w:tc>
      </w:tr>
    </w:tbl>
    <w:p w14:paraId="1FE81D55"/>
    <w:p w14:paraId="32E16B9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报告与沟通要求</w:t>
      </w:r>
    </w:p>
    <w:p w14:paraId="2EF78F64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何时需要升级报告</w:t>
      </w:r>
    </w:p>
    <w:p w14:paraId="47E1232D">
      <w:pPr>
        <w:pStyle w:val="19"/>
        <w:widowControl/>
      </w:pPr>
      <w:r>
        <w:t>出现以下任一情形，建议按“重大（Major）”处理并升级报告（必要时立即）：</w:t>
      </w:r>
    </w:p>
    <w:p w14:paraId="62E73546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涉及知情同意缺失或关键要素缺失；</w:t>
      </w:r>
    </w:p>
    <w:p w14:paraId="51D221AF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错误入组（关键纳排不满足）或随机/决策路径错误；</w:t>
      </w:r>
    </w:p>
    <w:p w14:paraId="5E09EDB0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影响主要终点、关键决策节点或关键程序的缺失且无法补救；</w:t>
      </w:r>
    </w:p>
    <w:p w14:paraId="490FE276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队列B M6 Hard Gate所需微生物学证据缺失/不可评价，导致随机化资格无法判定或发生误随机；</w:t>
      </w:r>
    </w:p>
    <w:p w14:paraId="5758FB14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违反信息隔离原则：未经授权披露探索性结果（如TB22、中央阅片/影像AI/CT量化输出等）或非盲数据访问未留痕；</w:t>
      </w:r>
    </w:p>
    <w:p w14:paraId="04349DF1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终点事件未按SOP15形成完整证据链/未及时提交CEC裁决，导致主要终点可评价性受损；</w:t>
      </w:r>
    </w:p>
    <w:p w14:paraId="60DB81C6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可能导致受试者安全风险增加（如禁忌/禁止合并用药、AE/SAE漏报）；</w:t>
      </w:r>
    </w:p>
    <w:p w14:paraId="482FD0F1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生物样本/影像/关键检验结果发生混淆、标签错误或可追溯性破坏；</w:t>
      </w:r>
    </w:p>
    <w:p w14:paraId="5F2C0EDE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同类问题在同一中心或多中心重复出现（提示系统性风险）。</w:t>
      </w:r>
    </w:p>
    <w:p w14:paraId="55B0A7AD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升级路径（原则性）</w:t>
      </w:r>
    </w:p>
    <w:p w14:paraId="61298BA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中心内：发现者/CRC → 中心PI →（必要时）中心质量负责人/科室负责人。</w:t>
      </w:r>
    </w:p>
    <w:p w14:paraId="7D4D37D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项目层面：中心PI → 质量管理与监查工作组/PMO；跨中心或系统性问题由PMO协调相关工作组制定统一CAPA。</w:t>
      </w:r>
    </w:p>
    <w:p w14:paraId="373B0A5F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安全/重大完整性风险：按需要提交SC/DSMB审阅；涉及伦理/法规报告的，由中心按本机构/法规要求执行，并向PMO备案。</w:t>
      </w:r>
    </w:p>
    <w:p w14:paraId="2576CF74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文件化要求</w:t>
      </w:r>
    </w:p>
    <w:p w14:paraId="21EC1830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所有偏差必须有可追溯记录（偏差报告单 + 偏差台账 + 相关源文件证据）。</w:t>
      </w:r>
    </w:p>
    <w:p w14:paraId="0F6C9B4E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若采用例外处理（如窗口外补采、替代评估），需有PI书面说明、影响评估及后续数据处理方案（如“按缺失处理/敏感性分析”）。</w:t>
      </w:r>
    </w:p>
    <w:p w14:paraId="6C6EFB4A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涉及文件或流程修订的，应按SOP00进行版本控制与培训记录归档。</w:t>
      </w:r>
    </w:p>
    <w:p w14:paraId="3261B48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根因分析（RCA）与CAPA制定</w:t>
      </w:r>
    </w:p>
    <w:p w14:paraId="5E8AF931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根因分析方法（可选）</w:t>
      </w:r>
    </w:p>
    <w:p w14:paraId="6D403098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5 Why 分析：逐层追问“为什么”，直至可操作的根因；</w:t>
      </w:r>
    </w:p>
    <w:p w14:paraId="7A2408B0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鱼骨图（人、机、料、法、环、测）：用于多因素归因；</w:t>
      </w:r>
    </w:p>
    <w:p w14:paraId="509CD049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流程图/失效模式：用于识别流程节点薄弱环节；</w:t>
      </w:r>
    </w:p>
    <w:p w14:paraId="253B09B9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数据趋势回顾：用于识别系统性与重复性问题。</w:t>
      </w:r>
    </w:p>
    <w:p w14:paraId="5C04BE98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CAPA计划应包含的要素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7557"/>
      </w:tblGrid>
      <w:tr w14:paraId="1198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09CF3F6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要素</w:t>
            </w:r>
          </w:p>
        </w:tc>
        <w:tc>
          <w:tcPr>
            <w:tcW w:w="3945" w:type="pct"/>
            <w:vAlign w:val="top"/>
          </w:tcPr>
          <w:p w14:paraId="5988555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最低要求（建议）</w:t>
            </w:r>
          </w:p>
        </w:tc>
      </w:tr>
      <w:tr w14:paraId="64DE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5324F2F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问题描述</w:t>
            </w:r>
          </w:p>
        </w:tc>
        <w:tc>
          <w:tcPr>
            <w:tcW w:w="3945" w:type="pct"/>
            <w:vAlign w:val="top"/>
          </w:tcPr>
          <w:p w14:paraId="32EFD54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发生时间/地点/受试者/相关流程；具体偏离点；关联文件（方案/SOP/表单）</w:t>
            </w:r>
          </w:p>
        </w:tc>
      </w:tr>
      <w:tr w14:paraId="6A4D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5E87CAB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分级与影响评估</w:t>
            </w:r>
          </w:p>
        </w:tc>
        <w:tc>
          <w:tcPr>
            <w:tcW w:w="3945" w:type="pct"/>
            <w:vAlign w:val="top"/>
          </w:tcPr>
          <w:p w14:paraId="6BE9F4C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Major/Minor；对安全/权益、主要终点/关键程序、数据完整性的影响</w:t>
            </w:r>
          </w:p>
        </w:tc>
      </w:tr>
      <w:tr w14:paraId="5D52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47FCE0D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即时纠正措施</w:t>
            </w:r>
          </w:p>
        </w:tc>
        <w:tc>
          <w:tcPr>
            <w:tcW w:w="3945" w:type="pct"/>
            <w:vAlign w:val="top"/>
          </w:tcPr>
          <w:p w14:paraId="6017AFC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用于控制即时风险与阻止扩大（如暂停某流程、补做关键检查、数据锁定等）</w:t>
            </w:r>
          </w:p>
        </w:tc>
      </w:tr>
      <w:tr w14:paraId="722A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29A527C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根因（RCA）</w:t>
            </w:r>
          </w:p>
        </w:tc>
        <w:tc>
          <w:tcPr>
            <w:tcW w:w="3945" w:type="pct"/>
            <w:vAlign w:val="top"/>
          </w:tcPr>
          <w:p w14:paraId="44F0884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根因陈述应可验证、可干预，避免“个人粗心”式结论</w:t>
            </w:r>
          </w:p>
        </w:tc>
      </w:tr>
      <w:tr w14:paraId="0113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2D8CDA6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纠正措施（CA）</w:t>
            </w:r>
          </w:p>
        </w:tc>
        <w:tc>
          <w:tcPr>
            <w:tcW w:w="3945" w:type="pct"/>
            <w:vAlign w:val="top"/>
          </w:tcPr>
          <w:p w14:paraId="06AD98B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消除已发生问题及根因（如再培训、流程重设计、双人核对、系统校验规则）</w:t>
            </w:r>
          </w:p>
        </w:tc>
      </w:tr>
      <w:tr w14:paraId="035D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10F2BC5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预防措施（PA）</w:t>
            </w:r>
          </w:p>
        </w:tc>
        <w:tc>
          <w:tcPr>
            <w:tcW w:w="3945" w:type="pct"/>
            <w:vAlign w:val="top"/>
          </w:tcPr>
          <w:p w14:paraId="3FEA547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防止再次发生（如标准化清单、定期抽查、指标预警、权限/角色调整）</w:t>
            </w:r>
          </w:p>
        </w:tc>
      </w:tr>
      <w:tr w14:paraId="002D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08358C8B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责任人/完成时限/证据</w:t>
            </w:r>
          </w:p>
        </w:tc>
        <w:tc>
          <w:tcPr>
            <w:tcW w:w="3945" w:type="pct"/>
            <w:vAlign w:val="top"/>
          </w:tcPr>
          <w:p w14:paraId="467F9B76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每项措施指定责任人与截止日期，定义可接受证据与验证方式</w:t>
            </w:r>
          </w:p>
        </w:tc>
      </w:tr>
      <w:tr w14:paraId="6E34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pct"/>
            <w:vAlign w:val="top"/>
          </w:tcPr>
          <w:p w14:paraId="695DE1C7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有效性评估</w:t>
            </w:r>
          </w:p>
        </w:tc>
        <w:tc>
          <w:tcPr>
            <w:tcW w:w="3945" w:type="pct"/>
            <w:vAlign w:val="top"/>
          </w:tcPr>
          <w:p w14:paraId="7D16B008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明确评估时间点、评估方法与通过标准（如连续N例无同类偏差）</w:t>
            </w:r>
          </w:p>
        </w:tc>
      </w:tr>
    </w:tbl>
    <w:p w14:paraId="6ABBE8A5"/>
    <w:p w14:paraId="50DE46B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CAPA执行、有效性评估与关闭</w:t>
      </w:r>
    </w:p>
    <w:p w14:paraId="72EAF5C2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执行：责任人按CAPA计划实施，CRC收集证据并更新台账；质量管理与监查工作组可进行复核或再监查。</w:t>
      </w:r>
    </w:p>
    <w:p w14:paraId="2D62189A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有效性评估：可采用抽查源数据、复测一致性、系统日志检查、培训考核、趋势对比等方式。</w:t>
      </w:r>
    </w:p>
    <w:p w14:paraId="4E21FC4C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关闭标准：①所有措施完成且证据充分；②有效性评估通过；③相关文件修订与培训（如适用）已完成；④风险被接受或进一步措施已明确。</w:t>
      </w:r>
    </w:p>
    <w:p w14:paraId="402C3756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关闭记录：偏差报告单与CAPA表单需有关闭日期、关闭人签字与归档位置。</w:t>
      </w:r>
    </w:p>
    <w:p w14:paraId="09FCCDA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趋势监测与持续改进</w:t>
      </w:r>
    </w:p>
    <w:p w14:paraId="01A87186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PMO/质量管理与监查工作组应定期汇总偏差指标：发生率、重大偏差占比、重复问题、中心分布、根因类别分布等。</w:t>
      </w:r>
    </w:p>
    <w:p w14:paraId="6E0586D2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对系统性问题（多中心重复、与关键终点相关、或与安全相关）应启动项目层面CAPA，并在研究者会议/培训中反馈。</w:t>
      </w:r>
    </w:p>
    <w:p w14:paraId="335E7F54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必要时将关键风险点纳入风险评估与监查计划，形成“风险登记册（Risk Register）”的动态更新。</w:t>
      </w:r>
    </w:p>
    <w:p w14:paraId="365875C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附录（模板/工具）</w:t>
      </w:r>
    </w:p>
    <w:p w14:paraId="0087B448">
      <w:pPr>
        <w:pStyle w:val="164"/>
        <w:widowControl/>
      </w:pPr>
      <w:r>
        <w:t>附录A：方案偏差/违背报告单（模板字段）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6940"/>
      </w:tblGrid>
      <w:tr w14:paraId="05B4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141782D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字段</w:t>
            </w:r>
          </w:p>
        </w:tc>
        <w:tc>
          <w:tcPr>
            <w:tcW w:w="3623" w:type="pct"/>
            <w:vAlign w:val="top"/>
          </w:tcPr>
          <w:p w14:paraId="1DD9C84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内容（填写说明）</w:t>
            </w:r>
          </w:p>
        </w:tc>
      </w:tr>
      <w:tr w14:paraId="3BECF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23FE624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中心/研究者</w:t>
            </w:r>
          </w:p>
        </w:tc>
        <w:tc>
          <w:tcPr>
            <w:tcW w:w="3623" w:type="pct"/>
            <w:vAlign w:val="top"/>
          </w:tcPr>
          <w:p w14:paraId="76132CF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中心名称；PI/联系人</w:t>
            </w:r>
          </w:p>
        </w:tc>
      </w:tr>
      <w:tr w14:paraId="5F51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65AE9D5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受试者编号</w:t>
            </w:r>
          </w:p>
        </w:tc>
        <w:tc>
          <w:tcPr>
            <w:tcW w:w="3623" w:type="pct"/>
            <w:vAlign w:val="top"/>
          </w:tcPr>
          <w:p w14:paraId="13E9DCB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脱敏编号；不记录直接身份信息</w:t>
            </w:r>
          </w:p>
        </w:tc>
      </w:tr>
      <w:tr w14:paraId="1793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5A98A60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发生日期/发现日期</w:t>
            </w:r>
          </w:p>
        </w:tc>
        <w:tc>
          <w:tcPr>
            <w:tcW w:w="3623" w:type="pct"/>
            <w:vAlign w:val="top"/>
          </w:tcPr>
          <w:p w14:paraId="2F44D87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分别填写；如不同需说明原因</w:t>
            </w:r>
          </w:p>
        </w:tc>
      </w:tr>
      <w:tr w14:paraId="5E85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1CEACA2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偏差描述</w:t>
            </w:r>
          </w:p>
        </w:tc>
        <w:tc>
          <w:tcPr>
            <w:tcW w:w="3623" w:type="pct"/>
            <w:vAlign w:val="top"/>
          </w:tcPr>
          <w:p w14:paraId="38C9D3F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客观描述偏离点：发生了什么、涉及哪个流程/访视/表单、具体条款</w:t>
            </w:r>
          </w:p>
        </w:tc>
      </w:tr>
      <w:tr w14:paraId="6171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04F9232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初步分级</w:t>
            </w:r>
          </w:p>
        </w:tc>
        <w:tc>
          <w:tcPr>
            <w:tcW w:w="3623" w:type="pct"/>
            <w:vAlign w:val="top"/>
          </w:tcPr>
          <w:p w14:paraId="6FFD21B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Major/Minor（如不确定可先“待定”）</w:t>
            </w:r>
          </w:p>
        </w:tc>
      </w:tr>
      <w:tr w14:paraId="3980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132C45F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即时纠正措施</w:t>
            </w:r>
          </w:p>
        </w:tc>
        <w:tc>
          <w:tcPr>
            <w:tcW w:w="3623" w:type="pct"/>
            <w:vAlign w:val="top"/>
          </w:tcPr>
          <w:p w14:paraId="1BB70A4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已采取/拟采取；是否已控制风险</w:t>
            </w:r>
          </w:p>
        </w:tc>
      </w:tr>
      <w:tr w14:paraId="2CDF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7319871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影响评估</w:t>
            </w:r>
          </w:p>
        </w:tc>
        <w:tc>
          <w:tcPr>
            <w:tcW w:w="3623" w:type="pct"/>
            <w:vAlign w:val="top"/>
          </w:tcPr>
          <w:p w14:paraId="3A71F5C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对安全/权益、关键程序/终点、数据完整性影响（定性）</w:t>
            </w:r>
          </w:p>
        </w:tc>
      </w:tr>
      <w:tr w14:paraId="30CF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48AD776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升级报告</w:t>
            </w:r>
          </w:p>
        </w:tc>
        <w:tc>
          <w:tcPr>
            <w:tcW w:w="3623" w:type="pct"/>
            <w:vAlign w:val="top"/>
          </w:tcPr>
          <w:p w14:paraId="65AA9CA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是否已通知PMO/质量组/SC/DSMB/伦理等（按规定）</w:t>
            </w:r>
          </w:p>
        </w:tc>
      </w:tr>
      <w:tr w14:paraId="77C6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3FF212C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根因分析摘要</w:t>
            </w:r>
          </w:p>
        </w:tc>
        <w:tc>
          <w:tcPr>
            <w:tcW w:w="3623" w:type="pct"/>
            <w:vAlign w:val="top"/>
          </w:tcPr>
          <w:p w14:paraId="20A2936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RCA结论与证据要点</w:t>
            </w:r>
          </w:p>
        </w:tc>
      </w:tr>
      <w:tr w14:paraId="4FE0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470D6B4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CAPA摘要</w:t>
            </w:r>
          </w:p>
        </w:tc>
        <w:tc>
          <w:tcPr>
            <w:tcW w:w="3623" w:type="pct"/>
            <w:vAlign w:val="top"/>
          </w:tcPr>
          <w:p w14:paraId="2038A4A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纠正+预防措施、责任人、完成时限</w:t>
            </w:r>
          </w:p>
        </w:tc>
      </w:tr>
      <w:tr w14:paraId="359A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  <w:vAlign w:val="top"/>
          </w:tcPr>
          <w:p w14:paraId="60EF3F7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PI签字/日期</w:t>
            </w:r>
          </w:p>
        </w:tc>
        <w:tc>
          <w:tcPr>
            <w:tcW w:w="3623" w:type="pct"/>
            <w:vAlign w:val="top"/>
          </w:tcPr>
          <w:p w14:paraId="59E140B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__________</w:t>
            </w:r>
          </w:p>
        </w:tc>
      </w:tr>
    </w:tbl>
    <w:p w14:paraId="59B3F8EE"/>
    <w:p w14:paraId="27AC7BD2">
      <w:pPr>
        <w:pStyle w:val="164"/>
        <w:widowControl/>
      </w:pPr>
      <w:r>
        <w:t>附录B：CAPA计划表（模板）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525"/>
        <w:gridCol w:w="2453"/>
        <w:gridCol w:w="1100"/>
        <w:gridCol w:w="1100"/>
        <w:gridCol w:w="1681"/>
        <w:gridCol w:w="908"/>
      </w:tblGrid>
      <w:tr w14:paraId="515C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pct"/>
            <w:vAlign w:val="top"/>
          </w:tcPr>
          <w:p w14:paraId="44B2D477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序号</w:t>
            </w:r>
          </w:p>
        </w:tc>
        <w:tc>
          <w:tcPr>
            <w:tcW w:w="796" w:type="pct"/>
            <w:vAlign w:val="top"/>
          </w:tcPr>
          <w:p w14:paraId="7D2BFEB6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措施类型（CA/PA）</w:t>
            </w:r>
          </w:p>
        </w:tc>
        <w:tc>
          <w:tcPr>
            <w:tcW w:w="1280" w:type="pct"/>
            <w:vAlign w:val="top"/>
          </w:tcPr>
          <w:p w14:paraId="37ED9E15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措施描述</w:t>
            </w:r>
          </w:p>
        </w:tc>
        <w:tc>
          <w:tcPr>
            <w:tcW w:w="574" w:type="pct"/>
            <w:vAlign w:val="top"/>
          </w:tcPr>
          <w:p w14:paraId="4DC1FB90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责任人</w:t>
            </w:r>
          </w:p>
        </w:tc>
        <w:tc>
          <w:tcPr>
            <w:tcW w:w="574" w:type="pct"/>
            <w:vAlign w:val="top"/>
          </w:tcPr>
          <w:p w14:paraId="2472721A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截止日期</w:t>
            </w:r>
          </w:p>
        </w:tc>
        <w:tc>
          <w:tcPr>
            <w:tcW w:w="877" w:type="pct"/>
            <w:vAlign w:val="top"/>
          </w:tcPr>
          <w:p w14:paraId="2136F0D5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证据/验证方式</w:t>
            </w:r>
          </w:p>
        </w:tc>
        <w:tc>
          <w:tcPr>
            <w:tcW w:w="474" w:type="pct"/>
            <w:vAlign w:val="top"/>
          </w:tcPr>
          <w:p w14:paraId="5D4D0B39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状态</w:t>
            </w:r>
          </w:p>
        </w:tc>
      </w:tr>
      <w:tr w14:paraId="7D24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pct"/>
            <w:vAlign w:val="top"/>
          </w:tcPr>
          <w:p w14:paraId="63D72320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  <w:r>
              <w:t>1</w:t>
            </w:r>
          </w:p>
        </w:tc>
        <w:tc>
          <w:tcPr>
            <w:tcW w:w="796" w:type="pct"/>
            <w:vAlign w:val="top"/>
          </w:tcPr>
          <w:p w14:paraId="15E0317B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  <w:tc>
          <w:tcPr>
            <w:tcW w:w="1280" w:type="pct"/>
            <w:vAlign w:val="top"/>
          </w:tcPr>
          <w:p w14:paraId="2FF00A52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  <w:tc>
          <w:tcPr>
            <w:tcW w:w="574" w:type="pct"/>
            <w:vAlign w:val="top"/>
          </w:tcPr>
          <w:p w14:paraId="1B6F1CA1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  <w:tc>
          <w:tcPr>
            <w:tcW w:w="574" w:type="pct"/>
            <w:vAlign w:val="top"/>
          </w:tcPr>
          <w:p w14:paraId="6D412F52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  <w:tc>
          <w:tcPr>
            <w:tcW w:w="877" w:type="pct"/>
            <w:vAlign w:val="top"/>
          </w:tcPr>
          <w:p w14:paraId="265CEE4D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  <w:tc>
          <w:tcPr>
            <w:tcW w:w="474" w:type="pct"/>
            <w:vAlign w:val="top"/>
          </w:tcPr>
          <w:p w14:paraId="393B1634">
            <w:pPr>
              <w:pStyle w:val="19"/>
              <w:widowControl/>
              <w:numPr>
                <w:ilvl w:val="0"/>
                <w:numId w:val="0"/>
              </w:numPr>
              <w:tabs>
                <w:tab w:val="left" w:pos="360"/>
              </w:tabs>
              <w:ind w:leftChars="0"/>
            </w:pPr>
          </w:p>
        </w:tc>
      </w:tr>
    </w:tbl>
    <w:p w14:paraId="57A4D567">
      <w:pPr>
        <w:spacing w:after="0" w:line="240" w:lineRule="auto"/>
        <w:rPr>
          <w:rFonts w:ascii="Calibri" w:hAnsi="Calibri" w:eastAsia="Calibri"/>
          <w:sz w:val="19"/>
        </w:rPr>
      </w:pPr>
      <w:r>
        <w:rPr>
          <w:rFonts w:ascii="Calibri" w:hAnsi="Calibri" w:eastAsia="Calibri"/>
          <w:sz w:val="19"/>
        </w:rPr>
        <w:br w:type="page"/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525"/>
        <w:gridCol w:w="2453"/>
        <w:gridCol w:w="1100"/>
        <w:gridCol w:w="1100"/>
        <w:gridCol w:w="1681"/>
        <w:gridCol w:w="908"/>
      </w:tblGrid>
      <w:tr w14:paraId="0698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pct"/>
            <w:vAlign w:val="top"/>
          </w:tcPr>
          <w:p w14:paraId="224A8857"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w="796" w:type="pct"/>
            <w:vAlign w:val="top"/>
          </w:tcPr>
          <w:p w14:paraId="67E89ADA">
            <w:pPr>
              <w:spacing w:after="0" w:line="240" w:lineRule="auto"/>
            </w:pPr>
          </w:p>
        </w:tc>
        <w:tc>
          <w:tcPr>
            <w:tcW w:w="1280" w:type="pct"/>
            <w:vAlign w:val="top"/>
          </w:tcPr>
          <w:p w14:paraId="234BC0F1">
            <w:pPr>
              <w:spacing w:after="0" w:line="240" w:lineRule="auto"/>
            </w:pPr>
          </w:p>
        </w:tc>
        <w:tc>
          <w:tcPr>
            <w:tcW w:w="574" w:type="pct"/>
            <w:vAlign w:val="top"/>
          </w:tcPr>
          <w:p w14:paraId="115A0F67">
            <w:pPr>
              <w:spacing w:after="0" w:line="240" w:lineRule="auto"/>
            </w:pPr>
          </w:p>
        </w:tc>
        <w:tc>
          <w:tcPr>
            <w:tcW w:w="574" w:type="pct"/>
            <w:vAlign w:val="top"/>
          </w:tcPr>
          <w:p w14:paraId="1B9EE4FA">
            <w:pPr>
              <w:spacing w:after="0" w:line="240" w:lineRule="auto"/>
            </w:pPr>
          </w:p>
        </w:tc>
        <w:tc>
          <w:tcPr>
            <w:tcW w:w="877" w:type="pct"/>
            <w:vAlign w:val="top"/>
          </w:tcPr>
          <w:p w14:paraId="5C7E9739">
            <w:pPr>
              <w:spacing w:after="0" w:line="240" w:lineRule="auto"/>
            </w:pPr>
          </w:p>
        </w:tc>
        <w:tc>
          <w:tcPr>
            <w:tcW w:w="474" w:type="pct"/>
            <w:vAlign w:val="top"/>
          </w:tcPr>
          <w:p w14:paraId="7FB3CCBB">
            <w:pPr>
              <w:spacing w:after="0" w:line="240" w:lineRule="auto"/>
            </w:pPr>
          </w:p>
        </w:tc>
      </w:tr>
      <w:tr w14:paraId="2DE9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" w:type="pct"/>
            <w:vAlign w:val="top"/>
          </w:tcPr>
          <w:p w14:paraId="08359766">
            <w:pPr>
              <w:spacing w:after="0" w:line="240" w:lineRule="auto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w="796" w:type="pct"/>
            <w:vAlign w:val="top"/>
          </w:tcPr>
          <w:p w14:paraId="4EDBB5EB">
            <w:pPr>
              <w:spacing w:after="0" w:line="240" w:lineRule="auto"/>
            </w:pPr>
          </w:p>
        </w:tc>
        <w:tc>
          <w:tcPr>
            <w:tcW w:w="1280" w:type="pct"/>
            <w:vAlign w:val="top"/>
          </w:tcPr>
          <w:p w14:paraId="07AABD05">
            <w:pPr>
              <w:spacing w:after="0" w:line="240" w:lineRule="auto"/>
            </w:pPr>
          </w:p>
        </w:tc>
        <w:tc>
          <w:tcPr>
            <w:tcW w:w="574" w:type="pct"/>
            <w:vAlign w:val="top"/>
          </w:tcPr>
          <w:p w14:paraId="12682B43">
            <w:pPr>
              <w:spacing w:after="0" w:line="240" w:lineRule="auto"/>
            </w:pPr>
          </w:p>
        </w:tc>
        <w:tc>
          <w:tcPr>
            <w:tcW w:w="574" w:type="pct"/>
            <w:vAlign w:val="top"/>
          </w:tcPr>
          <w:p w14:paraId="21D687C1">
            <w:pPr>
              <w:spacing w:after="0" w:line="240" w:lineRule="auto"/>
            </w:pPr>
          </w:p>
        </w:tc>
        <w:tc>
          <w:tcPr>
            <w:tcW w:w="877" w:type="pct"/>
            <w:vAlign w:val="top"/>
          </w:tcPr>
          <w:p w14:paraId="3C5A2C72">
            <w:pPr>
              <w:spacing w:after="0" w:line="240" w:lineRule="auto"/>
            </w:pPr>
          </w:p>
        </w:tc>
        <w:tc>
          <w:tcPr>
            <w:tcW w:w="474" w:type="pct"/>
            <w:vAlign w:val="top"/>
          </w:tcPr>
          <w:p w14:paraId="385BA01A">
            <w:pPr>
              <w:spacing w:after="0" w:line="240" w:lineRule="auto"/>
            </w:pPr>
          </w:p>
        </w:tc>
      </w:tr>
    </w:tbl>
    <w:p w14:paraId="326EE668"/>
    <w:p w14:paraId="4EE49854">
      <w:pPr>
        <w:pStyle w:val="4"/>
      </w:pPr>
      <w:r>
        <w:rPr>
          <w:rFonts w:ascii="Calibri" w:hAnsi="Calibri" w:eastAsia="Calibri"/>
          <w:b/>
          <w:sz w:val="22"/>
        </w:rPr>
        <w:t>附录C：偏差台账（Deviation Log）最小数据集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6965"/>
      </w:tblGrid>
      <w:tr w14:paraId="31C2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6653336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字段</w:t>
            </w:r>
          </w:p>
        </w:tc>
        <w:tc>
          <w:tcPr>
            <w:tcW w:w="3636" w:type="pct"/>
            <w:vAlign w:val="top"/>
          </w:tcPr>
          <w:p w14:paraId="04CE72A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说明</w:t>
            </w:r>
          </w:p>
        </w:tc>
      </w:tr>
      <w:tr w14:paraId="22E45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5AB6E822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偏差编号</w:t>
            </w:r>
          </w:p>
        </w:tc>
        <w:tc>
          <w:tcPr>
            <w:tcW w:w="3636" w:type="pct"/>
            <w:vAlign w:val="top"/>
          </w:tcPr>
          <w:p w14:paraId="6282A3F1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建议格式：中心代码-年份-流水号</w:t>
            </w:r>
          </w:p>
        </w:tc>
      </w:tr>
      <w:tr w14:paraId="4C1A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22F34B8C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受试者编号/访视</w:t>
            </w:r>
          </w:p>
        </w:tc>
        <w:tc>
          <w:tcPr>
            <w:tcW w:w="3636" w:type="pct"/>
            <w:vAlign w:val="top"/>
          </w:tcPr>
          <w:p w14:paraId="56645BB1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脱敏编号；访视代码/日期</w:t>
            </w:r>
          </w:p>
        </w:tc>
      </w:tr>
      <w:tr w14:paraId="793C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358270E7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偏差类型</w:t>
            </w:r>
          </w:p>
        </w:tc>
        <w:tc>
          <w:tcPr>
            <w:tcW w:w="3636" w:type="pct"/>
            <w:vAlign w:val="top"/>
          </w:tcPr>
          <w:p w14:paraId="1EDF9589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偏差/违背；对应流程模块</w:t>
            </w:r>
          </w:p>
        </w:tc>
      </w:tr>
      <w:tr w14:paraId="0DAE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55FA44BC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分级</w:t>
            </w:r>
          </w:p>
        </w:tc>
        <w:tc>
          <w:tcPr>
            <w:tcW w:w="3636" w:type="pct"/>
            <w:vAlign w:val="top"/>
          </w:tcPr>
          <w:p w14:paraId="7A2D72AF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Major/Minor；是否重复问题</w:t>
            </w:r>
          </w:p>
        </w:tc>
      </w:tr>
      <w:tr w14:paraId="7619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59ACF47C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描述与根因类别</w:t>
            </w:r>
          </w:p>
        </w:tc>
        <w:tc>
          <w:tcPr>
            <w:tcW w:w="3636" w:type="pct"/>
            <w:vAlign w:val="top"/>
          </w:tcPr>
          <w:p w14:paraId="4A01A2A0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简述；根因分类（人员/流程/系统/资源/沟通等）</w:t>
            </w:r>
          </w:p>
        </w:tc>
      </w:tr>
      <w:tr w14:paraId="7FF6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003B6351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纠正/预防措施状态</w:t>
            </w:r>
          </w:p>
        </w:tc>
        <w:tc>
          <w:tcPr>
            <w:tcW w:w="3636" w:type="pct"/>
            <w:vAlign w:val="top"/>
          </w:tcPr>
          <w:p w14:paraId="06E77A72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进行中/已完成/已关闭</w:t>
            </w:r>
          </w:p>
        </w:tc>
      </w:tr>
      <w:tr w14:paraId="31A0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vAlign w:val="top"/>
          </w:tcPr>
          <w:p w14:paraId="3E5FB830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关闭日期/关闭人</w:t>
            </w:r>
          </w:p>
        </w:tc>
        <w:tc>
          <w:tcPr>
            <w:tcW w:w="3636" w:type="pct"/>
            <w:vAlign w:val="top"/>
          </w:tcPr>
          <w:p w14:paraId="41DAF0BD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用于审计追踪</w:t>
            </w:r>
          </w:p>
        </w:tc>
      </w:tr>
    </w:tbl>
    <w:p w14:paraId="7E189ED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D3CE0"/>
    <w:multiLevelType w:val="singleLevel"/>
    <w:tmpl w:val="848D3CE0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D5B4829F"/>
    <w:multiLevelType w:val="singleLevel"/>
    <w:tmpl w:val="D5B4829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D6EBDBE9"/>
    <w:multiLevelType w:val="singleLevel"/>
    <w:tmpl w:val="D6EBDBE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D75B7E6D"/>
    <w:multiLevelType w:val="singleLevel"/>
    <w:tmpl w:val="D75B7E6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EB6726E3"/>
    <w:multiLevelType w:val="singleLevel"/>
    <w:tmpl w:val="EB6726E3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5">
    <w:nsid w:val="F88A7629"/>
    <w:multiLevelType w:val="singleLevel"/>
    <w:tmpl w:val="F88A762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FC5523A5"/>
    <w:multiLevelType w:val="singleLevel"/>
    <w:tmpl w:val="FC5523A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FD2C2388"/>
    <w:multiLevelType w:val="singleLevel"/>
    <w:tmpl w:val="FD2C238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0210A5F5"/>
    <w:multiLevelType w:val="singleLevel"/>
    <w:tmpl w:val="0210A5F5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4">
    <w:nsid w:val="06B034D8"/>
    <w:multiLevelType w:val="singleLevel"/>
    <w:tmpl w:val="06B034D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AD07DF0"/>
    <w:multiLevelType w:val="singleLevel"/>
    <w:tmpl w:val="0AD07DF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0DBDF23C"/>
    <w:multiLevelType w:val="singleLevel"/>
    <w:tmpl w:val="0DBDF23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0DD9F65E"/>
    <w:multiLevelType w:val="singleLevel"/>
    <w:tmpl w:val="0DD9F65E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8">
    <w:nsid w:val="13D8405B"/>
    <w:multiLevelType w:val="singleLevel"/>
    <w:tmpl w:val="13D8405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27455EA5"/>
    <w:multiLevelType w:val="singleLevel"/>
    <w:tmpl w:val="27455EA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5B373BBA"/>
    <w:multiLevelType w:val="singleLevel"/>
    <w:tmpl w:val="5B373BB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10"/>
  </w:num>
  <w:num w:numId="5">
    <w:abstractNumId w:val="8"/>
  </w:num>
  <w:num w:numId="6">
    <w:abstractNumId w:val="11"/>
  </w:num>
  <w:num w:numId="7">
    <w:abstractNumId w:val="6"/>
  </w:num>
  <w:num w:numId="8">
    <w:abstractNumId w:val="14"/>
  </w:num>
  <w:num w:numId="9">
    <w:abstractNumId w:val="18"/>
  </w:num>
  <w:num w:numId="10">
    <w:abstractNumId w:val="4"/>
  </w:num>
  <w:num w:numId="11">
    <w:abstractNumId w:val="2"/>
  </w:num>
  <w:num w:numId="12">
    <w:abstractNumId w:val="15"/>
  </w:num>
  <w:num w:numId="13">
    <w:abstractNumId w:val="19"/>
  </w:num>
  <w:num w:numId="14">
    <w:abstractNumId w:val="17"/>
  </w:num>
  <w:num w:numId="15">
    <w:abstractNumId w:val="1"/>
  </w:num>
  <w:num w:numId="16">
    <w:abstractNumId w:val="16"/>
  </w:num>
  <w:num w:numId="17">
    <w:abstractNumId w:val="3"/>
  </w:num>
  <w:num w:numId="18">
    <w:abstractNumId w:val="13"/>
  </w:num>
  <w:num w:numId="19">
    <w:abstractNumId w:val="5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10B82"/>
    <w:rsid w:val="65960E66"/>
    <w:rsid w:val="7584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1776</Words>
  <Characters>2258</Characters>
  <Lines>0</Lines>
  <Paragraphs>0</Paragraphs>
  <TotalTime>4</TotalTime>
  <ScaleCrop>false</ScaleCrop>
  <LinksUpToDate>false</LinksUpToDate>
  <CharactersWithSpaces>2307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57BB3B3F8AFB4582A4CB9D171F9BB37F_12</vt:lpwstr>
  </property>
</Properties>
</file>