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90B0C">
      <w:pPr>
        <w:pStyle w:val="31"/>
        <w:widowControl/>
        <w:ind w:left="2235" w:leftChars="870" w:hanging="321" w:hangingChars="100"/>
      </w:pPr>
      <w:r>
        <w:t>TDSC 研究标准操作规程（SOP）</w:t>
      </w:r>
    </w:p>
    <w:p w14:paraId="2693745C">
      <w:pPr>
        <w:pStyle w:val="31"/>
        <w:widowControl/>
        <w:ind w:left="2235" w:leftChars="870" w:hanging="321" w:hangingChars="100"/>
      </w:pPr>
      <w:r>
        <w:t>SOP2</w:t>
      </w:r>
      <w:r>
        <w:rPr>
          <w:rFonts w:hint="eastAsia"/>
          <w:lang w:val="en-US" w:eastAsia="zh-CN"/>
        </w:rPr>
        <w:t>5</w:t>
      </w:r>
      <w:r>
        <w:t>：治理结构与会议机制</w:t>
      </w:r>
    </w:p>
    <w:p w14:paraId="78503780">
      <w:pPr>
        <w:pStyle w:val="19"/>
        <w:widowControl/>
        <w:ind w:firstLine="1680" w:firstLineChars="700"/>
      </w:pPr>
      <w:r>
        <w:t>（DSMB / CEC / SAB / PMO；会议频率与汇报链）</w:t>
      </w:r>
    </w:p>
    <w:p w14:paraId="5BFDB25F"/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8EE9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56FF14ED">
            <w:pPr>
              <w:pStyle w:val="19"/>
              <w:widowControl/>
            </w:pPr>
            <w:r>
              <w:t>受控文件编号</w:t>
            </w:r>
          </w:p>
        </w:tc>
        <w:tc>
          <w:tcPr>
            <w:tcW w:w="2500" w:type="pct"/>
          </w:tcPr>
          <w:p w14:paraId="28909205">
            <w:pPr>
              <w:pStyle w:val="19"/>
              <w:widowControl/>
            </w:pPr>
            <w:r>
              <w:t>TDSC-SOP-22</w:t>
            </w:r>
          </w:p>
        </w:tc>
      </w:tr>
      <w:tr w14:paraId="6A6AA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58C450FE">
            <w:pPr>
              <w:pStyle w:val="19"/>
              <w:widowControl/>
            </w:pPr>
            <w:r>
              <w:t>版本</w:t>
            </w:r>
          </w:p>
        </w:tc>
        <w:tc>
          <w:tcPr>
            <w:tcW w:w="2500" w:type="pct"/>
          </w:tcPr>
          <w:p w14:paraId="56C3810B">
            <w:pPr>
              <w:pStyle w:val="19"/>
              <w:widowControl/>
            </w:pPr>
            <w:r>
              <w:t>V1.0</w:t>
            </w:r>
          </w:p>
        </w:tc>
      </w:tr>
      <w:tr w14:paraId="5CB9B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8BA7CE8">
            <w:pPr>
              <w:pStyle w:val="19"/>
              <w:widowControl/>
            </w:pPr>
            <w:r>
              <w:t>生效日期</w:t>
            </w:r>
          </w:p>
        </w:tc>
        <w:tc>
          <w:tcPr>
            <w:tcW w:w="2500" w:type="pct"/>
          </w:tcPr>
          <w:p w14:paraId="7E50D5D5">
            <w:pPr>
              <w:pStyle w:val="19"/>
              <w:widowControl/>
            </w:pPr>
            <w:r>
              <w:t>2026-03-04</w:t>
            </w:r>
          </w:p>
        </w:tc>
      </w:tr>
      <w:tr w14:paraId="5CB3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EAF8C2A">
            <w:pPr>
              <w:pStyle w:val="19"/>
              <w:widowControl/>
            </w:pPr>
            <w:r>
              <w:t>适用研究</w:t>
            </w:r>
          </w:p>
        </w:tc>
        <w:tc>
          <w:tcPr>
            <w:tcW w:w="2500" w:type="pct"/>
          </w:tcPr>
          <w:p w14:paraId="31D09F59">
            <w:pPr>
              <w:pStyle w:val="19"/>
              <w:widowControl/>
            </w:pPr>
            <w:r>
              <w:t>TDSC（TB-Diabetes Short Course）Study</w:t>
            </w:r>
          </w:p>
        </w:tc>
      </w:tr>
      <w:tr w14:paraId="13B51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A79DE42">
            <w:pPr>
              <w:pStyle w:val="19"/>
              <w:widowControl/>
            </w:pPr>
            <w:r>
              <w:t>对应研究方案</w:t>
            </w:r>
          </w:p>
        </w:tc>
        <w:tc>
          <w:tcPr>
            <w:tcW w:w="2500" w:type="pct"/>
          </w:tcPr>
          <w:p w14:paraId="593256AD">
            <w:pPr>
              <w:pStyle w:val="19"/>
              <w:widowControl/>
            </w:pPr>
            <w:r>
              <w:t>TDSC 研究方案 V2.0（2026-02-28） / TDSC Study Protocol V2.0 (2026-02-28)</w:t>
            </w:r>
          </w:p>
        </w:tc>
      </w:tr>
      <w:tr w14:paraId="48C33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4A97907">
            <w:pPr>
              <w:pStyle w:val="19"/>
              <w:widowControl/>
            </w:pPr>
            <w:r>
              <w:t>起草</w:t>
            </w:r>
          </w:p>
        </w:tc>
        <w:tc>
          <w:tcPr>
            <w:tcW w:w="2500" w:type="pct"/>
          </w:tcPr>
          <w:p w14:paraId="4A9ECC8D">
            <w:pPr>
              <w:pStyle w:val="19"/>
              <w:widowControl/>
            </w:pPr>
            <w:r>
              <w:t>____________</w:t>
            </w:r>
          </w:p>
        </w:tc>
      </w:tr>
      <w:tr w14:paraId="7915A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B179EA9">
            <w:pPr>
              <w:pStyle w:val="19"/>
              <w:widowControl/>
            </w:pPr>
            <w:r>
              <w:t>审核</w:t>
            </w:r>
          </w:p>
        </w:tc>
        <w:tc>
          <w:tcPr>
            <w:tcW w:w="2500" w:type="pct"/>
          </w:tcPr>
          <w:p w14:paraId="60DDAA06">
            <w:pPr>
              <w:pStyle w:val="19"/>
              <w:widowControl/>
            </w:pPr>
            <w:r>
              <w:t>____________</w:t>
            </w:r>
          </w:p>
        </w:tc>
      </w:tr>
      <w:tr w14:paraId="3797E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1352AFD">
            <w:pPr>
              <w:pStyle w:val="19"/>
              <w:widowControl/>
            </w:pPr>
            <w:r>
              <w:t>批准</w:t>
            </w:r>
          </w:p>
        </w:tc>
        <w:tc>
          <w:tcPr>
            <w:tcW w:w="2500" w:type="pct"/>
          </w:tcPr>
          <w:p w14:paraId="3472E63C">
            <w:pPr>
              <w:pStyle w:val="19"/>
              <w:widowControl/>
            </w:pPr>
            <w:r>
              <w:t>____________</w:t>
            </w:r>
          </w:p>
        </w:tc>
      </w:tr>
    </w:tbl>
    <w:p w14:paraId="2904130E"/>
    <w:p w14:paraId="3B6A130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0E8CC015">
      <w:pPr>
        <w:pStyle w:val="19"/>
        <w:widowControl/>
      </w:pPr>
      <w:r>
        <w:t>建立与TDSC研究设计相匹配的治理结构与会议运行机制，明确各治理单元（SC/DSMB/CEC/SAB/PMO）职责边界、独立性要求、会议频率与汇报链条，确保：（1）受试者安全与获益/风险平衡得到独立监督；（2）终点判定在信息隔离前提下保持独立、可追溯；（3）项目进度、数据质量与偏差整改形成闭环；（4）重大决策（方案修订/暂停/终止/删臂等）依据充分、记录完整。</w:t>
      </w:r>
    </w:p>
    <w:p w14:paraId="0473907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7530536C">
      <w:pPr>
        <w:pStyle w:val="16"/>
        <w:bidi w:val="0"/>
        <w:ind w:left="360" w:leftChars="0" w:hanging="360" w:firstLineChars="0"/>
      </w:pPr>
      <w:r>
        <w:t>适用于牵头单位、各参与中心、各专业工作组及全部治理机构成员。</w:t>
      </w:r>
    </w:p>
    <w:p w14:paraId="5E812FCC">
      <w:pPr>
        <w:pStyle w:val="16"/>
        <w:bidi w:val="0"/>
        <w:ind w:left="360" w:leftChars="0" w:hanging="360" w:firstLineChars="0"/>
      </w:pPr>
      <w:r>
        <w:t>适用于研究启动—入组—随访—中期分析—数据库锁定—发表/对外发布的全周期。</w:t>
      </w:r>
    </w:p>
    <w:p w14:paraId="3C352A2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术语与缩写</w:t>
      </w:r>
    </w:p>
    <w:p w14:paraId="6BF4176E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SC：项目指导委员会（Steering Committee）。</w:t>
      </w:r>
    </w:p>
    <w:p w14:paraId="1B0BC750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DSMB：独立数据与安全监察委员会（Data and Safety Monitoring Board）。</w:t>
      </w:r>
    </w:p>
    <w:p w14:paraId="3F0703A1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SAB：科学顾问委员会（Scientific Advisory Board）。</w:t>
      </w:r>
    </w:p>
    <w:p w14:paraId="0999AA49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CEC：临床终点判定委员会（Clinical Endpoint Committee）。</w:t>
      </w:r>
    </w:p>
    <w:p w14:paraId="6218D425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PMO：项目管理办公室（Project Management Office）。</w:t>
      </w:r>
    </w:p>
    <w:p w14:paraId="745F2475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TMG：试验管理组（Trial Management Group，PMO牵头的运行例会机制）。</w:t>
      </w:r>
    </w:p>
    <w:p w14:paraId="41E063A1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盲态/信息隔离：在开放标签试验中，针对终点判定、探索性生物标志物/影像输出、解盲数据访问等实施的受控访问与审计追踪（见SOP12）。</w:t>
      </w:r>
    </w:p>
    <w:p w14:paraId="66CC1FFD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治理架构总览</w:t>
      </w:r>
    </w:p>
    <w:p w14:paraId="6410BEF0">
      <w:pPr>
        <w:pStyle w:val="19"/>
        <w:widowControl/>
      </w:pPr>
      <w:r>
        <w:t>本项目采用“决策层（SC）+独立监督层（DSMB）+学术咨询层（SAB）+终点裁决层（CEC）+运行管理层（PMO/TMG）+多专业工作组+研究中心执行层”的立体架构。</w:t>
      </w:r>
    </w:p>
    <w:p w14:paraId="4D752EB4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SC：最高决策与统筹机构；对项目方向、重大修订与资源配置负责。</w:t>
      </w:r>
    </w:p>
    <w:p w14:paraId="0F8E042A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DSMB：独立第三方监督；对安全性与数据完整性进行评估并提出继续/修改/暂停/终止建议。</w:t>
      </w:r>
    </w:p>
    <w:p w14:paraId="3201B2D4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SAB：学术与战略咨询；对科学问题、技术路线与成果转化提供建议。</w:t>
      </w:r>
    </w:p>
    <w:p w14:paraId="70157377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CEC：独立终点判定；基于去标识化材料包进行盲态/部分盲态裁决，输出锁库前唯一终点清单。</w:t>
      </w:r>
    </w:p>
    <w:p w14:paraId="737BF53F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PMO/TMG：日常运行中枢；负责计划、协调、培训、质量回顾、文件管理与跨中心沟通。</w:t>
      </w:r>
    </w:p>
    <w:p w14:paraId="56E736C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治理原则（必须遵守）</w:t>
      </w:r>
    </w:p>
    <w:p w14:paraId="257B6D54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独立性：DSMB与CEC成员不得参与项目实施与日常临床决策，不在主要入组中心承担试验操作；须签署利益冲突声明与保密协议。</w:t>
      </w:r>
    </w:p>
    <w:p w14:paraId="5DA74EFB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信息隔离：涉及解盲数据、探索性输出（如TB22、影像AI/CT量化、PK/PGx研究性结果等）实行受控访问与审计追踪；治疗团队默认不可见（SOP12）。</w:t>
      </w:r>
    </w:p>
    <w:p w14:paraId="2B1AF83B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单一事实来源：终点裁决以CEC锁定清单为唯一依据；数据清理与锁库以SOP19流程为唯一依据；偏差/CAPA以SOP20台账为唯一依据。</w:t>
      </w:r>
    </w:p>
    <w:p w14:paraId="225EA39D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记录可追溯：会议议程、材料包、参会名单、表决/建议、会议纪要与决议执行情况必须归档；关键决策须形成Decision Log。</w:t>
      </w:r>
    </w:p>
    <w:p w14:paraId="77D30FDF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时间敏感事件优先：SAE/AESI聚集、重大数据异常、信息隔离破坏、Hard Gate误随机等须按升级矩阵快速响应（SOP10/19/20）。</w:t>
      </w:r>
    </w:p>
    <w:p w14:paraId="56B01D6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机构职责与边界</w:t>
      </w:r>
    </w:p>
    <w:p w14:paraId="0538E376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b/>
          <w:bdr w:val="none" w:sz="0" w:space="0"/>
        </w:rPr>
      </w:pPr>
      <w:r>
        <w:t>项目指导委员会（SC）</w:t>
      </w:r>
    </w:p>
    <w:p w14:paraId="68B2E614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审议/通过研究方案与重大修订、年度工作计划、关键里程碑与资源配置。</w:t>
      </w:r>
    </w:p>
    <w:p w14:paraId="32970122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接收并审议DSMB报告，做出继续/修改/暂停/终止/删臂等决策；不采纳DSMB建议需书面说明。</w:t>
      </w:r>
    </w:p>
    <w:p w14:paraId="29A76CCF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审议中期分析与阶段性成果；批准对外合作、数据共享、知识产权与发表策略。</w:t>
      </w:r>
    </w:p>
    <w:p w14:paraId="2BB81591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b/>
          <w:bdr w:val="none" w:sz="0" w:space="0"/>
        </w:rPr>
      </w:pPr>
      <w:r>
        <w:t>独立数据与安全监察委员会（DSMB）</w:t>
      </w:r>
    </w:p>
    <w:p w14:paraId="21513DA7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启动前审阅方案与SAP（尤其安全性部分）、AE/SAE流程（SOP10）与监测计划。</w:t>
      </w:r>
    </w:p>
    <w:p w14:paraId="787BEA1F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定期获取盲态或必要时解盲的数据摘要评估安全性、数据完整性及获益/风险。</w:t>
      </w:r>
    </w:p>
    <w:p w14:paraId="21D16121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依据预设中期分析与监测计划提出继续/调整/暂停/终止/删臂建议，并形成正式书面报告。</w:t>
      </w:r>
    </w:p>
    <w:p w14:paraId="4A755DC4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b/>
          <w:bdr w:val="none" w:sz="0" w:space="0"/>
        </w:rPr>
      </w:pPr>
      <w:r>
        <w:t>科学顾问委员会（SAB）</w:t>
      </w:r>
    </w:p>
    <w:p w14:paraId="13CDDA6B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对关键科学问题、研究设计优化、终点体系与技术路线提供学术建议。</w:t>
      </w:r>
    </w:p>
    <w:p w14:paraId="6AB9B67C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对嵌套子研究、多组学/AI、卫生经济学与成果转化路径提供战略咨询。</w:t>
      </w:r>
    </w:p>
    <w:p w14:paraId="5E7634A7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对阶段性成果进行学术评估并提出发表/传播建议。</w:t>
      </w:r>
    </w:p>
    <w:p w14:paraId="56F8EA7B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b/>
          <w:bdr w:val="none" w:sz="0" w:space="0"/>
        </w:rPr>
      </w:pPr>
      <w:r>
        <w:t>临床终点判定委员会（CEC）</w:t>
      </w:r>
    </w:p>
    <w:p w14:paraId="6396E6C0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依据经SC批准的终点判定标准与SOP15材料包，对疑似结局事件进行盲态/部分盲态集中判定。</w:t>
      </w:r>
    </w:p>
    <w:p w14:paraId="00E634BC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对治愈/失败/复发/再感染、TB相关/非TB死亡等进行规范分类与归因；分歧按多数票或主任裁决。</w:t>
      </w:r>
    </w:p>
    <w:p w14:paraId="1BA22838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在数据库锁定前向数据管理/统计工作组提供经CEC核准的终点清单，作为分析与报告唯一依据。</w:t>
      </w:r>
    </w:p>
    <w:p w14:paraId="57759539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b/>
          <w:bdr w:val="none" w:sz="0" w:space="0"/>
        </w:rPr>
      </w:pPr>
      <w:r>
        <w:t>PMO / TMG（运行管理）</w:t>
      </w:r>
    </w:p>
    <w:p w14:paraId="3CF7708C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制定并跟踪项目计划与里程碑；组织中心启动、研究者会议、培训与质量回顾会。</w:t>
      </w:r>
    </w:p>
    <w:p w14:paraId="3C3320D6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文件管理与版本控制；作为SC/DSMB/SAB/CEC与各中心的信息枢纽。</w:t>
      </w:r>
    </w:p>
    <w:p w14:paraId="2B1C3F4D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维护风险/问题台账（Issue Log）、决策台账（Decision Log）与行动项跟踪（Action Tracker）。</w:t>
      </w:r>
    </w:p>
    <w:p w14:paraId="44C61004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协调专业工作组（数据管理、EDC、质量监查、生物样本、PRO/卫生经济学等）协同。</w:t>
      </w:r>
    </w:p>
    <w:p w14:paraId="146B4E6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会议机制与频率</w:t>
      </w:r>
    </w:p>
    <w:p w14:paraId="15FFAC86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  <w:bdr w:val="none" w:sz="0" w:space="0"/>
        </w:rPr>
      </w:pPr>
      <w:r>
        <w:t>SC会议</w:t>
      </w:r>
    </w:p>
    <w:p w14:paraId="705BE1AE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频率：每年至少1次例会；必要时召开临时会议。</w:t>
      </w:r>
    </w:p>
    <w:p w14:paraId="5EFE2B05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法定人数：不少于2/3委员出席；重大事项以不少于2/3同意通过。</w:t>
      </w:r>
    </w:p>
    <w:p w14:paraId="44FB3DE2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材料：PMO提前≥7天发送议程、项目仪表盘（入组/随访/安全/数据质量/偏差/CAPA）、需决策事项与备选方案。</w:t>
      </w:r>
    </w:p>
    <w:p w14:paraId="5399807C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输出：会议纪要+决议清单（含责任人/截止日期）；纳入Decision Log并由PMO追踪闭环。</w:t>
      </w:r>
    </w:p>
    <w:p w14:paraId="2DF5D1C3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  <w:bdr w:val="none" w:sz="0" w:space="0"/>
        </w:rPr>
      </w:pPr>
      <w:r>
        <w:t>DSMB会议</w:t>
      </w:r>
    </w:p>
    <w:p w14:paraId="174A90F5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频率：实施期间原则上每6–12个月1次；重大安全事件/异常聚集或SC请求时可临时召开。</w:t>
      </w:r>
    </w:p>
    <w:p w14:paraId="7565CDEB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闭门原则：涉及解盲数据的讨论仅限DSMB成员与指定独立统计人员；实施团队不得在场。</w:t>
      </w:r>
    </w:p>
    <w:p w14:paraId="74394618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输出：DSMB正式书面报告提交SC与（如适用）资助管理部门；紧急建议可先口头后书面补齐（≤72小时）。</w:t>
      </w:r>
    </w:p>
    <w:p w14:paraId="26CA18D6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  <w:bdr w:val="none" w:sz="0" w:space="0"/>
        </w:rPr>
      </w:pPr>
      <w:r>
        <w:t>SAB会议</w:t>
      </w:r>
    </w:p>
    <w:p w14:paraId="0CC89D69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频率：每年至少1次；必要时可临时会议/线上咨询。</w:t>
      </w:r>
    </w:p>
    <w:p w14:paraId="48428A38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材料：PMO提供阶段性进展摘要、关键科学问题清单、拟讨论决策点。</w:t>
      </w:r>
    </w:p>
    <w:p w14:paraId="2E9C71C3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输出：SAB咨询备忘录（Recommendations Memo）提交SC；是否采纳由SC决策并留痕。</w:t>
      </w:r>
    </w:p>
    <w:p w14:paraId="16CC45F6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  <w:bdr w:val="none" w:sz="0" w:space="0"/>
        </w:rPr>
      </w:pPr>
      <w:r>
        <w:t>CEC会议/裁决机制</w:t>
      </w:r>
    </w:p>
    <w:p w14:paraId="77336D9C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工作模式：分散独立评阅 + 集中讨论；材料包去标识化并按SOP15标准化。</w:t>
      </w:r>
    </w:p>
    <w:p w14:paraId="3DEE5E64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频率：原则上每年1次集中裁决；关键节点（中期分析前、锁库前）召开专项会议；需要快速判定时可在线评审。</w:t>
      </w:r>
    </w:p>
    <w:p w14:paraId="7995D37F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输出：CEC裁决记录与终点清单（含版本号、日期、裁决规则、分歧处理）；由PMO与数据管理组归档。</w:t>
      </w:r>
    </w:p>
    <w:p w14:paraId="276F84D1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  <w:bdr w:val="none" w:sz="0" w:space="0"/>
        </w:rPr>
      </w:pPr>
      <w:r>
        <w:t>PMO/TMG运行例会（建议机制）</w:t>
      </w:r>
    </w:p>
    <w:p w14:paraId="4D21D2DA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频率：每1–2周1次（可按阶段调整为周会/双周会）。</w:t>
      </w:r>
    </w:p>
    <w:p w14:paraId="66100D90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议题：入组与随访（SOP18）、数据质量与查询闭环（SOP19）、安全事件与AE时限（SOP10）、偏差/CAPA（SOP20）、药物供应与依从性、中心问题与支持需求。</w:t>
      </w:r>
    </w:p>
    <w:p w14:paraId="6BF0C625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输出：行动项清单与问题升级；高风险事项在24小时内升级至SC主席/安全负责人。</w:t>
      </w:r>
    </w:p>
    <w:p w14:paraId="7FDA398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汇报链条与升级矩阵（摘要）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175"/>
        <w:gridCol w:w="2135"/>
        <w:gridCol w:w="2391"/>
      </w:tblGrid>
      <w:tr w14:paraId="4D70A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6845189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事件/主题</w:t>
            </w:r>
          </w:p>
        </w:tc>
        <w:tc>
          <w:tcPr>
            <w:tcW w:w="1250" w:type="pct"/>
          </w:tcPr>
          <w:p w14:paraId="01DCD588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常规汇报链</w:t>
            </w:r>
          </w:p>
        </w:tc>
        <w:tc>
          <w:tcPr>
            <w:tcW w:w="1250" w:type="pct"/>
          </w:tcPr>
          <w:p w14:paraId="4C3652EE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升级触发（示例）</w:t>
            </w:r>
          </w:p>
        </w:tc>
        <w:tc>
          <w:tcPr>
            <w:tcW w:w="1250" w:type="pct"/>
          </w:tcPr>
          <w:p w14:paraId="17472482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对应SOP/文件</w:t>
            </w:r>
          </w:p>
        </w:tc>
      </w:tr>
      <w:tr w14:paraId="6F858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1D9792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入组/随访进度</w:t>
            </w:r>
          </w:p>
        </w:tc>
        <w:tc>
          <w:tcPr>
            <w:tcW w:w="1250" w:type="pct"/>
          </w:tcPr>
          <w:p w14:paraId="2D5CE8FB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中心→PMO→SC（例会仪表盘）</w:t>
            </w:r>
          </w:p>
        </w:tc>
        <w:tc>
          <w:tcPr>
            <w:tcW w:w="1250" w:type="pct"/>
          </w:tcPr>
          <w:p w14:paraId="27C70FAD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连续2个周期低于阈值/系统性超窗</w:t>
            </w:r>
          </w:p>
        </w:tc>
        <w:tc>
          <w:tcPr>
            <w:tcW w:w="1250" w:type="pct"/>
          </w:tcPr>
          <w:p w14:paraId="52D2008D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SOP18/SOP19</w:t>
            </w:r>
          </w:p>
        </w:tc>
      </w:tr>
      <w:tr w14:paraId="0FB22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53C9F66F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数据质量/查询</w:t>
            </w:r>
          </w:p>
        </w:tc>
        <w:tc>
          <w:tcPr>
            <w:tcW w:w="1250" w:type="pct"/>
          </w:tcPr>
          <w:p w14:paraId="79AC17EB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中心→DM/PMO→SC</w:t>
            </w:r>
          </w:p>
        </w:tc>
        <w:tc>
          <w:tcPr>
            <w:tcW w:w="1250" w:type="pct"/>
          </w:tcPr>
          <w:p w14:paraId="667F91F0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关键字段缺失率异常、无法锁库风险</w:t>
            </w:r>
          </w:p>
        </w:tc>
        <w:tc>
          <w:tcPr>
            <w:tcW w:w="1250" w:type="pct"/>
          </w:tcPr>
          <w:p w14:paraId="1A7B6594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SOP19</w:t>
            </w:r>
          </w:p>
        </w:tc>
      </w:tr>
      <w:tr w14:paraId="358B2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C211FD9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安全性/SAE</w:t>
            </w:r>
          </w:p>
        </w:tc>
        <w:tc>
          <w:tcPr>
            <w:tcW w:w="1250" w:type="pct"/>
          </w:tcPr>
          <w:p w14:paraId="6A051998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中心→PMO/安全负责人→DSMB/SC</w:t>
            </w:r>
          </w:p>
        </w:tc>
        <w:tc>
          <w:tcPr>
            <w:tcW w:w="1250" w:type="pct"/>
          </w:tcPr>
          <w:p w14:paraId="553CBD89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SAE聚集、QTcF&gt;500ms聚集、DKA/HHS等</w:t>
            </w:r>
          </w:p>
        </w:tc>
        <w:tc>
          <w:tcPr>
            <w:tcW w:w="1250" w:type="pct"/>
          </w:tcPr>
          <w:p w14:paraId="0C3B32E8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SOP10/SOP06/SOP09</w:t>
            </w:r>
          </w:p>
        </w:tc>
      </w:tr>
      <w:tr w14:paraId="43293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0913C89B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终点事件/CEC</w:t>
            </w:r>
          </w:p>
        </w:tc>
        <w:tc>
          <w:tcPr>
            <w:tcW w:w="1250" w:type="pct"/>
          </w:tcPr>
          <w:p w14:paraId="5EE4CDCB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中心→DM→CEC→DM/统计→SC</w:t>
            </w:r>
          </w:p>
        </w:tc>
        <w:tc>
          <w:tcPr>
            <w:tcW w:w="1250" w:type="pct"/>
          </w:tcPr>
          <w:p w14:paraId="3D550C2D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证据链不完整、裁决延误影响中期/锁库</w:t>
            </w:r>
          </w:p>
        </w:tc>
        <w:tc>
          <w:tcPr>
            <w:tcW w:w="1250" w:type="pct"/>
          </w:tcPr>
          <w:p w14:paraId="64EBEB28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SOP15/SOP16</w:t>
            </w:r>
          </w:p>
        </w:tc>
      </w:tr>
      <w:tr w14:paraId="3A0A7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47C157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偏差/CAPA</w:t>
            </w:r>
          </w:p>
        </w:tc>
        <w:tc>
          <w:tcPr>
            <w:tcW w:w="1250" w:type="pct"/>
          </w:tcPr>
          <w:p w14:paraId="3B7F4680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中心→PMO→SC（趋势回顾）</w:t>
            </w:r>
          </w:p>
        </w:tc>
        <w:tc>
          <w:tcPr>
            <w:tcW w:w="1250" w:type="pct"/>
          </w:tcPr>
          <w:p w14:paraId="570E99F5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Hard Gate误随机、信息隔离破坏、系统性重复问题</w:t>
            </w:r>
          </w:p>
        </w:tc>
        <w:tc>
          <w:tcPr>
            <w:tcW w:w="1250" w:type="pct"/>
          </w:tcPr>
          <w:p w14:paraId="513C3EF0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SOP20/SOP12</w:t>
            </w:r>
          </w:p>
        </w:tc>
      </w:tr>
      <w:tr w14:paraId="79423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996215F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中期分析/删臂</w:t>
            </w:r>
          </w:p>
        </w:tc>
        <w:tc>
          <w:tcPr>
            <w:tcW w:w="1250" w:type="pct"/>
          </w:tcPr>
          <w:p w14:paraId="1D6D3470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统计/DSMB→SC</w:t>
            </w:r>
          </w:p>
        </w:tc>
        <w:tc>
          <w:tcPr>
            <w:tcW w:w="1250" w:type="pct"/>
          </w:tcPr>
          <w:p w14:paraId="65EC1508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触发预设规则、DSMB建议</w:t>
            </w:r>
          </w:p>
        </w:tc>
        <w:tc>
          <w:tcPr>
            <w:tcW w:w="1250" w:type="pct"/>
          </w:tcPr>
          <w:p w14:paraId="347C8AD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SAP/DSMB报告</w:t>
            </w:r>
          </w:p>
        </w:tc>
      </w:tr>
    </w:tbl>
    <w:p w14:paraId="50A34AC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文件与记录管理</w:t>
      </w:r>
    </w:p>
    <w:p w14:paraId="03E42607">
      <w:pPr>
        <w:pStyle w:val="19"/>
        <w:widowControl/>
        <w:numPr>
          <w:ilvl w:val="0"/>
          <w:numId w:val="23"/>
        </w:numPr>
        <w:ind w:left="360" w:leftChars="0" w:hanging="360" w:firstLineChars="0"/>
      </w:pPr>
      <w:r>
        <w:t>须受控管理的文件：各委员会章程/成员名单/COI与保密协议/会议材料/纪要/报告/决议与行动项闭环记录。</w:t>
      </w:r>
    </w:p>
    <w:p w14:paraId="2542AE5F">
      <w:pPr>
        <w:pStyle w:val="19"/>
        <w:widowControl/>
        <w:numPr>
          <w:ilvl w:val="0"/>
          <w:numId w:val="23"/>
        </w:numPr>
        <w:ind w:left="360" w:leftChars="0" w:hanging="360" w:firstLineChars="0"/>
      </w:pPr>
      <w:r>
        <w:t>存储与权限：通过机构批准的安全平台存储；按角色最小权限访问；涉及解盲/探索性输出按SOP12受控访问并留痕。</w:t>
      </w:r>
    </w:p>
    <w:p w14:paraId="68FDD9E5">
      <w:pPr>
        <w:pStyle w:val="19"/>
        <w:widowControl/>
        <w:numPr>
          <w:ilvl w:val="0"/>
          <w:numId w:val="23"/>
        </w:numPr>
        <w:ind w:left="360" w:leftChars="0" w:hanging="360" w:firstLineChars="0"/>
      </w:pPr>
      <w:r>
        <w:t>保存期限：按GCP与资助方/机构要求执行；不得擅自删除或覆盖原始记录。</w:t>
      </w:r>
    </w:p>
    <w:p w14:paraId="5EB094E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与其他SOP的接口（不重复写细则）</w:t>
      </w:r>
    </w:p>
    <w:p w14:paraId="6357CAD0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SOP1</w:t>
      </w:r>
      <w:r>
        <w:rPr>
          <w:rFonts w:hint="eastAsia"/>
          <w:lang w:val="en-US" w:eastAsia="zh-CN"/>
        </w:rPr>
        <w:t>1</w:t>
      </w:r>
      <w:r>
        <w:t>：终点事件识别、CEC材料包与裁决流程（证据链标准）。</w:t>
      </w:r>
    </w:p>
    <w:p w14:paraId="7C75B0BF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SOP1</w:t>
      </w:r>
      <w:r>
        <w:rPr>
          <w:rFonts w:hint="eastAsia"/>
          <w:lang w:val="en-US" w:eastAsia="zh-CN"/>
        </w:rPr>
        <w:t>5</w:t>
      </w:r>
      <w:r>
        <w:t>：随访与失访管理（窗口、追访策略、缺失留痕）。</w:t>
      </w:r>
    </w:p>
    <w:p w14:paraId="0C7F2AD9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SOP</w:t>
      </w:r>
      <w:r>
        <w:rPr>
          <w:rFonts w:hint="eastAsia"/>
          <w:lang w:val="en-US" w:eastAsia="zh-CN"/>
        </w:rPr>
        <w:t>23</w:t>
      </w:r>
      <w:r>
        <w:t>：数据管理与质量控制（EDC、查询、冻结/锁库、稽查）。</w:t>
      </w:r>
    </w:p>
    <w:p w14:paraId="48B15FFC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SOP2</w:t>
      </w:r>
      <w:r>
        <w:rPr>
          <w:rFonts w:hint="eastAsia"/>
          <w:lang w:val="en-US" w:eastAsia="zh-CN"/>
        </w:rPr>
        <w:t>4</w:t>
      </w:r>
      <w:r>
        <w:t>：偏差/违背与CAPA（升级、趋势监测、纠正与预防）。</w:t>
      </w:r>
    </w:p>
    <w:p w14:paraId="5D3AC569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SOP10/SOP</w:t>
      </w:r>
      <w:r>
        <w:rPr>
          <w:rFonts w:hint="eastAsia"/>
          <w:lang w:val="en-US" w:eastAsia="zh-CN"/>
        </w:rPr>
        <w:t>22</w:t>
      </w:r>
      <w:r>
        <w:t>/SOP09：AE捕获、分级、处置与时限；EDC自动规则。</w:t>
      </w:r>
    </w:p>
    <w:p w14:paraId="27FC4628">
      <w:pPr>
        <w:pStyle w:val="164"/>
        <w:widowControl/>
      </w:pPr>
      <w:r>
        <w:t>附录A：会议议程模板（</w:t>
      </w:r>
      <w:bookmarkStart w:id="0" w:name="_GoBack"/>
      <w:bookmarkEnd w:id="0"/>
      <w:r>
        <w:t>示例）</w:t>
      </w:r>
    </w:p>
    <w:p w14:paraId="1107B08A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SC：项目进度仪表盘→安全概览→数据质量→偏差/CAPA→需决策事项→行动项。</w:t>
      </w:r>
    </w:p>
    <w:p w14:paraId="4BC1343D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DSMB：安全性摘要（盲态/解盲）→获益/风险→数据完整性→建议与条件→报告。</w:t>
      </w:r>
    </w:p>
    <w:p w14:paraId="64CC369A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CEC：待裁决事件列表→独立评阅结果→分歧病例讨论→裁决清单锁定。</w:t>
      </w:r>
    </w:p>
    <w:p w14:paraId="407EBAF5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TMG：入组/随访→查询闭环→安全→药物/物流→问题升级→行动项。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AB7A9"/>
    <w:multiLevelType w:val="singleLevel"/>
    <w:tmpl w:val="8BDAB7A9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8D6D895B"/>
    <w:multiLevelType w:val="singleLevel"/>
    <w:tmpl w:val="8D6D895B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8E4DEDA7"/>
    <w:multiLevelType w:val="singleLevel"/>
    <w:tmpl w:val="8E4DEDA7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901049C4"/>
    <w:multiLevelType w:val="singleLevel"/>
    <w:tmpl w:val="901049C4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94D34A5A"/>
    <w:multiLevelType w:val="singleLevel"/>
    <w:tmpl w:val="94D34A5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CEFAC35A"/>
    <w:multiLevelType w:val="singleLevel"/>
    <w:tmpl w:val="CEFAC35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D6CAD8AD"/>
    <w:multiLevelType w:val="singleLevel"/>
    <w:tmpl w:val="D6CAD8AD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D7213D86"/>
    <w:multiLevelType w:val="singleLevel"/>
    <w:tmpl w:val="D7213D86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D97018A4"/>
    <w:multiLevelType w:val="singleLevel"/>
    <w:tmpl w:val="D97018A4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E8CA837A"/>
    <w:multiLevelType w:val="singleLevel"/>
    <w:tmpl w:val="E8CA837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EC8CE54B"/>
    <w:multiLevelType w:val="singleLevel"/>
    <w:tmpl w:val="EC8CE54B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FB2A15BE"/>
    <w:multiLevelType w:val="singleLevel"/>
    <w:tmpl w:val="FB2A15BE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1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7">
    <w:nsid w:val="07DF9B52"/>
    <w:multiLevelType w:val="singleLevel"/>
    <w:tmpl w:val="07DF9B5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8">
    <w:nsid w:val="0978998B"/>
    <w:multiLevelType w:val="singleLevel"/>
    <w:tmpl w:val="0978998B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9">
    <w:nsid w:val="1E44C27F"/>
    <w:multiLevelType w:val="singleLevel"/>
    <w:tmpl w:val="1E44C27F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20">
    <w:nsid w:val="21D21349"/>
    <w:multiLevelType w:val="singleLevel"/>
    <w:tmpl w:val="21D2134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1">
    <w:nsid w:val="23AEDA78"/>
    <w:multiLevelType w:val="singleLevel"/>
    <w:tmpl w:val="23AEDA7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2">
    <w:nsid w:val="485B7518"/>
    <w:multiLevelType w:val="singleLevel"/>
    <w:tmpl w:val="485B751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3">
    <w:nsid w:val="7C162957"/>
    <w:multiLevelType w:val="singleLevel"/>
    <w:tmpl w:val="7C162957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3"/>
  </w:num>
  <w:num w:numId="2">
    <w:abstractNumId w:val="16"/>
  </w:num>
  <w:num w:numId="3">
    <w:abstractNumId w:val="1"/>
  </w:num>
  <w:num w:numId="4">
    <w:abstractNumId w:val="14"/>
  </w:num>
  <w:num w:numId="5">
    <w:abstractNumId w:val="12"/>
  </w:num>
  <w:num w:numId="6">
    <w:abstractNumId w:val="15"/>
  </w:num>
  <w:num w:numId="7">
    <w:abstractNumId w:val="0"/>
  </w:num>
  <w:num w:numId="8">
    <w:abstractNumId w:val="4"/>
  </w:num>
  <w:num w:numId="9">
    <w:abstractNumId w:val="20"/>
  </w:num>
  <w:num w:numId="10">
    <w:abstractNumId w:val="18"/>
  </w:num>
  <w:num w:numId="11">
    <w:abstractNumId w:val="19"/>
  </w:num>
  <w:num w:numId="12">
    <w:abstractNumId w:val="23"/>
  </w:num>
  <w:num w:numId="13">
    <w:abstractNumId w:val="3"/>
  </w:num>
  <w:num w:numId="14">
    <w:abstractNumId w:val="21"/>
  </w:num>
  <w:num w:numId="15">
    <w:abstractNumId w:val="5"/>
  </w:num>
  <w:num w:numId="16">
    <w:abstractNumId w:val="10"/>
  </w:num>
  <w:num w:numId="17">
    <w:abstractNumId w:val="11"/>
  </w:num>
  <w:num w:numId="18">
    <w:abstractNumId w:val="7"/>
  </w:num>
  <w:num w:numId="19">
    <w:abstractNumId w:val="6"/>
  </w:num>
  <w:num w:numId="20">
    <w:abstractNumId w:val="9"/>
  </w:num>
  <w:num w:numId="21">
    <w:abstractNumId w:val="22"/>
  </w:num>
  <w:num w:numId="22">
    <w:abstractNumId w:val="8"/>
  </w:num>
  <w:num w:numId="23">
    <w:abstractNumId w:val="2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0B47C1"/>
    <w:rsid w:val="48D66617"/>
    <w:rsid w:val="5A7B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2959</Words>
  <Characters>3796</Characters>
  <Lines>0</Lines>
  <Paragraphs>0</Paragraphs>
  <TotalTime>3</TotalTime>
  <ScaleCrop>false</ScaleCrop>
  <LinksUpToDate>false</LinksUpToDate>
  <CharactersWithSpaces>3858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2026-03-13T07:53:27Z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F5E10A6D05674A9D9AE80505DD263042_12</vt:lpwstr>
  </property>
</Properties>
</file>