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628F3D">
      <w:pPr>
        <w:jc w:val="center"/>
        <w:rPr>
          <w:rFonts w:hint="default" w:ascii="Times New Roman" w:hAnsi="Times New Roman" w:eastAsia="宋体" w:cs="Times New Roman"/>
        </w:rPr>
      </w:pPr>
      <w:r>
        <w:rPr>
          <w:rFonts w:hint="default" w:ascii="Times New Roman" w:hAnsi="Times New Roman" w:eastAsia="宋体" w:cs="Times New Roman"/>
          <w:b/>
          <w:sz w:val="48"/>
        </w:rPr>
        <w:t>TDSC 统计分析计划（SAP）</w:t>
      </w:r>
    </w:p>
    <w:p w14:paraId="54A88AC1">
      <w:pPr>
        <w:jc w:val="center"/>
        <w:rPr>
          <w:rFonts w:hint="default" w:ascii="Times New Roman" w:hAnsi="Times New Roman" w:eastAsia="宋体" w:cs="Times New Roman"/>
        </w:rPr>
      </w:pPr>
      <w:r>
        <w:rPr>
          <w:rFonts w:hint="default" w:ascii="Times New Roman" w:hAnsi="Times New Roman" w:eastAsia="宋体" w:cs="Times New Roman"/>
          <w:sz w:val="24"/>
        </w:rPr>
        <w:t>Protocol version: V</w:t>
      </w:r>
      <w:r>
        <w:rPr>
          <w:rFonts w:hint="eastAsia" w:ascii="Times New Roman" w:hAnsi="Times New Roman" w:cs="Times New Roman"/>
          <w:sz w:val="24"/>
          <w:lang w:val="en-US" w:eastAsia="zh-CN"/>
        </w:rPr>
        <w:t>2.0</w:t>
      </w:r>
      <w:r>
        <w:rPr>
          <w:rFonts w:hint="default" w:ascii="Times New Roman" w:hAnsi="Times New Roman" w:eastAsia="宋体" w:cs="Times New Roman"/>
          <w:sz w:val="24"/>
        </w:rPr>
        <w:t xml:space="preserve"> (Aligned 2026-02-28)</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SAP version: V</w:t>
      </w:r>
      <w:r>
        <w:rPr>
          <w:rFonts w:hint="eastAsia" w:ascii="Times New Roman" w:hAnsi="Times New Roman" w:cs="Times New Roman"/>
          <w:sz w:val="24"/>
          <w:lang w:val="en-US" w:eastAsia="zh-CN"/>
        </w:rPr>
        <w:t>1.0</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Date: 2026-03-02</w:t>
      </w:r>
    </w:p>
    <w:p w14:paraId="45D7D88A">
      <w:pPr>
        <w:rPr>
          <w:rFonts w:hint="default" w:ascii="Times New Roman" w:hAnsi="Times New Roman" w:eastAsia="宋体" w:cs="Times New Roman"/>
        </w:rPr>
      </w:pPr>
    </w:p>
    <w:p w14:paraId="252C7A93">
      <w:pPr>
        <w:jc w:val="center"/>
        <w:rPr>
          <w:rFonts w:hint="default" w:ascii="Times New Roman" w:hAnsi="Times New Roman" w:eastAsia="宋体" w:cs="Times New Roman"/>
        </w:rPr>
      </w:pPr>
      <w:r>
        <w:rPr>
          <w:rFonts w:hint="default" w:ascii="Times New Roman" w:hAnsi="Times New Roman" w:eastAsia="宋体" w:cs="Times New Roman"/>
          <w:sz w:val="24"/>
        </w:rPr>
        <w:t>研究项目：Tuberculosis-Diabetes Mellitus Short-Course Treatment</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and Digital-AI-Stratification Consortium (TDSC)</w:t>
      </w:r>
    </w:p>
    <w:p w14:paraId="44A4582F">
      <w:pPr>
        <w:rPr>
          <w:rFonts w:hint="default" w:ascii="Times New Roman" w:hAnsi="Times New Roman" w:eastAsia="宋体" w:cs="Times New Roman"/>
        </w:rPr>
      </w:pPr>
    </w:p>
    <w:p w14:paraId="2A814A89">
      <w:pPr>
        <w:jc w:val="center"/>
        <w:rPr>
          <w:rFonts w:hint="default" w:ascii="Times New Roman" w:hAnsi="Times New Roman" w:eastAsia="宋体" w:cs="Times New Roman"/>
        </w:rPr>
      </w:pPr>
      <w:r>
        <w:rPr>
          <w:rFonts w:hint="default" w:ascii="Times New Roman" w:hAnsi="Times New Roman" w:eastAsia="宋体" w:cs="Times New Roman"/>
          <w:i/>
          <w:sz w:val="22"/>
        </w:rPr>
        <w:t>机密性：内部/送审版本（按项目管理要求填写）</w:t>
      </w:r>
    </w:p>
    <w:p w14:paraId="709C4E2B">
      <w:pPr>
        <w:rPr>
          <w:rFonts w:hint="default" w:ascii="Times New Roman" w:hAnsi="Times New Roman" w:eastAsia="宋体" w:cs="Times New Roman"/>
        </w:rPr>
      </w:pPr>
      <w:r>
        <w:rPr>
          <w:rFonts w:hint="default" w:ascii="Times New Roman" w:hAnsi="Times New Roman" w:eastAsia="宋体" w:cs="Times New Roman"/>
        </w:rPr>
        <w:br w:type="page"/>
      </w:r>
    </w:p>
    <w:p w14:paraId="1046144D">
      <w:pPr>
        <w:pStyle w:val="3"/>
        <w:rPr>
          <w:rFonts w:hint="default" w:ascii="Times New Roman" w:hAnsi="Times New Roman" w:eastAsia="宋体" w:cs="Times New Roman"/>
        </w:rPr>
      </w:pPr>
      <w:r>
        <w:rPr>
          <w:rFonts w:hint="default" w:ascii="Times New Roman" w:hAnsi="Times New Roman" w:eastAsia="宋体" w:cs="Times New Roman"/>
        </w:rPr>
        <w:t>文档信息</w:t>
      </w:r>
      <w:bookmarkStart w:id="0" w:name="_GoBack"/>
      <w:bookmarkEnd w:id="0"/>
    </w:p>
    <w:p w14:paraId="249218F1">
      <w:pPr>
        <w:spacing w:after="120" w:line="300" w:lineRule="auto"/>
        <w:rPr>
          <w:rFonts w:hint="default" w:ascii="Times New Roman" w:hAnsi="Times New Roman" w:eastAsia="宋体" w:cs="Times New Roman"/>
        </w:rPr>
      </w:pPr>
      <w:r>
        <w:rPr>
          <w:rFonts w:hint="default" w:ascii="Times New Roman" w:hAnsi="Times New Roman" w:eastAsia="宋体" w:cs="Times New Roman"/>
        </w:rPr>
        <w:t>本统计分析计划（Statistical Analysis Plan (SAP)）用于规定TDSC研究的统计学原则、估算目标（estimands）、分析人群、主要与次要终点的统计方法、中期分析与多重性控制、缺失数据与敏感性分析，以及主要输出表格/图形/列表（TLFs）的预设清单。SAP应在数据库锁定前定稿并形成版本留痕。</w:t>
      </w:r>
    </w:p>
    <w:p w14:paraId="73AE0B59">
      <w:pPr>
        <w:pStyle w:val="3"/>
        <w:rPr>
          <w:rFonts w:hint="default" w:ascii="Times New Roman" w:hAnsi="Times New Roman" w:eastAsia="宋体" w:cs="Times New Roman"/>
        </w:rPr>
      </w:pPr>
      <w:r>
        <w:rPr>
          <w:rFonts w:hint="default" w:ascii="Times New Roman" w:hAnsi="Times New Roman" w:eastAsia="宋体" w:cs="Times New Roman"/>
        </w:rPr>
        <w:t>目录</w:t>
      </w:r>
    </w:p>
    <w:p w14:paraId="6389E85F">
      <w:pPr>
        <w:spacing w:after="120" w:line="300" w:lineRule="auto"/>
        <w:rPr>
          <w:rFonts w:hint="default" w:ascii="Times New Roman" w:hAnsi="Times New Roman" w:eastAsia="宋体" w:cs="Times New Roman"/>
        </w:rPr>
      </w:pPr>
      <w:r>
        <w:rPr>
          <w:rFonts w:hint="default" w:ascii="Times New Roman" w:hAnsi="Times New Roman" w:eastAsia="宋体" w:cs="Times New Roman"/>
        </w:rPr>
        <w:t>提示：如需自动目录，请在Word中“引用-目录”更新字段。</w:t>
      </w:r>
    </w:p>
    <w:p w14:paraId="766B2FA1">
      <w:pPr>
        <w:spacing w:after="120" w:line="300" w:lineRule="auto"/>
        <w:rPr>
          <w:rFonts w:hint="default" w:ascii="Times New Roman" w:hAnsi="Times New Roman" w:eastAsia="宋体" w:cs="Times New Roman"/>
        </w:rPr>
      </w:pPr>
      <w:r>
        <w:rPr>
          <w:rFonts w:hint="default" w:ascii="Times New Roman" w:hAnsi="Times New Roman" w:eastAsia="宋体" w:cs="Times New Roman"/>
        </w:rPr>
        <w:t>1 研究概览</w:t>
      </w:r>
      <w:r>
        <w:rPr>
          <w:rFonts w:hint="default" w:ascii="Times New Roman" w:hAnsi="Times New Roman" w:eastAsia="宋体" w:cs="Times New Roman"/>
        </w:rPr>
        <w:br w:type="textWrapping"/>
      </w:r>
      <w:r>
        <w:rPr>
          <w:rFonts w:hint="default" w:ascii="Times New Roman" w:hAnsi="Times New Roman" w:eastAsia="宋体" w:cs="Times New Roman"/>
        </w:rPr>
        <w:t>2 统计学原则</w:t>
      </w:r>
      <w:r>
        <w:rPr>
          <w:rFonts w:hint="default" w:ascii="Times New Roman" w:hAnsi="Times New Roman" w:eastAsia="宋体" w:cs="Times New Roman"/>
        </w:rPr>
        <w:br w:type="textWrapping"/>
      </w:r>
      <w:r>
        <w:rPr>
          <w:rFonts w:hint="default" w:ascii="Times New Roman" w:hAnsi="Times New Roman" w:eastAsia="宋体" w:cs="Times New Roman"/>
        </w:rPr>
        <w:t>3 估算目标（Estimands）与间发事件</w:t>
      </w:r>
      <w:r>
        <w:rPr>
          <w:rFonts w:hint="default" w:ascii="Times New Roman" w:hAnsi="Times New Roman" w:eastAsia="宋体" w:cs="Times New Roman"/>
        </w:rPr>
        <w:br w:type="textWrapping"/>
      </w:r>
      <w:r>
        <w:rPr>
          <w:rFonts w:hint="default" w:ascii="Times New Roman" w:hAnsi="Times New Roman" w:eastAsia="宋体" w:cs="Times New Roman"/>
        </w:rPr>
        <w:t>4 分析人群</w:t>
      </w:r>
      <w:r>
        <w:rPr>
          <w:rFonts w:hint="default" w:ascii="Times New Roman" w:hAnsi="Times New Roman" w:eastAsia="宋体" w:cs="Times New Roman"/>
        </w:rPr>
        <w:br w:type="textWrapping"/>
      </w:r>
      <w:r>
        <w:rPr>
          <w:rFonts w:hint="default" w:ascii="Times New Roman" w:hAnsi="Times New Roman" w:eastAsia="宋体" w:cs="Times New Roman"/>
        </w:rPr>
        <w:t>5 终点与变量定义</w:t>
      </w:r>
      <w:r>
        <w:rPr>
          <w:rFonts w:hint="default" w:ascii="Times New Roman" w:hAnsi="Times New Roman" w:eastAsia="宋体" w:cs="Times New Roman"/>
        </w:rPr>
        <w:br w:type="textWrapping"/>
      </w:r>
      <w:r>
        <w:rPr>
          <w:rFonts w:hint="default" w:ascii="Times New Roman" w:hAnsi="Times New Roman" w:eastAsia="宋体" w:cs="Times New Roman"/>
        </w:rPr>
        <w:t>6 样本量</w:t>
      </w:r>
      <w:r>
        <w:rPr>
          <w:rFonts w:hint="default" w:ascii="Times New Roman" w:hAnsi="Times New Roman" w:eastAsia="宋体" w:cs="Times New Roman"/>
        </w:rPr>
        <w:br w:type="textWrapping"/>
      </w:r>
      <w:r>
        <w:rPr>
          <w:rFonts w:hint="default" w:ascii="Times New Roman" w:hAnsi="Times New Roman" w:eastAsia="宋体" w:cs="Times New Roman"/>
        </w:rPr>
        <w:t>7 主要疗效分析</w:t>
      </w:r>
      <w:r>
        <w:rPr>
          <w:rFonts w:hint="default" w:ascii="Times New Roman" w:hAnsi="Times New Roman" w:eastAsia="宋体" w:cs="Times New Roman"/>
        </w:rPr>
        <w:br w:type="textWrapping"/>
      </w:r>
      <w:r>
        <w:rPr>
          <w:rFonts w:hint="default" w:ascii="Times New Roman" w:hAnsi="Times New Roman" w:eastAsia="宋体" w:cs="Times New Roman"/>
        </w:rPr>
        <w:t>8 次要疗效与探索性分析</w:t>
      </w:r>
      <w:r>
        <w:rPr>
          <w:rFonts w:hint="default" w:ascii="Times New Roman" w:hAnsi="Times New Roman" w:eastAsia="宋体" w:cs="Times New Roman"/>
        </w:rPr>
        <w:br w:type="textWrapping"/>
      </w:r>
      <w:r>
        <w:rPr>
          <w:rFonts w:hint="default" w:ascii="Times New Roman" w:hAnsi="Times New Roman" w:eastAsia="宋体" w:cs="Times New Roman"/>
        </w:rPr>
        <w:t>9 安全性分析</w:t>
      </w:r>
      <w:r>
        <w:rPr>
          <w:rFonts w:hint="default" w:ascii="Times New Roman" w:hAnsi="Times New Roman" w:eastAsia="宋体" w:cs="Times New Roman"/>
        </w:rPr>
        <w:br w:type="textWrapping"/>
      </w:r>
      <w:r>
        <w:rPr>
          <w:rFonts w:hint="default" w:ascii="Times New Roman" w:hAnsi="Times New Roman" w:eastAsia="宋体" w:cs="Times New Roman"/>
        </w:rPr>
        <w:t>10 多重性控制与中期分析</w:t>
      </w:r>
      <w:r>
        <w:rPr>
          <w:rFonts w:hint="default" w:ascii="Times New Roman" w:hAnsi="Times New Roman" w:eastAsia="宋体" w:cs="Times New Roman"/>
        </w:rPr>
        <w:br w:type="textWrapping"/>
      </w:r>
      <w:r>
        <w:rPr>
          <w:rFonts w:hint="default" w:ascii="Times New Roman" w:hAnsi="Times New Roman" w:eastAsia="宋体" w:cs="Times New Roman"/>
        </w:rPr>
        <w:t>11 缺失数据、失访与敏感性分析</w:t>
      </w:r>
      <w:r>
        <w:rPr>
          <w:rFonts w:hint="default" w:ascii="Times New Roman" w:hAnsi="Times New Roman" w:eastAsia="宋体" w:cs="Times New Roman"/>
        </w:rPr>
        <w:br w:type="textWrapping"/>
      </w:r>
      <w:r>
        <w:rPr>
          <w:rFonts w:hint="default" w:ascii="Times New Roman" w:hAnsi="Times New Roman" w:eastAsia="宋体" w:cs="Times New Roman"/>
        </w:rPr>
        <w:t>12 方案偏差与数据处理规则</w:t>
      </w:r>
      <w:r>
        <w:rPr>
          <w:rFonts w:hint="default" w:ascii="Times New Roman" w:hAnsi="Times New Roman" w:eastAsia="宋体" w:cs="Times New Roman"/>
        </w:rPr>
        <w:br w:type="textWrapping"/>
      </w:r>
      <w:r>
        <w:rPr>
          <w:rFonts w:hint="default" w:ascii="Times New Roman" w:hAnsi="Times New Roman" w:eastAsia="宋体" w:cs="Times New Roman"/>
        </w:rPr>
        <w:t>13 统计软件与质量控制</w:t>
      </w:r>
      <w:r>
        <w:rPr>
          <w:rFonts w:hint="default" w:ascii="Times New Roman" w:hAnsi="Times New Roman" w:eastAsia="宋体" w:cs="Times New Roman"/>
        </w:rPr>
        <w:br w:type="textWrapping"/>
      </w:r>
      <w:r>
        <w:rPr>
          <w:rFonts w:hint="default" w:ascii="Times New Roman" w:hAnsi="Times New Roman" w:eastAsia="宋体" w:cs="Times New Roman"/>
        </w:rPr>
        <w:t>14 预设TLFs清单</w:t>
      </w:r>
      <w:r>
        <w:rPr>
          <w:rFonts w:hint="default" w:ascii="Times New Roman" w:hAnsi="Times New Roman" w:eastAsia="宋体" w:cs="Times New Roman"/>
        </w:rPr>
        <w:br w:type="textWrapping"/>
      </w:r>
      <w:r>
        <w:rPr>
          <w:rFonts w:hint="default" w:ascii="Times New Roman" w:hAnsi="Times New Roman" w:eastAsia="宋体" w:cs="Times New Roman"/>
        </w:rPr>
        <w:t>15 参考文献与附录</w:t>
      </w:r>
    </w:p>
    <w:p w14:paraId="26DCDF1E">
      <w:pPr>
        <w:rPr>
          <w:rFonts w:hint="default" w:ascii="Times New Roman" w:hAnsi="Times New Roman" w:eastAsia="宋体" w:cs="Times New Roman"/>
        </w:rPr>
      </w:pPr>
      <w:r>
        <w:rPr>
          <w:rFonts w:hint="default" w:ascii="Times New Roman" w:hAnsi="Times New Roman" w:eastAsia="宋体" w:cs="Times New Roman"/>
        </w:rPr>
        <w:br w:type="page"/>
      </w:r>
    </w:p>
    <w:p w14:paraId="0D195217">
      <w:pPr>
        <w:pStyle w:val="3"/>
        <w:rPr>
          <w:rFonts w:hint="default" w:ascii="Times New Roman" w:hAnsi="Times New Roman" w:eastAsia="宋体" w:cs="Times New Roman"/>
        </w:rPr>
      </w:pPr>
      <w:r>
        <w:rPr>
          <w:rFonts w:hint="default" w:ascii="Times New Roman" w:hAnsi="Times New Roman" w:eastAsia="宋体" w:cs="Times New Roman"/>
        </w:rPr>
        <w:t>1 研究概览</w:t>
      </w:r>
    </w:p>
    <w:p w14:paraId="3CED6C70">
      <w:pPr>
        <w:spacing w:after="120" w:line="300" w:lineRule="auto"/>
        <w:rPr>
          <w:rFonts w:hint="default" w:ascii="Times New Roman" w:hAnsi="Times New Roman" w:eastAsia="宋体" w:cs="Times New Roman"/>
        </w:rPr>
      </w:pPr>
      <w:r>
        <w:rPr>
          <w:rFonts w:hint="default" w:ascii="Times New Roman" w:hAnsi="Times New Roman" w:eastAsia="宋体" w:cs="Times New Roman"/>
        </w:rPr>
        <w:t>TDSC为多中心、开放标签、先分层后随机的随机对照研究，包含两个相对独立的随机比较队列：队列A（基线低风险TB-DM）与队列B（基线中高风险TB-DM，M6门槛达标后随机）。研究以“停药后12个月良好结局率（relapse-free cure at PT-M12）”作为主要疗效终点，并以随机后52周内SAE、DAIDS分级≥3级不良事件及预设AESI作为主要安全性终点。</w:t>
      </w:r>
    </w:p>
    <w:p w14:paraId="1EF1AA60">
      <w:pPr>
        <w:spacing w:after="120" w:line="300" w:lineRule="auto"/>
        <w:rPr>
          <w:rFonts w:hint="default" w:ascii="Times New Roman" w:hAnsi="Times New Roman" w:eastAsia="宋体" w:cs="Times New Roman"/>
        </w:rPr>
      </w:pPr>
      <w:r>
        <w:rPr>
          <w:rFonts w:hint="default" w:ascii="Times New Roman" w:hAnsi="Times New Roman" w:eastAsia="宋体" w:cs="Times New Roman"/>
        </w:rPr>
        <w:t>本SAP覆盖：队列A三臂非劣效比较（A1 vs A3，A2 vs A3）与队列B两臂非劣效比较（停药策略 vs 继续治疗策略）。除非明确说明，队列A与队列B共用终点定义、事件裁决规则与数据处理原则。</w:t>
      </w:r>
    </w:p>
    <w:p w14:paraId="32FB53D0">
      <w:pPr>
        <w:pStyle w:val="4"/>
        <w:rPr>
          <w:rFonts w:hint="default" w:ascii="Times New Roman" w:hAnsi="Times New Roman" w:eastAsia="宋体" w:cs="Times New Roman"/>
        </w:rPr>
      </w:pPr>
      <w:r>
        <w:rPr>
          <w:rFonts w:hint="default" w:ascii="Times New Roman" w:hAnsi="Times New Roman" w:eastAsia="宋体" w:cs="Times New Roman"/>
        </w:rPr>
        <w:t>1.1 研究设计与分组</w:t>
      </w:r>
    </w:p>
    <w:p w14:paraId="164E8933">
      <w:pPr>
        <w:spacing w:after="120" w:line="300" w:lineRule="auto"/>
        <w:rPr>
          <w:rFonts w:hint="default" w:ascii="Times New Roman" w:hAnsi="Times New Roman" w:eastAsia="宋体" w:cs="Times New Roman"/>
        </w:rPr>
      </w:pPr>
      <w:r>
        <w:rPr>
          <w:rFonts w:hint="default" w:ascii="Times New Roman" w:hAnsi="Times New Roman" w:eastAsia="宋体" w:cs="Times New Roman"/>
        </w:rPr>
        <w:t>队列A：入组时使用预设的风险分层工具完成“低风险”判定后，按1:1:1随机至三组：A1（4个月含利福喷丁方案：2HP[1200mg]MZ/2HPM）、A2（4个月含利福喷丁方案：2HP[900mg]MZ/2HPM）、A3（对照：2HRZE/4HR；强化期含E）。</w:t>
      </w:r>
    </w:p>
    <w:p w14:paraId="5B8C6FEB">
      <w:pPr>
        <w:spacing w:after="120" w:line="300" w:lineRule="auto"/>
        <w:rPr>
          <w:rFonts w:hint="default" w:ascii="Times New Roman" w:hAnsi="Times New Roman" w:eastAsia="宋体" w:cs="Times New Roman"/>
        </w:rPr>
      </w:pPr>
      <w:r>
        <w:rPr>
          <w:rFonts w:hint="default" w:ascii="Times New Roman" w:hAnsi="Times New Roman" w:eastAsia="宋体" w:cs="Times New Roman"/>
        </w:rPr>
        <w:t>队列B：入组时判定为“中/高风险”的受试者先统一治疗至M6；在M6进行微生物学安全门槛（Microbiological Hard Gate）评估，达标者按1:1随机至两策略：停药（总疗程6个月）或继续治疗至总疗程9个月（通常继续H+R）。未达标者不随机并按方案延续治疗路径，仍纳入队列B的描述性分析与安全性汇总（见第8.6节与第9章）。</w:t>
      </w:r>
    </w:p>
    <w:p w14:paraId="5EEC0912">
      <w:pPr>
        <w:pStyle w:val="4"/>
        <w:rPr>
          <w:rFonts w:hint="default" w:ascii="Times New Roman" w:hAnsi="Times New Roman" w:eastAsia="宋体" w:cs="Times New Roman"/>
        </w:rPr>
      </w:pPr>
      <w:r>
        <w:rPr>
          <w:rFonts w:hint="default" w:ascii="Times New Roman" w:hAnsi="Times New Roman" w:eastAsia="宋体" w:cs="Times New Roman"/>
        </w:rPr>
        <w:t>1.2 随访框架与关键时间点</w:t>
      </w:r>
    </w:p>
    <w:p w14:paraId="66065916">
      <w:pPr>
        <w:spacing w:after="120" w:line="300" w:lineRule="auto"/>
        <w:rPr>
          <w:rFonts w:hint="default" w:ascii="Times New Roman" w:hAnsi="Times New Roman" w:eastAsia="宋体" w:cs="Times New Roman"/>
        </w:rPr>
      </w:pPr>
      <w:r>
        <w:rPr>
          <w:rFonts w:hint="default" w:ascii="Times New Roman" w:hAnsi="Times New Roman" w:eastAsia="宋体" w:cs="Times New Roman"/>
        </w:rPr>
        <w:t>所有受试者在各自治疗结束（EOT）后继续随访24个月（PT-M24）。关键时间点包括：基线/随机（W0）、W2、W8、W16、M6（队列B门槛评估与随机化窗口；亦为6个月疗程EOT窗口）、M9（9个月疗程EOT窗口）、PT-M12与PT-M24。访视窗口原则：W2±3天；W8/W16±7天；M6/M9±14天；PT-M12/PT-M24±30天；疑似结局事件可触发非计划评估。</w:t>
      </w:r>
    </w:p>
    <w:p w14:paraId="30108479">
      <w:pPr>
        <w:pStyle w:val="3"/>
        <w:rPr>
          <w:rFonts w:hint="default" w:ascii="Times New Roman" w:hAnsi="Times New Roman" w:eastAsia="宋体" w:cs="Times New Roman"/>
        </w:rPr>
      </w:pPr>
      <w:r>
        <w:rPr>
          <w:rFonts w:hint="default" w:ascii="Times New Roman" w:hAnsi="Times New Roman" w:eastAsia="宋体" w:cs="Times New Roman"/>
        </w:rPr>
        <w:t>2 统计学原则</w:t>
      </w:r>
    </w:p>
    <w:p w14:paraId="0C869EEF">
      <w:pPr>
        <w:pStyle w:val="4"/>
        <w:rPr>
          <w:rFonts w:hint="default" w:ascii="Times New Roman" w:hAnsi="Times New Roman" w:eastAsia="宋体" w:cs="Times New Roman"/>
        </w:rPr>
      </w:pPr>
      <w:r>
        <w:rPr>
          <w:rFonts w:hint="default" w:ascii="Times New Roman" w:hAnsi="Times New Roman" w:eastAsia="宋体" w:cs="Times New Roman"/>
        </w:rPr>
        <w:t>2.1 总体原则</w:t>
      </w:r>
    </w:p>
    <w:p w14:paraId="2ED6A3CF">
      <w:pPr>
        <w:spacing w:after="120" w:line="300" w:lineRule="auto"/>
        <w:rPr>
          <w:rFonts w:hint="default" w:ascii="Times New Roman" w:hAnsi="Times New Roman" w:eastAsia="宋体" w:cs="Times New Roman"/>
        </w:rPr>
      </w:pPr>
      <w:r>
        <w:rPr>
          <w:rFonts w:hint="default" w:ascii="Times New Roman" w:hAnsi="Times New Roman" w:eastAsia="宋体" w:cs="Times New Roman"/>
        </w:rPr>
        <w:t>统计分析遵循预设、可重复与可审计原则。主要疗效比较采用非劣效框架，并以风险差（risk difference，RD）为主要效应量；主要安全性以发生比例与暴露调整发生率为主。所有统计检验均明确单侧/双侧显著性水平与相应置信区间（CI），并在队列A中实施多重性控制。</w:t>
      </w:r>
    </w:p>
    <w:p w14:paraId="71422661">
      <w:pPr>
        <w:pStyle w:val="4"/>
        <w:rPr>
          <w:rFonts w:hint="default" w:ascii="Times New Roman" w:hAnsi="Times New Roman" w:eastAsia="宋体" w:cs="Times New Roman"/>
        </w:rPr>
      </w:pPr>
      <w:r>
        <w:rPr>
          <w:rFonts w:hint="default" w:ascii="Times New Roman" w:hAnsi="Times New Roman" w:eastAsia="宋体" w:cs="Times New Roman"/>
        </w:rPr>
        <w:t>2.2 显著性水平、置信区间与报告规则</w:t>
      </w:r>
    </w:p>
    <w:p w14:paraId="257CC872">
      <w:pPr>
        <w:spacing w:after="120" w:line="300" w:lineRule="auto"/>
        <w:rPr>
          <w:rFonts w:hint="default" w:ascii="Times New Roman" w:hAnsi="Times New Roman" w:eastAsia="宋体" w:cs="Times New Roman"/>
        </w:rPr>
      </w:pPr>
      <w:r>
        <w:rPr>
          <w:rFonts w:hint="default" w:ascii="Times New Roman" w:hAnsi="Times New Roman" w:eastAsia="宋体" w:cs="Times New Roman"/>
        </w:rPr>
        <w:t>队列A：两项主要比较（A1 vs A3，A2 vs A3）采用Bonferroni分配控制家族第一类错误率。每项比较使用单侧α=0.0125，对应双侧97.5% CI。</w:t>
      </w:r>
    </w:p>
    <w:p w14:paraId="0EAF84C6">
      <w:pPr>
        <w:spacing w:after="120" w:line="300" w:lineRule="auto"/>
        <w:rPr>
          <w:rFonts w:hint="default" w:ascii="Times New Roman" w:hAnsi="Times New Roman" w:eastAsia="宋体" w:cs="Times New Roman"/>
        </w:rPr>
      </w:pPr>
      <w:r>
        <w:rPr>
          <w:rFonts w:hint="default" w:ascii="Times New Roman" w:hAnsi="Times New Roman" w:eastAsia="宋体" w:cs="Times New Roman"/>
        </w:rPr>
        <w:t>队列B：单项主要比较使用单侧α=0.025，对应双侧95% CI。</w:t>
      </w:r>
    </w:p>
    <w:p w14:paraId="2283D059">
      <w:pPr>
        <w:spacing w:after="120" w:line="300" w:lineRule="auto"/>
        <w:rPr>
          <w:rFonts w:hint="default" w:ascii="Times New Roman" w:hAnsi="Times New Roman" w:eastAsia="宋体" w:cs="Times New Roman"/>
        </w:rPr>
      </w:pPr>
      <w:r>
        <w:rPr>
          <w:rFonts w:hint="default" w:ascii="Times New Roman" w:hAnsi="Times New Roman" w:eastAsia="宋体" w:cs="Times New Roman"/>
        </w:rPr>
        <w:t>除主要非劣效检验外，次要终点一般以双侧95% CI及双侧P值描述性报告；除非SAP中另行规定层级检验顺序，不对次要终点进行强控制推断。</w:t>
      </w:r>
    </w:p>
    <w:p w14:paraId="4B4B16DB">
      <w:pPr>
        <w:pStyle w:val="4"/>
        <w:rPr>
          <w:rFonts w:hint="default" w:ascii="Times New Roman" w:hAnsi="Times New Roman" w:eastAsia="宋体" w:cs="Times New Roman"/>
        </w:rPr>
      </w:pPr>
      <w:r>
        <w:rPr>
          <w:rFonts w:hint="default" w:ascii="Times New Roman" w:hAnsi="Times New Roman" w:eastAsia="宋体" w:cs="Times New Roman"/>
        </w:rPr>
        <w:t>2.3 多重性控制（队列A）</w:t>
      </w:r>
    </w:p>
    <w:p w14:paraId="0860A3EC">
      <w:pPr>
        <w:spacing w:after="120" w:line="300" w:lineRule="auto"/>
        <w:rPr>
          <w:rFonts w:hint="default" w:ascii="Times New Roman" w:hAnsi="Times New Roman" w:eastAsia="宋体" w:cs="Times New Roman"/>
        </w:rPr>
      </w:pPr>
      <w:r>
        <w:rPr>
          <w:rFonts w:hint="default" w:ascii="Times New Roman" w:hAnsi="Times New Roman" w:eastAsia="宋体" w:cs="Times New Roman"/>
        </w:rPr>
        <w:t>主要推断家族仅包含两项主要非劣效比较。默认采用Bonferroni分配。若在数据库锁定前经项目治理批准采用门控（gatekeeping）或优先级策略，必须以SAP修订版本锁定，并在CSR中披露。</w:t>
      </w:r>
    </w:p>
    <w:p w14:paraId="5418E2F0">
      <w:pPr>
        <w:pStyle w:val="4"/>
        <w:rPr>
          <w:rFonts w:hint="default" w:ascii="Times New Roman" w:hAnsi="Times New Roman" w:eastAsia="宋体" w:cs="Times New Roman"/>
        </w:rPr>
      </w:pPr>
      <w:r>
        <w:rPr>
          <w:rFonts w:hint="default" w:ascii="Times New Roman" w:hAnsi="Times New Roman" w:eastAsia="宋体" w:cs="Times New Roman"/>
        </w:rPr>
        <w:t>2.4 中期分析与α消耗</w:t>
      </w:r>
    </w:p>
    <w:p w14:paraId="5890F19D">
      <w:pPr>
        <w:spacing w:after="120" w:line="300" w:lineRule="auto"/>
        <w:rPr>
          <w:rFonts w:hint="default" w:ascii="Times New Roman" w:hAnsi="Times New Roman" w:eastAsia="宋体" w:cs="Times New Roman"/>
        </w:rPr>
      </w:pPr>
      <w:r>
        <w:rPr>
          <w:rFonts w:hint="default" w:ascii="Times New Roman" w:hAnsi="Times New Roman" w:eastAsia="宋体" w:cs="Times New Roman"/>
        </w:rPr>
        <w:t>本研究设置1次正式中期疗效分析：当约50%的随机化受试者完成主要终点评估后实施。采用O'Brien-Fleming型α消耗函数进行组序贯监测。</w:t>
      </w:r>
    </w:p>
    <w:p w14:paraId="36D5FF20">
      <w:pPr>
        <w:spacing w:after="120" w:line="300" w:lineRule="auto"/>
        <w:rPr>
          <w:rFonts w:hint="default" w:ascii="Times New Roman" w:hAnsi="Times New Roman" w:eastAsia="宋体" w:cs="Times New Roman"/>
        </w:rPr>
      </w:pPr>
      <w:r>
        <w:rPr>
          <w:rFonts w:hint="default" w:ascii="Times New Roman" w:hAnsi="Times New Roman" w:eastAsia="宋体" w:cs="Times New Roman"/>
        </w:rPr>
        <w:t>队列A：每项主要比较在其对应的单侧α=0.0125内独立进行α消耗；队列B：在单侧α=0.025内进行α消耗。中期分析由独立统计人员执行并仅向DSMB报告，研究团队与研究中心保持盲态。</w:t>
      </w:r>
    </w:p>
    <w:p w14:paraId="42A57966">
      <w:pPr>
        <w:pStyle w:val="3"/>
        <w:rPr>
          <w:rFonts w:hint="default" w:ascii="Times New Roman" w:hAnsi="Times New Roman" w:eastAsia="宋体" w:cs="Times New Roman"/>
        </w:rPr>
      </w:pPr>
      <w:r>
        <w:rPr>
          <w:rFonts w:hint="default" w:ascii="Times New Roman" w:hAnsi="Times New Roman" w:eastAsia="宋体" w:cs="Times New Roman"/>
        </w:rPr>
        <w:t>3 估算目标（Estimands）与间发事件处理</w:t>
      </w:r>
    </w:p>
    <w:p w14:paraId="373F1CA5">
      <w:pPr>
        <w:pStyle w:val="4"/>
        <w:rPr>
          <w:rFonts w:hint="default" w:ascii="Times New Roman" w:hAnsi="Times New Roman" w:eastAsia="宋体" w:cs="Times New Roman"/>
        </w:rPr>
      </w:pPr>
      <w:r>
        <w:rPr>
          <w:rFonts w:hint="default" w:ascii="Times New Roman" w:hAnsi="Times New Roman" w:eastAsia="宋体" w:cs="Times New Roman"/>
        </w:rPr>
        <w:t>3.1 估算目标框架</w:t>
      </w:r>
    </w:p>
    <w:p w14:paraId="48BD8C04">
      <w:pPr>
        <w:spacing w:after="120" w:line="300" w:lineRule="auto"/>
        <w:rPr>
          <w:rFonts w:hint="default" w:ascii="Times New Roman" w:hAnsi="Times New Roman" w:eastAsia="宋体" w:cs="Times New Roman"/>
        </w:rPr>
      </w:pPr>
      <w:r>
        <w:rPr>
          <w:rFonts w:hint="default" w:ascii="Times New Roman" w:hAnsi="Times New Roman" w:eastAsia="宋体" w:cs="Times New Roman"/>
        </w:rPr>
        <w:t>SAP采用ICH E9(R1)估算目标框架，对主要与关键次要疗效终点明确：目标人群、比较的治疗策略、终点、间发事件处理策略与汇总指标。总体上，TDSC主要疗效终点采用“复合估算目标（composite estimand）”取向，以支持非劣效研究的保守解释；同时预设TB特异性敏感性分析，以区分药物内在疗效与社会/共病因素影响。</w:t>
      </w:r>
    </w:p>
    <w:p w14:paraId="0E1E886D">
      <w:pPr>
        <w:pStyle w:val="4"/>
        <w:rPr>
          <w:rFonts w:hint="default" w:ascii="Times New Roman" w:hAnsi="Times New Roman" w:eastAsia="宋体" w:cs="Times New Roman"/>
        </w:rPr>
      </w:pPr>
      <w:r>
        <w:rPr>
          <w:rFonts w:hint="default" w:ascii="Times New Roman" w:hAnsi="Times New Roman" w:eastAsia="宋体" w:cs="Times New Roman"/>
        </w:rPr>
        <w:t>3.2 主要估算目标定义</w:t>
      </w:r>
    </w:p>
    <w:p w14:paraId="3422B9D6">
      <w:pPr>
        <w:spacing w:after="120" w:line="300" w:lineRule="auto"/>
        <w:rPr>
          <w:rFonts w:hint="default" w:ascii="Times New Roman" w:hAnsi="Times New Roman" w:eastAsia="宋体" w:cs="Times New Roman"/>
        </w:rPr>
      </w:pPr>
      <w:r>
        <w:rPr>
          <w:rFonts w:hint="default" w:ascii="Times New Roman" w:hAnsi="Times New Roman" w:eastAsia="宋体" w:cs="Times New Roman"/>
        </w:rPr>
        <w:t>队列A主要估算目标：在所有基线随机化（ITT）受试者中，比较A1或A2相对于A3在PT-M12的良好结局率差值（RD）。</w:t>
      </w:r>
    </w:p>
    <w:p w14:paraId="41815746">
      <w:pPr>
        <w:spacing w:after="120" w:line="300" w:lineRule="auto"/>
        <w:rPr>
          <w:rFonts w:hint="default" w:ascii="Times New Roman" w:hAnsi="Times New Roman" w:eastAsia="宋体" w:cs="Times New Roman"/>
        </w:rPr>
      </w:pPr>
      <w:r>
        <w:rPr>
          <w:rFonts w:hint="default" w:ascii="Times New Roman" w:hAnsi="Times New Roman" w:eastAsia="宋体" w:cs="Times New Roman"/>
        </w:rPr>
        <w:t>队列B主要估算目标：在M6门槛达标并随机化（ITT）受试者中，比较“6个月停药策略”相对于“9个月继续治疗策略”在PT-M12的良好结局率差值（RD）。</w:t>
      </w:r>
    </w:p>
    <w:p w14:paraId="59ADDA4C">
      <w:pPr>
        <w:pStyle w:val="4"/>
        <w:rPr>
          <w:rFonts w:hint="default" w:ascii="Times New Roman" w:hAnsi="Times New Roman" w:eastAsia="宋体" w:cs="Times New Roman"/>
        </w:rPr>
      </w:pPr>
      <w:r>
        <w:rPr>
          <w:rFonts w:hint="default" w:ascii="Times New Roman" w:hAnsi="Times New Roman" w:eastAsia="宋体" w:cs="Times New Roman"/>
        </w:rPr>
        <w:t>3.3 间发事件与策略</w:t>
      </w:r>
    </w:p>
    <w:p w14:paraId="1163EFC9">
      <w:pPr>
        <w:spacing w:after="120" w:line="300" w:lineRule="auto"/>
        <w:rPr>
          <w:rFonts w:hint="default" w:ascii="Times New Roman" w:hAnsi="Times New Roman" w:eastAsia="宋体" w:cs="Times New Roman"/>
        </w:rPr>
      </w:pPr>
      <w:r>
        <w:rPr>
          <w:rFonts w:hint="default" w:ascii="Times New Roman" w:hAnsi="Times New Roman" w:eastAsia="宋体" w:cs="Times New Roman"/>
        </w:rPr>
        <w:t>主要间发事件包括：永久更改抗结核治疗方案、启动救援治疗、提前停药、依从性不足、再感染、NTM鉴定、任何原因死亡、撤回同意/失访导致主要终点缺失等。</w:t>
      </w:r>
    </w:p>
    <w:p w14:paraId="3A563F27">
      <w:pPr>
        <w:spacing w:after="120" w:line="300" w:lineRule="auto"/>
        <w:rPr>
          <w:rFonts w:hint="default" w:ascii="Times New Roman" w:hAnsi="Times New Roman" w:eastAsia="宋体" w:cs="Times New Roman"/>
        </w:rPr>
      </w:pPr>
      <w:r>
        <w:rPr>
          <w:rFonts w:hint="default" w:ascii="Times New Roman" w:hAnsi="Times New Roman" w:eastAsia="宋体" w:cs="Times New Roman"/>
        </w:rPr>
        <w:t>主要分析采用如下策略：（1）“因疗效欠佳永久更改方案/救援治疗”按复合终点构成事件计为不良；（2）再感染：主分析按不良（保守）；（3）NTM/污染：不计入复发/失败事件，按CEC裁决结果处理；（4）任何原因死亡：按主要终点失败处理，并在结果中区分TB相关/非TB相关/无法判定；（5）撤回同意或失访导致主要终点不可判定：主分析按不良（Missing=Unfavorable）；（6）仅因毒性导致的剂量调整/药物替换：不直接构成不良结局，但其后续导致的疗效事件或缺失结局按上述规则归类。</w:t>
      </w:r>
    </w:p>
    <w:p w14:paraId="3648E909">
      <w:pPr>
        <w:pStyle w:val="4"/>
        <w:rPr>
          <w:rFonts w:hint="default" w:ascii="Times New Roman" w:hAnsi="Times New Roman" w:eastAsia="宋体" w:cs="Times New Roman"/>
        </w:rPr>
      </w:pPr>
      <w:r>
        <w:rPr>
          <w:rFonts w:hint="default" w:ascii="Times New Roman" w:hAnsi="Times New Roman" w:eastAsia="宋体" w:cs="Times New Roman"/>
        </w:rPr>
        <w:t>3.4 估算目标汇总表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9"/>
        <w:gridCol w:w="1949"/>
        <w:gridCol w:w="1949"/>
        <w:gridCol w:w="1949"/>
        <w:gridCol w:w="1949"/>
      </w:tblGrid>
      <w:tr w14:paraId="0E18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FD53F34">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比较</w:t>
            </w:r>
          </w:p>
        </w:tc>
        <w:tc>
          <w:tcPr>
            <w:tcW w:w="1814" w:type="dxa"/>
          </w:tcPr>
          <w:p w14:paraId="1027CE74">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目标人群</w:t>
            </w:r>
          </w:p>
        </w:tc>
        <w:tc>
          <w:tcPr>
            <w:tcW w:w="1814" w:type="dxa"/>
          </w:tcPr>
          <w:p w14:paraId="7EE1023B">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终点（PT-M12）</w:t>
            </w:r>
          </w:p>
        </w:tc>
        <w:tc>
          <w:tcPr>
            <w:tcW w:w="4082" w:type="dxa"/>
          </w:tcPr>
          <w:p w14:paraId="1461A4CB">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事件策略（摘要）</w:t>
            </w:r>
          </w:p>
        </w:tc>
        <w:tc>
          <w:tcPr>
            <w:tcW w:w="1417" w:type="dxa"/>
          </w:tcPr>
          <w:p w14:paraId="1BAD9816">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汇总指标</w:t>
            </w:r>
          </w:p>
        </w:tc>
      </w:tr>
      <w:tr w14:paraId="20D5B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68EAEC2F">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队列A：A1 vs A3</w:t>
            </w:r>
          </w:p>
        </w:tc>
        <w:tc>
          <w:tcPr>
            <w:tcW w:w="1949" w:type="dxa"/>
          </w:tcPr>
          <w:p w14:paraId="4DA047BF">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基线随机化ITT</w:t>
            </w:r>
          </w:p>
        </w:tc>
        <w:tc>
          <w:tcPr>
            <w:tcW w:w="1949" w:type="dxa"/>
          </w:tcPr>
          <w:p w14:paraId="586F4230">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良好结局（二分类）</w:t>
            </w:r>
          </w:p>
        </w:tc>
        <w:tc>
          <w:tcPr>
            <w:tcW w:w="1949" w:type="dxa"/>
          </w:tcPr>
          <w:p w14:paraId="4BD56571">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复合：失败/复发/死亡/疗效欠佳改方案=不良；再感染=不良；缺失=不良</w:t>
            </w:r>
          </w:p>
        </w:tc>
        <w:tc>
          <w:tcPr>
            <w:tcW w:w="1949" w:type="dxa"/>
          </w:tcPr>
          <w:p w14:paraId="1F1B5386">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RD及CI</w:t>
            </w:r>
          </w:p>
        </w:tc>
      </w:tr>
      <w:tr w14:paraId="6746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2945B1AE">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队列A：A2 vs A3</w:t>
            </w:r>
          </w:p>
        </w:tc>
        <w:tc>
          <w:tcPr>
            <w:tcW w:w="1949" w:type="dxa"/>
          </w:tcPr>
          <w:p w14:paraId="556FFB8E">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基线随机化ITT</w:t>
            </w:r>
          </w:p>
        </w:tc>
        <w:tc>
          <w:tcPr>
            <w:tcW w:w="1949" w:type="dxa"/>
          </w:tcPr>
          <w:p w14:paraId="2E09F198">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同上</w:t>
            </w:r>
          </w:p>
        </w:tc>
        <w:tc>
          <w:tcPr>
            <w:tcW w:w="1949" w:type="dxa"/>
          </w:tcPr>
          <w:p w14:paraId="14634C11">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同上</w:t>
            </w:r>
          </w:p>
        </w:tc>
        <w:tc>
          <w:tcPr>
            <w:tcW w:w="1949" w:type="dxa"/>
          </w:tcPr>
          <w:p w14:paraId="79CE80E5">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RD及CI</w:t>
            </w:r>
          </w:p>
        </w:tc>
      </w:tr>
      <w:tr w14:paraId="715D3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7AD9DD88">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队列B：停药 vs 继续</w:t>
            </w:r>
          </w:p>
        </w:tc>
        <w:tc>
          <w:tcPr>
            <w:tcW w:w="1949" w:type="dxa"/>
          </w:tcPr>
          <w:p w14:paraId="76EFEB2C">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M6达标后随机化ITT</w:t>
            </w:r>
          </w:p>
        </w:tc>
        <w:tc>
          <w:tcPr>
            <w:tcW w:w="1949" w:type="dxa"/>
          </w:tcPr>
          <w:p w14:paraId="18DC84BD">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同上（各组EOT不同）</w:t>
            </w:r>
          </w:p>
        </w:tc>
        <w:tc>
          <w:tcPr>
            <w:tcW w:w="1949" w:type="dxa"/>
          </w:tcPr>
          <w:p w14:paraId="2597350B">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同上；并描述门槛未达标人群运行指标</w:t>
            </w:r>
          </w:p>
        </w:tc>
        <w:tc>
          <w:tcPr>
            <w:tcW w:w="1949" w:type="dxa"/>
          </w:tcPr>
          <w:p w14:paraId="5BCB7E90">
            <w:pPr>
              <w:spacing w:after="0" w:line="264" w:lineRule="auto"/>
              <w:rPr>
                <w:rFonts w:hint="default" w:ascii="Times New Roman" w:hAnsi="Times New Roman" w:eastAsia="宋体" w:cs="Times New Roman"/>
              </w:rPr>
            </w:pPr>
            <w:r>
              <w:rPr>
                <w:rFonts w:hint="default" w:ascii="Times New Roman" w:hAnsi="Times New Roman" w:eastAsia="宋体" w:cs="Times New Roman"/>
                <w:sz w:val="19"/>
              </w:rPr>
              <w:t>RD及CI</w:t>
            </w:r>
          </w:p>
        </w:tc>
      </w:tr>
    </w:tbl>
    <w:p w14:paraId="62668626">
      <w:pPr>
        <w:pStyle w:val="3"/>
        <w:rPr>
          <w:rFonts w:hint="default" w:ascii="Times New Roman" w:hAnsi="Times New Roman" w:eastAsia="宋体" w:cs="Times New Roman"/>
        </w:rPr>
      </w:pPr>
      <w:r>
        <w:rPr>
          <w:rFonts w:hint="default" w:ascii="Times New Roman" w:hAnsi="Times New Roman" w:eastAsia="宋体" w:cs="Times New Roman"/>
        </w:rPr>
        <w:t>4 分析人群（Analysis Populations）</w:t>
      </w:r>
    </w:p>
    <w:p w14:paraId="0BED8591">
      <w:pPr>
        <w:pStyle w:val="4"/>
        <w:rPr>
          <w:rFonts w:hint="default" w:ascii="Times New Roman" w:hAnsi="Times New Roman" w:eastAsia="宋体" w:cs="Times New Roman"/>
        </w:rPr>
      </w:pPr>
      <w:r>
        <w:rPr>
          <w:rFonts w:hint="default" w:ascii="Times New Roman" w:hAnsi="Times New Roman" w:eastAsia="宋体" w:cs="Times New Roman"/>
        </w:rPr>
        <w:t>4.1 定义</w:t>
      </w:r>
    </w:p>
    <w:p w14:paraId="44F65FF9">
      <w:pPr>
        <w:spacing w:after="120" w:line="300" w:lineRule="auto"/>
        <w:rPr>
          <w:rFonts w:hint="default" w:ascii="Times New Roman" w:hAnsi="Times New Roman" w:eastAsia="宋体" w:cs="Times New Roman"/>
        </w:rPr>
      </w:pPr>
      <w:r>
        <w:rPr>
          <w:rFonts w:hint="default" w:ascii="Times New Roman" w:hAnsi="Times New Roman" w:eastAsia="宋体" w:cs="Times New Roman"/>
        </w:rPr>
        <w:t>本研究预设以下分析人群：</w:t>
      </w:r>
    </w:p>
    <w:p w14:paraId="644ED628">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意向性分析集（Intention-to-Treat，ITT）：包含所有随机化后的受试者，按随机分配组别分析。队列B的ITT特指M6门槛达标后成功随机化的受试者。</w:t>
      </w:r>
    </w:p>
    <w:p w14:paraId="136B574C">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修正意向性分析集（modified ITT，mITT）：在ITT基础上，排除后验证不符合关键入组条件者（例如经复核证实非结核病等）。mITT用于主要分析的支持性比较。</w:t>
      </w:r>
    </w:p>
    <w:p w14:paraId="01F13B8F">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符合方案集（Per-Protocol，PP）：在ITT基础上，满足关键方案依从性与暴露要求、无重大方案违背，且主要终点可评价的受试者。PP用于非劣效结论的关键支持性/敏感性分析。</w:t>
      </w:r>
    </w:p>
    <w:p w14:paraId="4EE94575">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安全性分析集（Safety Set，SS）：至少接受一次研究治疗的受试者，按实际用药暴露进行安全性汇总。</w:t>
      </w:r>
    </w:p>
    <w:p w14:paraId="234B2403">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入组集（Enrolled Set，队列B适用）：所有进入队列B并开始统一治疗的受试者，用于描述门槛达标率、未达标原因与治疗路径分布。</w:t>
      </w:r>
    </w:p>
    <w:p w14:paraId="285861F9">
      <w:pPr>
        <w:pStyle w:val="4"/>
        <w:rPr>
          <w:rFonts w:hint="default" w:ascii="Times New Roman" w:hAnsi="Times New Roman" w:eastAsia="宋体" w:cs="Times New Roman"/>
        </w:rPr>
      </w:pPr>
      <w:r>
        <w:rPr>
          <w:rFonts w:hint="default" w:ascii="Times New Roman" w:hAnsi="Times New Roman" w:eastAsia="宋体" w:cs="Times New Roman"/>
        </w:rPr>
        <w:t>4.2 PP集判定规则（建议阈值）</w:t>
      </w:r>
    </w:p>
    <w:p w14:paraId="149C0D85">
      <w:pPr>
        <w:spacing w:after="120" w:line="300" w:lineRule="auto"/>
        <w:rPr>
          <w:rFonts w:hint="default" w:ascii="Times New Roman" w:hAnsi="Times New Roman" w:eastAsia="宋体" w:cs="Times New Roman"/>
        </w:rPr>
      </w:pPr>
      <w:r>
        <w:rPr>
          <w:rFonts w:hint="default" w:ascii="Times New Roman" w:hAnsi="Times New Roman" w:eastAsia="宋体" w:cs="Times New Roman"/>
        </w:rPr>
        <w:t>PP集的最终判定规则须在数据库锁定前由统计团队与临床团队共同确认并冻结。建议阈值：（1）完成规定疗程；（2）总体服药依从性≥80%；（3）无重大方案偏差；（4）主要终点可评价（PT-M12窗口内关键证据齐全或可通过被动追溯判定）。</w:t>
      </w:r>
    </w:p>
    <w:p w14:paraId="7352EE61">
      <w:pPr>
        <w:pStyle w:val="3"/>
        <w:rPr>
          <w:rFonts w:hint="default" w:ascii="Times New Roman" w:hAnsi="Times New Roman" w:eastAsia="宋体" w:cs="Times New Roman"/>
        </w:rPr>
      </w:pPr>
      <w:r>
        <w:rPr>
          <w:rFonts w:hint="default" w:ascii="Times New Roman" w:hAnsi="Times New Roman" w:eastAsia="宋体" w:cs="Times New Roman"/>
        </w:rPr>
        <w:t>5 终点与变量定义</w:t>
      </w:r>
    </w:p>
    <w:p w14:paraId="06AD9697">
      <w:pPr>
        <w:pStyle w:val="4"/>
        <w:rPr>
          <w:rFonts w:hint="default" w:ascii="Times New Roman" w:hAnsi="Times New Roman" w:eastAsia="宋体" w:cs="Times New Roman"/>
        </w:rPr>
      </w:pPr>
      <w:r>
        <w:rPr>
          <w:rFonts w:hint="default" w:ascii="Times New Roman" w:hAnsi="Times New Roman" w:eastAsia="宋体" w:cs="Times New Roman"/>
        </w:rPr>
        <w:t>5.1 主要疗效终点</w:t>
      </w:r>
    </w:p>
    <w:p w14:paraId="5D20F71B">
      <w:pPr>
        <w:spacing w:after="120" w:line="300" w:lineRule="auto"/>
        <w:rPr>
          <w:rFonts w:hint="default" w:ascii="Times New Roman" w:hAnsi="Times New Roman" w:eastAsia="宋体" w:cs="Times New Roman"/>
        </w:rPr>
      </w:pPr>
      <w:r>
        <w:rPr>
          <w:rFonts w:hint="default" w:ascii="Times New Roman" w:hAnsi="Times New Roman" w:eastAsia="宋体" w:cs="Times New Roman"/>
        </w:rPr>
        <w:t>主要疗效终点：停药后12个月良好结局率（relapse-free cure at PT-M12）。定义为：受试者在完成规定疗程并停药（EOT）后，至停药后12个月（52周）评估窗口结束时，未发生复发或治疗失败，且未发生导致主要终点失败的死亡/方案更改等事件的比例。结局事件由独立CEC盲态裁决。</w:t>
      </w:r>
    </w:p>
    <w:p w14:paraId="67AA39AF">
      <w:pPr>
        <w:pStyle w:val="4"/>
        <w:rPr>
          <w:rFonts w:hint="default" w:ascii="Times New Roman" w:hAnsi="Times New Roman" w:eastAsia="宋体" w:cs="Times New Roman"/>
        </w:rPr>
      </w:pPr>
      <w:r>
        <w:rPr>
          <w:rFonts w:hint="default" w:ascii="Times New Roman" w:hAnsi="Times New Roman" w:eastAsia="宋体" w:cs="Times New Roman"/>
        </w:rPr>
        <w:t>5.2 主要终点失败的构成事件（用于衍生规则）</w:t>
      </w:r>
    </w:p>
    <w:p w14:paraId="019C28A3">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治疗失败（治疗期）。</w:t>
      </w:r>
    </w:p>
    <w:p w14:paraId="7E132C75">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停药后复发（随访期）。</w:t>
      </w:r>
    </w:p>
    <w:p w14:paraId="2214C854">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死亡：EOT至PT-M12窗口结束前发生的任何原因死亡均计为主要终点失败；并分层报告TB相关死亡、非TB相关死亡与无法判定死亡。</w:t>
      </w:r>
    </w:p>
    <w:p w14:paraId="0095CE23">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因疗效欠佳而永久更改抗结核治疗方案（包括耐药导致方案变更或启动救援治疗）。</w:t>
      </w:r>
    </w:p>
    <w:p w14:paraId="4FD0B8AB">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再感染：主分析按主要终点失败处理；在敏感性分析中可探讨剔除再感染（需WGS/分型证据）。</w:t>
      </w:r>
    </w:p>
    <w:p w14:paraId="4CD22938">
      <w:pPr>
        <w:spacing w:after="120" w:line="300" w:lineRule="auto"/>
        <w:rPr>
          <w:rFonts w:hint="default" w:ascii="Times New Roman" w:hAnsi="Times New Roman" w:eastAsia="宋体" w:cs="Times New Roman"/>
        </w:rPr>
      </w:pPr>
      <w:r>
        <w:rPr>
          <w:rFonts w:hint="default" w:ascii="Times New Roman" w:hAnsi="Times New Roman" w:eastAsia="宋体" w:cs="Times New Roman"/>
        </w:rPr>
        <w:t>注：NTM/污染/无效标本不计入复发/失败事件，按微生物学SOP补采并由CEC裁决其是否构成结局事件。</w:t>
      </w:r>
    </w:p>
    <w:p w14:paraId="12873615">
      <w:pPr>
        <w:pStyle w:val="4"/>
        <w:rPr>
          <w:rFonts w:hint="default" w:ascii="Times New Roman" w:hAnsi="Times New Roman" w:eastAsia="宋体" w:cs="Times New Roman"/>
        </w:rPr>
      </w:pPr>
      <w:r>
        <w:rPr>
          <w:rFonts w:hint="default" w:ascii="Times New Roman" w:hAnsi="Times New Roman" w:eastAsia="宋体" w:cs="Times New Roman"/>
        </w:rPr>
        <w:t>5.3 关键次要疗效终点</w:t>
      </w:r>
    </w:p>
    <w:p w14:paraId="25E547F2">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停药后24个月良好结局率（PT-M24）。</w:t>
      </w:r>
    </w:p>
    <w:p w14:paraId="1C9CC2CC">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培养学终点：W8、W16、M6等关键节点培养转阴比例；培养转阴时间。</w:t>
      </w:r>
    </w:p>
    <w:p w14:paraId="5BF72840">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治疗失败发生比例与发生时间；复发/再感染发生比例与发生时间。</w:t>
      </w:r>
    </w:p>
    <w:p w14:paraId="2316AA8E">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结核病相关死亡与全因死亡（治疗期与随访期分别统计）。</w:t>
      </w:r>
    </w:p>
    <w:p w14:paraId="5979A835">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影像学改善：胸片评分变化、空洞闭合/缩小比例等。</w:t>
      </w:r>
    </w:p>
    <w:p w14:paraId="22ACE8B3">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救援治疗/方案更改比例与原因构成。</w:t>
      </w:r>
    </w:p>
    <w:p w14:paraId="363E8FC5">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TB-DM支持性/探索性：HbA1c变化、严重低血糖事件等。</w:t>
      </w:r>
    </w:p>
    <w:p w14:paraId="38E6A0EB">
      <w:pPr>
        <w:pStyle w:val="4"/>
        <w:rPr>
          <w:rFonts w:hint="default" w:ascii="Times New Roman" w:hAnsi="Times New Roman" w:eastAsia="宋体" w:cs="Times New Roman"/>
        </w:rPr>
      </w:pPr>
      <w:r>
        <w:rPr>
          <w:rFonts w:hint="default" w:ascii="Times New Roman" w:hAnsi="Times New Roman" w:eastAsia="宋体" w:cs="Times New Roman"/>
        </w:rPr>
        <w:t>5.4 安全性终点</w:t>
      </w:r>
    </w:p>
    <w:p w14:paraId="0BD93310">
      <w:pPr>
        <w:spacing w:after="120" w:line="300" w:lineRule="auto"/>
        <w:rPr>
          <w:rFonts w:hint="default" w:ascii="Times New Roman" w:hAnsi="Times New Roman" w:eastAsia="宋体" w:cs="Times New Roman"/>
        </w:rPr>
      </w:pPr>
      <w:r>
        <w:rPr>
          <w:rFonts w:hint="default" w:ascii="Times New Roman" w:hAnsi="Times New Roman" w:eastAsia="宋体" w:cs="Times New Roman"/>
        </w:rPr>
        <w:t>主要安全性终点（随机后52周）：SAE发生比例、DAIDS分级≥3级不良事件发生比例、AESI发生比例及构成。“随机后”的时间起点为各队列随机化日期（队列A：基线随机化；队列B：M6门槛达标后随机化）。</w:t>
      </w:r>
    </w:p>
    <w:p w14:paraId="4FA213FE">
      <w:pPr>
        <w:spacing w:after="120" w:line="300" w:lineRule="auto"/>
        <w:rPr>
          <w:rFonts w:hint="default" w:ascii="Times New Roman" w:hAnsi="Times New Roman" w:eastAsia="宋体" w:cs="Times New Roman"/>
        </w:rPr>
      </w:pPr>
      <w:r>
        <w:rPr>
          <w:rFonts w:hint="default" w:ascii="Times New Roman" w:hAnsi="Times New Roman" w:eastAsia="宋体" w:cs="Times New Roman"/>
        </w:rPr>
        <w:t>次要安全性终点：随机后26周与78周内SAE、≥3级不良事件与AESI；重点毒性事件与实验室/心电分级变化。</w:t>
      </w:r>
    </w:p>
    <w:p w14:paraId="7F1D1E42">
      <w:pPr>
        <w:pStyle w:val="4"/>
        <w:rPr>
          <w:rFonts w:hint="default" w:ascii="Times New Roman" w:hAnsi="Times New Roman" w:eastAsia="宋体" w:cs="Times New Roman"/>
        </w:rPr>
      </w:pPr>
      <w:r>
        <w:rPr>
          <w:rFonts w:hint="default" w:ascii="Times New Roman" w:hAnsi="Times New Roman" w:eastAsia="宋体" w:cs="Times New Roman"/>
        </w:rPr>
        <w:t>5.5 访视窗口与事件日期规则</w:t>
      </w:r>
    </w:p>
    <w:p w14:paraId="1CC9FAF2">
      <w:pPr>
        <w:spacing w:after="120" w:line="300" w:lineRule="auto"/>
        <w:rPr>
          <w:rFonts w:hint="default" w:ascii="Times New Roman" w:hAnsi="Times New Roman" w:eastAsia="宋体" w:cs="Times New Roman"/>
        </w:rPr>
      </w:pPr>
      <w:r>
        <w:rPr>
          <w:rFonts w:hint="default" w:ascii="Times New Roman" w:hAnsi="Times New Roman" w:eastAsia="宋体" w:cs="Times New Roman"/>
        </w:rPr>
        <w:t>主要终点判定窗口：PT-M12（EOT后52周）±30天。窗口内发生任一构成事件判定为失败。事件日期优先采用微生物学确证日期，其次为再治疗启动日期或CEC判定日期（以CEC裁决表为准）。</w:t>
      </w:r>
    </w:p>
    <w:p w14:paraId="37D07E28">
      <w:pPr>
        <w:pStyle w:val="3"/>
        <w:rPr>
          <w:rFonts w:hint="default" w:ascii="Times New Roman" w:hAnsi="Times New Roman" w:eastAsia="宋体" w:cs="Times New Roman"/>
        </w:rPr>
      </w:pPr>
      <w:r>
        <w:rPr>
          <w:rFonts w:hint="default" w:ascii="Times New Roman" w:hAnsi="Times New Roman" w:eastAsia="宋体" w:cs="Times New Roman"/>
        </w:rPr>
        <w:t>6 样本量与把握度</w:t>
      </w:r>
    </w:p>
    <w:p w14:paraId="39EF351D">
      <w:pPr>
        <w:pStyle w:val="4"/>
        <w:rPr>
          <w:rFonts w:hint="default" w:ascii="Times New Roman" w:hAnsi="Times New Roman" w:eastAsia="宋体" w:cs="Times New Roman"/>
        </w:rPr>
      </w:pPr>
      <w:r>
        <w:rPr>
          <w:rFonts w:hint="default" w:ascii="Times New Roman" w:hAnsi="Times New Roman" w:eastAsia="宋体" w:cs="Times New Roman"/>
        </w:rPr>
        <w:t>6.1 总体样本量</w:t>
      </w:r>
    </w:p>
    <w:p w14:paraId="689E96C7">
      <w:pPr>
        <w:spacing w:after="120" w:line="300" w:lineRule="auto"/>
        <w:rPr>
          <w:rFonts w:hint="default" w:ascii="Times New Roman" w:hAnsi="Times New Roman" w:eastAsia="宋体" w:cs="Times New Roman"/>
        </w:rPr>
      </w:pPr>
      <w:r>
        <w:rPr>
          <w:rFonts w:hint="default" w:ascii="Times New Roman" w:hAnsi="Times New Roman" w:eastAsia="宋体" w:cs="Times New Roman"/>
        </w:rPr>
        <w:t>研究计划招募总样本量1350例：队列A 850例（1:1:1），队列B 500例（富集设计，M6达标后随机化预计约250-300例）。样本量以主要疗效终点的非劣效检验为依据，并预留15%脱落/终点缺失。</w:t>
      </w:r>
    </w:p>
    <w:p w14:paraId="5E3C15F6">
      <w:pPr>
        <w:pStyle w:val="4"/>
        <w:rPr>
          <w:rFonts w:hint="default" w:ascii="Times New Roman" w:hAnsi="Times New Roman" w:eastAsia="宋体" w:cs="Times New Roman"/>
        </w:rPr>
      </w:pPr>
      <w:r>
        <w:rPr>
          <w:rFonts w:hint="default" w:ascii="Times New Roman" w:hAnsi="Times New Roman" w:eastAsia="宋体" w:cs="Times New Roman"/>
        </w:rPr>
        <w:t>6.2 队列A样本量依据</w:t>
      </w:r>
    </w:p>
    <w:p w14:paraId="6BFEB4F3">
      <w:pPr>
        <w:spacing w:after="120" w:line="300" w:lineRule="auto"/>
        <w:rPr>
          <w:rFonts w:hint="default" w:ascii="Times New Roman" w:hAnsi="Times New Roman" w:eastAsia="宋体" w:cs="Times New Roman"/>
        </w:rPr>
      </w:pPr>
      <w:r>
        <w:rPr>
          <w:rFonts w:hint="default" w:ascii="Times New Roman" w:hAnsi="Times New Roman" w:eastAsia="宋体" w:cs="Times New Roman"/>
        </w:rPr>
        <w:t>假设对照组与试验组PT-M12良好结局率均为90%，非劣效界值δA=8%，功效80%。队列A两项主要比较按Bonferroni后每项比较单侧α=0.0125。每组需有效样本约240例；考虑15%脱落后每组约283例，总计约850例。</w:t>
      </w:r>
    </w:p>
    <w:p w14:paraId="1DA3EE85">
      <w:pPr>
        <w:pStyle w:val="4"/>
        <w:rPr>
          <w:rFonts w:hint="default" w:ascii="Times New Roman" w:hAnsi="Times New Roman" w:eastAsia="宋体" w:cs="Times New Roman"/>
        </w:rPr>
      </w:pPr>
      <w:r>
        <w:rPr>
          <w:rFonts w:hint="default" w:ascii="Times New Roman" w:hAnsi="Times New Roman" w:eastAsia="宋体" w:cs="Times New Roman"/>
        </w:rPr>
        <w:t>6.3 队列B样本量依据</w:t>
      </w:r>
    </w:p>
    <w:p w14:paraId="0E9BABB9">
      <w:pPr>
        <w:spacing w:after="120" w:line="300" w:lineRule="auto"/>
        <w:rPr>
          <w:rFonts w:hint="default" w:ascii="Times New Roman" w:hAnsi="Times New Roman" w:eastAsia="宋体" w:cs="Times New Roman"/>
        </w:rPr>
      </w:pPr>
      <w:r>
        <w:rPr>
          <w:rFonts w:hint="default" w:ascii="Times New Roman" w:hAnsi="Times New Roman" w:eastAsia="宋体" w:cs="Times New Roman"/>
        </w:rPr>
        <w:t>假设继续治疗至9个月策略与停药策略的PT-M12良好结局率均为85%，非劣效界值δB=10%，单侧α=0.025，功效80%。考虑门槛达标率约50%-60%，队列B计划初始入组500例以保证随机化阶段获得约250例可用于主要疗效分析的数据。</w:t>
      </w:r>
    </w:p>
    <w:p w14:paraId="3E8B92BE">
      <w:pPr>
        <w:pStyle w:val="3"/>
        <w:rPr>
          <w:rFonts w:hint="default" w:ascii="Times New Roman" w:hAnsi="Times New Roman" w:eastAsia="宋体" w:cs="Times New Roman"/>
        </w:rPr>
      </w:pPr>
      <w:r>
        <w:rPr>
          <w:rFonts w:hint="default" w:ascii="Times New Roman" w:hAnsi="Times New Roman" w:eastAsia="宋体" w:cs="Times New Roman"/>
        </w:rPr>
        <w:t>7 主要疗效分析</w:t>
      </w:r>
    </w:p>
    <w:p w14:paraId="5ED572EB">
      <w:pPr>
        <w:pStyle w:val="4"/>
        <w:rPr>
          <w:rFonts w:hint="default" w:ascii="Times New Roman" w:hAnsi="Times New Roman" w:eastAsia="宋体" w:cs="Times New Roman"/>
        </w:rPr>
      </w:pPr>
      <w:r>
        <w:rPr>
          <w:rFonts w:hint="default" w:ascii="Times New Roman" w:hAnsi="Times New Roman" w:eastAsia="宋体" w:cs="Times New Roman"/>
        </w:rPr>
        <w:t>7.1 总体策略</w:t>
      </w:r>
    </w:p>
    <w:p w14:paraId="2E788F30">
      <w:pPr>
        <w:spacing w:after="120" w:line="300" w:lineRule="auto"/>
        <w:rPr>
          <w:rFonts w:hint="default" w:ascii="Times New Roman" w:hAnsi="Times New Roman" w:eastAsia="宋体" w:cs="Times New Roman"/>
        </w:rPr>
      </w:pPr>
      <w:r>
        <w:rPr>
          <w:rFonts w:hint="default" w:ascii="Times New Roman" w:hAnsi="Times New Roman" w:eastAsia="宋体" w:cs="Times New Roman"/>
        </w:rPr>
        <w:t>主要疗效分析在ITT集上进行，采用风险差（RD=pE-pC）作为主要效应量，并调整随机化分层因素。主要终点缺失按不良处理（Missing=Unfavorable）。非劣效判定基于RD的CI下限与预设非劣效界值比较。</w:t>
      </w:r>
    </w:p>
    <w:p w14:paraId="08B9F2B6">
      <w:pPr>
        <w:pStyle w:val="4"/>
        <w:rPr>
          <w:rFonts w:hint="default" w:ascii="Times New Roman" w:hAnsi="Times New Roman" w:eastAsia="宋体" w:cs="Times New Roman"/>
        </w:rPr>
      </w:pPr>
      <w:r>
        <w:rPr>
          <w:rFonts w:hint="default" w:ascii="Times New Roman" w:hAnsi="Times New Roman" w:eastAsia="宋体" w:cs="Times New Roman"/>
        </w:rPr>
        <w:t>7.2 模型与协变量</w:t>
      </w:r>
    </w:p>
    <w:p w14:paraId="2B416590">
      <w:pPr>
        <w:spacing w:after="120" w:line="300" w:lineRule="auto"/>
        <w:rPr>
          <w:rFonts w:hint="default" w:ascii="Times New Roman" w:hAnsi="Times New Roman" w:eastAsia="宋体" w:cs="Times New Roman"/>
        </w:rPr>
      </w:pPr>
      <w:r>
        <w:rPr>
          <w:rFonts w:hint="default" w:ascii="Times New Roman" w:hAnsi="Times New Roman" w:eastAsia="宋体" w:cs="Times New Roman"/>
        </w:rPr>
        <w:t>首选模型为GLM（二项分布，恒等链接），纳入随机化分层因素：基线菌负荷分层、基线影像范围分层、基线HbA1c分层；中心效应在可行时纳入固定效应，否则采用中心聚类稳健方差。</w:t>
      </w:r>
    </w:p>
    <w:p w14:paraId="26BA9D17">
      <w:pPr>
        <w:spacing w:after="120" w:line="300" w:lineRule="auto"/>
        <w:rPr>
          <w:rFonts w:hint="default" w:ascii="Times New Roman" w:hAnsi="Times New Roman" w:eastAsia="宋体" w:cs="Times New Roman"/>
        </w:rPr>
      </w:pPr>
      <w:r>
        <w:rPr>
          <w:rFonts w:hint="default" w:ascii="Times New Roman" w:hAnsi="Times New Roman" w:eastAsia="宋体" w:cs="Times New Roman"/>
        </w:rPr>
        <w:t>若首选模型不收敛，将启用备选方法：Poisson稳健回归（log link）并边际标准化推导RD；或未调整差值CI作为补充。触发原因与备选方法将在CSR中说明。</w:t>
      </w:r>
    </w:p>
    <w:p w14:paraId="061AA4F5">
      <w:pPr>
        <w:pStyle w:val="4"/>
        <w:rPr>
          <w:rFonts w:hint="default" w:ascii="Times New Roman" w:hAnsi="Times New Roman" w:eastAsia="宋体" w:cs="Times New Roman"/>
        </w:rPr>
      </w:pPr>
      <w:r>
        <w:rPr>
          <w:rFonts w:hint="default" w:ascii="Times New Roman" w:hAnsi="Times New Roman" w:eastAsia="宋体" w:cs="Times New Roman"/>
        </w:rPr>
        <w:t>7.3 队列A非劣效检验</w:t>
      </w:r>
    </w:p>
    <w:p w14:paraId="251CAD6B">
      <w:pPr>
        <w:spacing w:after="120" w:line="300" w:lineRule="auto"/>
        <w:rPr>
          <w:rFonts w:hint="default" w:ascii="Times New Roman" w:hAnsi="Times New Roman" w:eastAsia="宋体" w:cs="Times New Roman"/>
        </w:rPr>
      </w:pPr>
      <w:r>
        <w:rPr>
          <w:rFonts w:hint="default" w:ascii="Times New Roman" w:hAnsi="Times New Roman" w:eastAsia="宋体" w:cs="Times New Roman"/>
        </w:rPr>
        <w:t>A1 vs A3与A2 vs A3分别判定；非劣效界值δA=8%。每项比较使用双侧97.5% CI（对应单侧α=0.0125）。若CI下限&gt;-0.08则判定非劣效。</w:t>
      </w:r>
    </w:p>
    <w:p w14:paraId="5998F472">
      <w:pPr>
        <w:pStyle w:val="4"/>
        <w:rPr>
          <w:rFonts w:hint="default" w:ascii="Times New Roman" w:hAnsi="Times New Roman" w:eastAsia="宋体" w:cs="Times New Roman"/>
        </w:rPr>
      </w:pPr>
      <w:r>
        <w:rPr>
          <w:rFonts w:hint="default" w:ascii="Times New Roman" w:hAnsi="Times New Roman" w:eastAsia="宋体" w:cs="Times New Roman"/>
        </w:rPr>
        <w:t>7.4 队列B非劣效检验</w:t>
      </w:r>
    </w:p>
    <w:p w14:paraId="38D9FD2B">
      <w:pPr>
        <w:spacing w:after="120" w:line="300" w:lineRule="auto"/>
        <w:rPr>
          <w:rFonts w:hint="default" w:ascii="Times New Roman" w:hAnsi="Times New Roman" w:eastAsia="宋体" w:cs="Times New Roman"/>
        </w:rPr>
      </w:pPr>
      <w:r>
        <w:rPr>
          <w:rFonts w:hint="default" w:ascii="Times New Roman" w:hAnsi="Times New Roman" w:eastAsia="宋体" w:cs="Times New Roman"/>
        </w:rPr>
        <w:t>停药策略 vs 继续治疗策略；非劣效界值δB=10%。使用双侧95% CI（对应单侧α=0.025）。若CI下限&gt;-0.10则判定非劣效。</w:t>
      </w:r>
    </w:p>
    <w:p w14:paraId="1F4F251D">
      <w:pPr>
        <w:pStyle w:val="4"/>
        <w:rPr>
          <w:rFonts w:hint="default" w:ascii="Times New Roman" w:hAnsi="Times New Roman" w:eastAsia="宋体" w:cs="Times New Roman"/>
        </w:rPr>
      </w:pPr>
      <w:r>
        <w:rPr>
          <w:rFonts w:hint="default" w:ascii="Times New Roman" w:hAnsi="Times New Roman" w:eastAsia="宋体" w:cs="Times New Roman"/>
        </w:rPr>
        <w:t>7.5 支持性分析</w:t>
      </w:r>
    </w:p>
    <w:p w14:paraId="00B8B0F7">
      <w:pPr>
        <w:spacing w:after="120" w:line="300" w:lineRule="auto"/>
        <w:rPr>
          <w:rFonts w:hint="default" w:ascii="Times New Roman" w:hAnsi="Times New Roman" w:eastAsia="宋体" w:cs="Times New Roman"/>
        </w:rPr>
      </w:pPr>
      <w:r>
        <w:rPr>
          <w:rFonts w:hint="default" w:ascii="Times New Roman" w:hAnsi="Times New Roman" w:eastAsia="宋体" w:cs="Times New Roman"/>
        </w:rPr>
        <w:t>支持性分析包括：mITT与PP重复分析；替代模型与缺失处理假设的敏感性分析（第11章）。非劣效结论需ITT与PP方向一致或结论一致作为关键支撑。</w:t>
      </w:r>
    </w:p>
    <w:p w14:paraId="534E717D">
      <w:pPr>
        <w:pStyle w:val="3"/>
        <w:rPr>
          <w:rFonts w:hint="default" w:ascii="Times New Roman" w:hAnsi="Times New Roman" w:eastAsia="宋体" w:cs="Times New Roman"/>
        </w:rPr>
      </w:pPr>
      <w:r>
        <w:rPr>
          <w:rFonts w:hint="default" w:ascii="Times New Roman" w:hAnsi="Times New Roman" w:eastAsia="宋体" w:cs="Times New Roman"/>
        </w:rPr>
        <w:t>8 次要疗效与探索性分析</w:t>
      </w:r>
    </w:p>
    <w:p w14:paraId="31166928">
      <w:pPr>
        <w:pStyle w:val="4"/>
        <w:rPr>
          <w:rFonts w:hint="default" w:ascii="Times New Roman" w:hAnsi="Times New Roman" w:eastAsia="宋体" w:cs="Times New Roman"/>
        </w:rPr>
      </w:pPr>
      <w:r>
        <w:rPr>
          <w:rFonts w:hint="default" w:ascii="Times New Roman" w:hAnsi="Times New Roman" w:eastAsia="宋体" w:cs="Times New Roman"/>
        </w:rPr>
        <w:t>8.1 PT-M24长期疗效</w:t>
      </w:r>
    </w:p>
    <w:p w14:paraId="583622E8">
      <w:pPr>
        <w:spacing w:after="120" w:line="300" w:lineRule="auto"/>
        <w:rPr>
          <w:rFonts w:hint="default" w:ascii="Times New Roman" w:hAnsi="Times New Roman" w:eastAsia="宋体" w:cs="Times New Roman"/>
        </w:rPr>
      </w:pPr>
      <w:r>
        <w:rPr>
          <w:rFonts w:hint="default" w:ascii="Times New Roman" w:hAnsi="Times New Roman" w:eastAsia="宋体" w:cs="Times New Roman"/>
        </w:rPr>
        <w:t>PT-M24良好结局率以RD及CI描述性报告（ITT/mITT/PP）。</w:t>
      </w:r>
    </w:p>
    <w:p w14:paraId="05BF21E4">
      <w:pPr>
        <w:pStyle w:val="4"/>
        <w:rPr>
          <w:rFonts w:hint="default" w:ascii="Times New Roman" w:hAnsi="Times New Roman" w:eastAsia="宋体" w:cs="Times New Roman"/>
        </w:rPr>
      </w:pPr>
      <w:r>
        <w:rPr>
          <w:rFonts w:hint="default" w:ascii="Times New Roman" w:hAnsi="Times New Roman" w:eastAsia="宋体" w:cs="Times New Roman"/>
        </w:rPr>
        <w:t>8.2 培养学终点</w:t>
      </w:r>
    </w:p>
    <w:p w14:paraId="1176FA22">
      <w:pPr>
        <w:spacing w:after="120" w:line="300" w:lineRule="auto"/>
        <w:rPr>
          <w:rFonts w:hint="default" w:ascii="Times New Roman" w:hAnsi="Times New Roman" w:eastAsia="宋体" w:cs="Times New Roman"/>
        </w:rPr>
      </w:pPr>
      <w:r>
        <w:rPr>
          <w:rFonts w:hint="default" w:ascii="Times New Roman" w:hAnsi="Times New Roman" w:eastAsia="宋体" w:cs="Times New Roman"/>
        </w:rPr>
        <w:t>培养转阴比例：关键节点比较阴性比例，报告差值/比值及CI。</w:t>
      </w:r>
    </w:p>
    <w:p w14:paraId="44899063">
      <w:pPr>
        <w:spacing w:after="120" w:line="300" w:lineRule="auto"/>
        <w:rPr>
          <w:rFonts w:hint="default" w:ascii="Times New Roman" w:hAnsi="Times New Roman" w:eastAsia="宋体" w:cs="Times New Roman"/>
        </w:rPr>
      </w:pPr>
      <w:r>
        <w:rPr>
          <w:rFonts w:hint="default" w:ascii="Times New Roman" w:hAnsi="Times New Roman" w:eastAsia="宋体" w:cs="Times New Roman"/>
        </w:rPr>
        <w:t>培养转阴时间：定义为基线后首次满足“连续两次培养阴性且间隔≥7天”的第一天（以首次阴性样本日期计）。采用Kaplan-Meier与Cox模型；竞争风险采用cause-specific Cox，敏感性可用Fine-Gray。</w:t>
      </w:r>
    </w:p>
    <w:p w14:paraId="28FAB6C3">
      <w:pPr>
        <w:pStyle w:val="4"/>
        <w:rPr>
          <w:rFonts w:hint="default" w:ascii="Times New Roman" w:hAnsi="Times New Roman" w:eastAsia="宋体" w:cs="Times New Roman"/>
        </w:rPr>
      </w:pPr>
      <w:r>
        <w:rPr>
          <w:rFonts w:hint="default" w:ascii="Times New Roman" w:hAnsi="Times New Roman" w:eastAsia="宋体" w:cs="Times New Roman"/>
        </w:rPr>
        <w:t>8.3 复发/再感染时间-事件分析</w:t>
      </w:r>
    </w:p>
    <w:p w14:paraId="05A339B2">
      <w:pPr>
        <w:spacing w:after="120" w:line="300" w:lineRule="auto"/>
        <w:rPr>
          <w:rFonts w:hint="default" w:ascii="Times New Roman" w:hAnsi="Times New Roman" w:eastAsia="宋体" w:cs="Times New Roman"/>
        </w:rPr>
      </w:pPr>
      <w:r>
        <w:rPr>
          <w:rFonts w:hint="default" w:ascii="Times New Roman" w:hAnsi="Times New Roman" w:eastAsia="宋体" w:cs="Times New Roman"/>
        </w:rPr>
        <w:t>时间起点为EOT日期；事件为CEC裁决的首次不良事件；未发生者在最后一次可确认无事件日期右删失。用于描述风险曲线。</w:t>
      </w:r>
    </w:p>
    <w:p w14:paraId="10C25D08">
      <w:pPr>
        <w:pStyle w:val="4"/>
        <w:rPr>
          <w:rFonts w:hint="default" w:ascii="Times New Roman" w:hAnsi="Times New Roman" w:eastAsia="宋体" w:cs="Times New Roman"/>
        </w:rPr>
      </w:pPr>
      <w:r>
        <w:rPr>
          <w:rFonts w:hint="default" w:ascii="Times New Roman" w:hAnsi="Times New Roman" w:eastAsia="宋体" w:cs="Times New Roman"/>
        </w:rPr>
        <w:t>8.4 影像学终点</w:t>
      </w:r>
    </w:p>
    <w:p w14:paraId="430B8131">
      <w:pPr>
        <w:spacing w:after="120" w:line="300" w:lineRule="auto"/>
        <w:rPr>
          <w:rFonts w:hint="default" w:ascii="Times New Roman" w:hAnsi="Times New Roman" w:eastAsia="宋体" w:cs="Times New Roman"/>
        </w:rPr>
      </w:pPr>
      <w:r>
        <w:rPr>
          <w:rFonts w:hint="default" w:ascii="Times New Roman" w:hAnsi="Times New Roman" w:eastAsia="宋体" w:cs="Times New Roman"/>
        </w:rPr>
        <w:t>影像学评分变化采用混合模型或ANCOVA（调整基线）；二分类影像指标采用GLM。</w:t>
      </w:r>
    </w:p>
    <w:p w14:paraId="21C39DC7">
      <w:pPr>
        <w:pStyle w:val="4"/>
        <w:rPr>
          <w:rFonts w:hint="default" w:ascii="Times New Roman" w:hAnsi="Times New Roman" w:eastAsia="宋体" w:cs="Times New Roman"/>
        </w:rPr>
      </w:pPr>
      <w:r>
        <w:rPr>
          <w:rFonts w:hint="default" w:ascii="Times New Roman" w:hAnsi="Times New Roman" w:eastAsia="宋体" w:cs="Times New Roman"/>
        </w:rPr>
        <w:t>8.5 TB-DM支持性/探索性</w:t>
      </w:r>
    </w:p>
    <w:p w14:paraId="084A343F">
      <w:pPr>
        <w:spacing w:after="120" w:line="300" w:lineRule="auto"/>
        <w:rPr>
          <w:rFonts w:hint="default" w:ascii="Times New Roman" w:hAnsi="Times New Roman" w:eastAsia="宋体" w:cs="Times New Roman"/>
        </w:rPr>
      </w:pPr>
      <w:r>
        <w:rPr>
          <w:rFonts w:hint="default" w:ascii="Times New Roman" w:hAnsi="Times New Roman" w:eastAsia="宋体" w:cs="Times New Roman"/>
        </w:rPr>
        <w:t>HbA1c等连续结局采用MMRM/线性混合模型；严重低血糖等事件以发生比例与暴露调整发生率描述性比较。</w:t>
      </w:r>
    </w:p>
    <w:p w14:paraId="3DF37172">
      <w:pPr>
        <w:pStyle w:val="4"/>
        <w:rPr>
          <w:rFonts w:hint="default" w:ascii="Times New Roman" w:hAnsi="Times New Roman" w:eastAsia="宋体" w:cs="Times New Roman"/>
        </w:rPr>
      </w:pPr>
      <w:r>
        <w:rPr>
          <w:rFonts w:hint="default" w:ascii="Times New Roman" w:hAnsi="Times New Roman" w:eastAsia="宋体" w:cs="Times New Roman"/>
        </w:rPr>
        <w:t>8.6 队列B Hard Gate指标</w:t>
      </w:r>
    </w:p>
    <w:p w14:paraId="7E8EF3E6">
      <w:pPr>
        <w:spacing w:after="120" w:line="300" w:lineRule="auto"/>
        <w:rPr>
          <w:rFonts w:hint="default" w:ascii="Times New Roman" w:hAnsi="Times New Roman" w:eastAsia="宋体" w:cs="Times New Roman"/>
        </w:rPr>
      </w:pPr>
      <w:r>
        <w:rPr>
          <w:rFonts w:hint="default" w:ascii="Times New Roman" w:hAnsi="Times New Roman" w:eastAsia="宋体" w:cs="Times New Roman"/>
        </w:rPr>
        <w:t>在队列B入组集中描述门槛达标率、未达标原因及人群差异，不进行随机对照推断。</w:t>
      </w:r>
    </w:p>
    <w:p w14:paraId="1EE39806">
      <w:pPr>
        <w:pStyle w:val="3"/>
        <w:rPr>
          <w:rFonts w:hint="default" w:ascii="Times New Roman" w:hAnsi="Times New Roman" w:eastAsia="宋体" w:cs="Times New Roman"/>
        </w:rPr>
      </w:pPr>
      <w:r>
        <w:rPr>
          <w:rFonts w:hint="default" w:ascii="Times New Roman" w:hAnsi="Times New Roman" w:eastAsia="宋体" w:cs="Times New Roman"/>
        </w:rPr>
        <w:t>9 安全性分析</w:t>
      </w:r>
    </w:p>
    <w:p w14:paraId="0E404C2D">
      <w:pPr>
        <w:pStyle w:val="4"/>
        <w:rPr>
          <w:rFonts w:hint="default" w:ascii="Times New Roman" w:hAnsi="Times New Roman" w:eastAsia="宋体" w:cs="Times New Roman"/>
        </w:rPr>
      </w:pPr>
      <w:r>
        <w:rPr>
          <w:rFonts w:hint="default" w:ascii="Times New Roman" w:hAnsi="Times New Roman" w:eastAsia="宋体" w:cs="Times New Roman"/>
        </w:rPr>
        <w:t>9.1 总体原则</w:t>
      </w:r>
    </w:p>
    <w:p w14:paraId="7A97FA52">
      <w:pPr>
        <w:spacing w:after="120" w:line="300" w:lineRule="auto"/>
        <w:rPr>
          <w:rFonts w:hint="default" w:ascii="Times New Roman" w:hAnsi="Times New Roman" w:eastAsia="宋体" w:cs="Times New Roman"/>
        </w:rPr>
      </w:pPr>
      <w:r>
        <w:rPr>
          <w:rFonts w:hint="default" w:ascii="Times New Roman" w:hAnsi="Times New Roman" w:eastAsia="宋体" w:cs="Times New Roman"/>
        </w:rPr>
        <w:t>安全性分析以SS为主，按实际用药暴露归类。事件编码采用MedDRA；严重度分级采用DAIDS。</w:t>
      </w:r>
    </w:p>
    <w:p w14:paraId="6D8AA9E2">
      <w:pPr>
        <w:pStyle w:val="4"/>
        <w:rPr>
          <w:rFonts w:hint="default" w:ascii="Times New Roman" w:hAnsi="Times New Roman" w:eastAsia="宋体" w:cs="Times New Roman"/>
        </w:rPr>
      </w:pPr>
      <w:r>
        <w:rPr>
          <w:rFonts w:hint="default" w:ascii="Times New Roman" w:hAnsi="Times New Roman" w:eastAsia="宋体" w:cs="Times New Roman"/>
        </w:rPr>
        <w:t>9.2 主要安全性终点（52周）</w:t>
      </w:r>
    </w:p>
    <w:p w14:paraId="286B283F">
      <w:pPr>
        <w:spacing w:after="120" w:line="300" w:lineRule="auto"/>
        <w:rPr>
          <w:rFonts w:hint="default" w:ascii="Times New Roman" w:hAnsi="Times New Roman" w:eastAsia="宋体" w:cs="Times New Roman"/>
        </w:rPr>
      </w:pPr>
      <w:r>
        <w:rPr>
          <w:rFonts w:hint="default" w:ascii="Times New Roman" w:hAnsi="Times New Roman" w:eastAsia="宋体" w:cs="Times New Roman"/>
        </w:rPr>
        <w:t>汇总SAE、DAIDS≥3级不良事件与AESI发生比例、事件数与暴露调整发生率；组间比较以描述性为主。</w:t>
      </w:r>
    </w:p>
    <w:p w14:paraId="06EC2C12">
      <w:pPr>
        <w:pStyle w:val="4"/>
        <w:rPr>
          <w:rFonts w:hint="default" w:ascii="Times New Roman" w:hAnsi="Times New Roman" w:eastAsia="宋体" w:cs="Times New Roman"/>
        </w:rPr>
      </w:pPr>
      <w:r>
        <w:rPr>
          <w:rFonts w:hint="default" w:ascii="Times New Roman" w:hAnsi="Times New Roman" w:eastAsia="宋体" w:cs="Times New Roman"/>
        </w:rPr>
        <w:t>9.3 次要安全性窗口（26周与78周）</w:t>
      </w:r>
    </w:p>
    <w:p w14:paraId="3553CBF3">
      <w:pPr>
        <w:spacing w:after="120" w:line="300" w:lineRule="auto"/>
        <w:rPr>
          <w:rFonts w:hint="default" w:ascii="Times New Roman" w:hAnsi="Times New Roman" w:eastAsia="宋体" w:cs="Times New Roman"/>
        </w:rPr>
      </w:pPr>
      <w:r>
        <w:rPr>
          <w:rFonts w:hint="default" w:ascii="Times New Roman" w:hAnsi="Times New Roman" w:eastAsia="宋体" w:cs="Times New Roman"/>
        </w:rPr>
        <w:t>分别在26周与78周窗口内按同法汇总，刻画早期与晚发毒性。</w:t>
      </w:r>
    </w:p>
    <w:p w14:paraId="0E98CD91">
      <w:pPr>
        <w:pStyle w:val="4"/>
        <w:rPr>
          <w:rFonts w:hint="default" w:ascii="Times New Roman" w:hAnsi="Times New Roman" w:eastAsia="宋体" w:cs="Times New Roman"/>
        </w:rPr>
      </w:pPr>
      <w:r>
        <w:rPr>
          <w:rFonts w:hint="default" w:ascii="Times New Roman" w:hAnsi="Times New Roman" w:eastAsia="宋体" w:cs="Times New Roman"/>
        </w:rPr>
        <w:t>9.4 重点毒性专题</w:t>
      </w:r>
    </w:p>
    <w:p w14:paraId="44F5F67B">
      <w:pPr>
        <w:spacing w:after="120" w:line="300" w:lineRule="auto"/>
        <w:rPr>
          <w:rFonts w:hint="default" w:ascii="Times New Roman" w:hAnsi="Times New Roman" w:eastAsia="宋体" w:cs="Times New Roman"/>
        </w:rPr>
      </w:pPr>
      <w:r>
        <w:rPr>
          <w:rFonts w:hint="default" w:ascii="Times New Roman" w:hAnsi="Times New Roman" w:eastAsia="宋体" w:cs="Times New Roman"/>
        </w:rPr>
        <w:t>对肝损伤、QTcF延长/心律失常、周围神经病变、视神经病变、骨髓抑制等专题汇总并报告导致剂量调整/停药/方案更改比例。</w:t>
      </w:r>
    </w:p>
    <w:p w14:paraId="5C8E7834">
      <w:pPr>
        <w:pStyle w:val="4"/>
        <w:rPr>
          <w:rFonts w:hint="default" w:ascii="Times New Roman" w:hAnsi="Times New Roman" w:eastAsia="宋体" w:cs="Times New Roman"/>
        </w:rPr>
      </w:pPr>
      <w:r>
        <w:rPr>
          <w:rFonts w:hint="default" w:ascii="Times New Roman" w:hAnsi="Times New Roman" w:eastAsia="宋体" w:cs="Times New Roman"/>
        </w:rPr>
        <w:t>9.5 实验室与心电</w:t>
      </w:r>
    </w:p>
    <w:p w14:paraId="48D3C5F2">
      <w:pPr>
        <w:spacing w:after="120" w:line="300" w:lineRule="auto"/>
        <w:rPr>
          <w:rFonts w:hint="default" w:ascii="Times New Roman" w:hAnsi="Times New Roman" w:eastAsia="宋体" w:cs="Times New Roman"/>
        </w:rPr>
      </w:pPr>
      <w:r>
        <w:rPr>
          <w:rFonts w:hint="default" w:ascii="Times New Roman" w:hAnsi="Times New Roman" w:eastAsia="宋体" w:cs="Times New Roman"/>
        </w:rPr>
        <w:t>报告关键时间点绝对值与变化值分布、达到分级阈值比例，以及QTcF&gt;500 ms或较基线延长&gt;60 ms的发生比例与处置。</w:t>
      </w:r>
    </w:p>
    <w:p w14:paraId="005DE882">
      <w:pPr>
        <w:pStyle w:val="4"/>
        <w:rPr>
          <w:rFonts w:hint="default" w:ascii="Times New Roman" w:hAnsi="Times New Roman" w:eastAsia="宋体" w:cs="Times New Roman"/>
        </w:rPr>
      </w:pPr>
      <w:r>
        <w:rPr>
          <w:rFonts w:hint="default" w:ascii="Times New Roman" w:hAnsi="Times New Roman" w:eastAsia="宋体" w:cs="Times New Roman"/>
        </w:rPr>
        <w:t>9.6 症状性不良事件（含PRO-CTCAE）</w:t>
      </w:r>
    </w:p>
    <w:p w14:paraId="45409C03">
      <w:pPr>
        <w:spacing w:after="120" w:line="300" w:lineRule="auto"/>
        <w:rPr>
          <w:rFonts w:hint="default" w:ascii="Times New Roman" w:hAnsi="Times New Roman" w:eastAsia="宋体" w:cs="Times New Roman"/>
        </w:rPr>
      </w:pPr>
      <w:r>
        <w:rPr>
          <w:rFonts w:hint="default" w:ascii="Times New Roman" w:hAnsi="Times New Roman" w:eastAsia="宋体" w:cs="Times New Roman"/>
        </w:rPr>
        <w:t>研究者评估与PRO-CTCAE双通道汇总关键症状条目发生比例、最大严重度与时间趋势。</w:t>
      </w:r>
    </w:p>
    <w:p w14:paraId="719CA38B">
      <w:pPr>
        <w:pStyle w:val="3"/>
        <w:rPr>
          <w:rFonts w:hint="default" w:ascii="Times New Roman" w:hAnsi="Times New Roman" w:eastAsia="宋体" w:cs="Times New Roman"/>
        </w:rPr>
      </w:pPr>
      <w:r>
        <w:rPr>
          <w:rFonts w:hint="default" w:ascii="Times New Roman" w:hAnsi="Times New Roman" w:eastAsia="宋体" w:cs="Times New Roman"/>
        </w:rPr>
        <w:t>10 多重性控制与中期分析</w:t>
      </w:r>
    </w:p>
    <w:p w14:paraId="53EA9FED">
      <w:pPr>
        <w:pStyle w:val="4"/>
        <w:rPr>
          <w:rFonts w:hint="default" w:ascii="Times New Roman" w:hAnsi="Times New Roman" w:eastAsia="宋体" w:cs="Times New Roman"/>
        </w:rPr>
      </w:pPr>
      <w:r>
        <w:rPr>
          <w:rFonts w:hint="default" w:ascii="Times New Roman" w:hAnsi="Times New Roman" w:eastAsia="宋体" w:cs="Times New Roman"/>
        </w:rPr>
        <w:t>10.1 队列A多重性控制</w:t>
      </w:r>
    </w:p>
    <w:p w14:paraId="50306B58">
      <w:pPr>
        <w:spacing w:after="120" w:line="300" w:lineRule="auto"/>
        <w:rPr>
          <w:rFonts w:hint="default" w:ascii="Times New Roman" w:hAnsi="Times New Roman" w:eastAsia="宋体" w:cs="Times New Roman"/>
        </w:rPr>
      </w:pPr>
      <w:r>
        <w:rPr>
          <w:rFonts w:hint="default" w:ascii="Times New Roman" w:hAnsi="Times New Roman" w:eastAsia="宋体" w:cs="Times New Roman"/>
        </w:rPr>
        <w:t>两项主要比较采用Bonferroni（单侧α=0.0125/比较）。中期分析在每项比较内进行α消耗。</w:t>
      </w:r>
    </w:p>
    <w:p w14:paraId="27BE6B4E">
      <w:pPr>
        <w:pStyle w:val="4"/>
        <w:rPr>
          <w:rFonts w:hint="default" w:ascii="Times New Roman" w:hAnsi="Times New Roman" w:eastAsia="宋体" w:cs="Times New Roman"/>
        </w:rPr>
      </w:pPr>
      <w:r>
        <w:rPr>
          <w:rFonts w:hint="default" w:ascii="Times New Roman" w:hAnsi="Times New Roman" w:eastAsia="宋体" w:cs="Times New Roman"/>
        </w:rPr>
        <w:t>10.2 中期分析细则</w:t>
      </w:r>
    </w:p>
    <w:p w14:paraId="181A7560">
      <w:pPr>
        <w:spacing w:after="120" w:line="300" w:lineRule="auto"/>
        <w:rPr>
          <w:rFonts w:hint="default" w:ascii="Times New Roman" w:hAnsi="Times New Roman" w:eastAsia="宋体" w:cs="Times New Roman"/>
        </w:rPr>
      </w:pPr>
      <w:r>
        <w:rPr>
          <w:rFonts w:hint="default" w:ascii="Times New Roman" w:hAnsi="Times New Roman" w:eastAsia="宋体" w:cs="Times New Roman"/>
        </w:rPr>
        <w:t>当约50%的随机化受试者完成主要终点评估并可判定后实施中期分析。采用O'Brien-Fleming α消耗。无效性建议可参考非约束性条件功效阈值（如&lt;20%）。中期结果仅向DSMB披露。</w:t>
      </w:r>
    </w:p>
    <w:p w14:paraId="08D23A62">
      <w:pPr>
        <w:pStyle w:val="3"/>
        <w:rPr>
          <w:rFonts w:hint="default" w:ascii="Times New Roman" w:hAnsi="Times New Roman" w:eastAsia="宋体" w:cs="Times New Roman"/>
        </w:rPr>
      </w:pPr>
      <w:r>
        <w:rPr>
          <w:rFonts w:hint="default" w:ascii="Times New Roman" w:hAnsi="Times New Roman" w:eastAsia="宋体" w:cs="Times New Roman"/>
        </w:rPr>
        <w:t>11 缺失数据、失访与敏感性分析</w:t>
      </w:r>
    </w:p>
    <w:p w14:paraId="1B42139E">
      <w:pPr>
        <w:pStyle w:val="4"/>
        <w:rPr>
          <w:rFonts w:hint="default" w:ascii="Times New Roman" w:hAnsi="Times New Roman" w:eastAsia="宋体" w:cs="Times New Roman"/>
        </w:rPr>
      </w:pPr>
      <w:r>
        <w:rPr>
          <w:rFonts w:hint="default" w:ascii="Times New Roman" w:hAnsi="Times New Roman" w:eastAsia="宋体" w:cs="Times New Roman"/>
        </w:rPr>
        <w:t>11.1 缺失分类</w:t>
      </w:r>
    </w:p>
    <w:p w14:paraId="7CEDFFD2">
      <w:pPr>
        <w:spacing w:after="120" w:line="300" w:lineRule="auto"/>
        <w:rPr>
          <w:rFonts w:hint="default" w:ascii="Times New Roman" w:hAnsi="Times New Roman" w:eastAsia="宋体" w:cs="Times New Roman"/>
        </w:rPr>
      </w:pPr>
      <w:r>
        <w:rPr>
          <w:rFonts w:hint="default" w:ascii="Times New Roman" w:hAnsi="Times New Roman" w:eastAsia="宋体" w:cs="Times New Roman"/>
        </w:rPr>
        <w:t>将“缺访但可追溯结局”与“真失访”区分：前者通过被动追溯补齐最小数据集后可判定主要终点；后者导致主要终点缺失。</w:t>
      </w:r>
    </w:p>
    <w:p w14:paraId="542F22E8">
      <w:pPr>
        <w:pStyle w:val="4"/>
        <w:rPr>
          <w:rFonts w:hint="default" w:ascii="Times New Roman" w:hAnsi="Times New Roman" w:eastAsia="宋体" w:cs="Times New Roman"/>
        </w:rPr>
      </w:pPr>
      <w:r>
        <w:rPr>
          <w:rFonts w:hint="default" w:ascii="Times New Roman" w:hAnsi="Times New Roman" w:eastAsia="宋体" w:cs="Times New Roman"/>
        </w:rPr>
        <w:t>11.2 主分析缺失处理</w:t>
      </w:r>
    </w:p>
    <w:p w14:paraId="3DEED4DD">
      <w:pPr>
        <w:spacing w:after="120" w:line="300" w:lineRule="auto"/>
        <w:rPr>
          <w:rFonts w:hint="default" w:ascii="Times New Roman" w:hAnsi="Times New Roman" w:eastAsia="宋体" w:cs="Times New Roman"/>
        </w:rPr>
      </w:pPr>
      <w:r>
        <w:rPr>
          <w:rFonts w:hint="default" w:ascii="Times New Roman" w:hAnsi="Times New Roman" w:eastAsia="宋体" w:cs="Times New Roman"/>
        </w:rPr>
        <w:t>主分析采用Missing=Unfavorable：凡主要终点不可判定者归类为不良结局。</w:t>
      </w:r>
    </w:p>
    <w:p w14:paraId="564A8BF3">
      <w:pPr>
        <w:pStyle w:val="4"/>
        <w:rPr>
          <w:rFonts w:hint="default" w:ascii="Times New Roman" w:hAnsi="Times New Roman" w:eastAsia="宋体" w:cs="Times New Roman"/>
        </w:rPr>
      </w:pPr>
      <w:r>
        <w:rPr>
          <w:rFonts w:hint="default" w:ascii="Times New Roman" w:hAnsi="Times New Roman" w:eastAsia="宋体" w:cs="Times New Roman"/>
        </w:rPr>
        <w:t>11.3 预设敏感性分析</w:t>
      </w:r>
    </w:p>
    <w:p w14:paraId="220B1B65">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PP与mITT重复分析。</w:t>
      </w:r>
    </w:p>
    <w:p w14:paraId="465C4D57">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多重插补（MI）与逆概率删失加权（IPCW）。</w:t>
      </w:r>
    </w:p>
    <w:p w14:paraId="3BD4EFB8">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tipping-point阈值分析。</w:t>
      </w:r>
    </w:p>
    <w:p w14:paraId="1AEC69FB">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再感染剔除敏感性（需WGS/分型证据）。</w:t>
      </w:r>
    </w:p>
    <w:p w14:paraId="229C74FD">
      <w:pPr>
        <w:pStyle w:val="16"/>
        <w:spacing w:line="276" w:lineRule="auto"/>
        <w:rPr>
          <w:rFonts w:hint="default" w:ascii="Times New Roman" w:hAnsi="Times New Roman" w:eastAsia="宋体" w:cs="Times New Roman"/>
        </w:rPr>
      </w:pPr>
      <w:r>
        <w:rPr>
          <w:rFonts w:hint="default" w:ascii="Times New Roman" w:hAnsi="Times New Roman" w:eastAsia="宋体" w:cs="Times New Roman"/>
        </w:rPr>
        <w:t>死亡口径敏感性：TB相关死亡 vs 全因死亡。</w:t>
      </w:r>
    </w:p>
    <w:p w14:paraId="594B86BC">
      <w:pPr>
        <w:pStyle w:val="4"/>
        <w:rPr>
          <w:rFonts w:hint="default" w:ascii="Times New Roman" w:hAnsi="Times New Roman" w:eastAsia="宋体" w:cs="Times New Roman"/>
        </w:rPr>
      </w:pPr>
      <w:r>
        <w:rPr>
          <w:rFonts w:hint="default" w:ascii="Times New Roman" w:hAnsi="Times New Roman" w:eastAsia="宋体" w:cs="Times New Roman"/>
        </w:rPr>
        <w:t>11.4 缺失机制评估</w:t>
      </w:r>
    </w:p>
    <w:p w14:paraId="15F33DF7">
      <w:pPr>
        <w:spacing w:after="120" w:line="300" w:lineRule="auto"/>
        <w:rPr>
          <w:rFonts w:hint="default" w:ascii="Times New Roman" w:hAnsi="Times New Roman" w:eastAsia="宋体" w:cs="Times New Roman"/>
        </w:rPr>
      </w:pPr>
      <w:r>
        <w:rPr>
          <w:rFonts w:hint="default" w:ascii="Times New Roman" w:hAnsi="Times New Roman" w:eastAsia="宋体" w:cs="Times New Roman"/>
        </w:rPr>
        <w:t>比较组间与中心间缺失比例与原因分布，并评估缺失与基线风险/治疗期反应的关联，以支持MI/IPCW模型。</w:t>
      </w:r>
    </w:p>
    <w:p w14:paraId="335F607E">
      <w:pPr>
        <w:pStyle w:val="4"/>
        <w:rPr>
          <w:rFonts w:hint="default" w:ascii="Times New Roman" w:hAnsi="Times New Roman" w:eastAsia="宋体" w:cs="Times New Roman"/>
        </w:rPr>
      </w:pPr>
      <w:r>
        <w:rPr>
          <w:rFonts w:hint="default" w:ascii="Times New Roman" w:hAnsi="Times New Roman" w:eastAsia="宋体" w:cs="Times New Roman"/>
        </w:rPr>
        <w:t>11.5 失访操作性定义</w:t>
      </w:r>
    </w:p>
    <w:p w14:paraId="16FEFDB0">
      <w:pPr>
        <w:spacing w:after="120" w:line="300" w:lineRule="auto"/>
        <w:rPr>
          <w:rFonts w:hint="default" w:ascii="Times New Roman" w:hAnsi="Times New Roman" w:eastAsia="宋体" w:cs="Times New Roman"/>
        </w:rPr>
      </w:pPr>
      <w:r>
        <w:rPr>
          <w:rFonts w:hint="default" w:ascii="Times New Roman" w:hAnsi="Times New Roman" w:eastAsia="宋体" w:cs="Times New Roman"/>
        </w:rPr>
        <w:t>失访定义与追访留痕以研究方案第6.7.2与第6.8节为准；统计上记录判定日期、最后一次可确认状态日期与中心分布。</w:t>
      </w:r>
    </w:p>
    <w:p w14:paraId="69B7CD25">
      <w:pPr>
        <w:pStyle w:val="3"/>
        <w:rPr>
          <w:rFonts w:hint="default" w:ascii="Times New Roman" w:hAnsi="Times New Roman" w:eastAsia="宋体" w:cs="Times New Roman"/>
        </w:rPr>
      </w:pPr>
      <w:r>
        <w:rPr>
          <w:rFonts w:hint="default" w:ascii="Times New Roman" w:hAnsi="Times New Roman" w:eastAsia="宋体" w:cs="Times New Roman"/>
        </w:rPr>
        <w:t>12 方案偏差与数据处理规则</w:t>
      </w:r>
    </w:p>
    <w:p w14:paraId="7D303D91">
      <w:pPr>
        <w:pStyle w:val="4"/>
        <w:rPr>
          <w:rFonts w:hint="default" w:ascii="Times New Roman" w:hAnsi="Times New Roman" w:eastAsia="宋体" w:cs="Times New Roman"/>
        </w:rPr>
      </w:pPr>
      <w:r>
        <w:rPr>
          <w:rFonts w:hint="default" w:ascii="Times New Roman" w:hAnsi="Times New Roman" w:eastAsia="宋体" w:cs="Times New Roman"/>
        </w:rPr>
        <w:t>12.1 重大方案偏差</w:t>
      </w:r>
    </w:p>
    <w:p w14:paraId="600B8966">
      <w:pPr>
        <w:spacing w:after="120" w:line="300" w:lineRule="auto"/>
        <w:rPr>
          <w:rFonts w:hint="default" w:ascii="Times New Roman" w:hAnsi="Times New Roman" w:eastAsia="宋体" w:cs="Times New Roman"/>
        </w:rPr>
      </w:pPr>
      <w:r>
        <w:rPr>
          <w:rFonts w:hint="default" w:ascii="Times New Roman" w:hAnsi="Times New Roman" w:eastAsia="宋体" w:cs="Times New Roman"/>
        </w:rPr>
        <w:t>重大方案偏差用于PP判定与敏感性分析。建议类别：随机化错误、治疗暴露偏差、门槛评估偏差、关键结局证据缺失且未按追访SOP执行、关键禁用合并用药。</w:t>
      </w:r>
    </w:p>
    <w:p w14:paraId="533734C8">
      <w:pPr>
        <w:pStyle w:val="4"/>
        <w:rPr>
          <w:rFonts w:hint="default" w:ascii="Times New Roman" w:hAnsi="Times New Roman" w:eastAsia="宋体" w:cs="Times New Roman"/>
        </w:rPr>
      </w:pPr>
      <w:r>
        <w:rPr>
          <w:rFonts w:hint="default" w:ascii="Times New Roman" w:hAnsi="Times New Roman" w:eastAsia="宋体" w:cs="Times New Roman"/>
        </w:rPr>
        <w:t>12.2 数据选取规则</w:t>
      </w:r>
    </w:p>
    <w:p w14:paraId="26741EDC">
      <w:pPr>
        <w:spacing w:after="120" w:line="300" w:lineRule="auto"/>
        <w:rPr>
          <w:rFonts w:hint="default" w:ascii="Times New Roman" w:hAnsi="Times New Roman" w:eastAsia="宋体" w:cs="Times New Roman"/>
        </w:rPr>
      </w:pPr>
      <w:r>
        <w:rPr>
          <w:rFonts w:hint="default" w:ascii="Times New Roman" w:hAnsi="Times New Roman" w:eastAsia="宋体" w:cs="Times New Roman"/>
        </w:rPr>
        <w:t>同一窗口多次检测结果优先选最接近目标日期者；事件触发评估结果优先用于事件判定并提交CEC。</w:t>
      </w:r>
    </w:p>
    <w:p w14:paraId="2954E05A">
      <w:pPr>
        <w:pStyle w:val="4"/>
        <w:rPr>
          <w:rFonts w:hint="default" w:ascii="Times New Roman" w:hAnsi="Times New Roman" w:eastAsia="宋体" w:cs="Times New Roman"/>
        </w:rPr>
      </w:pPr>
      <w:r>
        <w:rPr>
          <w:rFonts w:hint="default" w:ascii="Times New Roman" w:hAnsi="Times New Roman" w:eastAsia="宋体" w:cs="Times New Roman"/>
        </w:rPr>
        <w:t>12.3 基线与EOT日期</w:t>
      </w:r>
    </w:p>
    <w:p w14:paraId="1647AFA9">
      <w:pPr>
        <w:spacing w:after="120" w:line="300" w:lineRule="auto"/>
        <w:rPr>
          <w:rFonts w:hint="default" w:ascii="Times New Roman" w:hAnsi="Times New Roman" w:eastAsia="宋体" w:cs="Times New Roman"/>
        </w:rPr>
      </w:pPr>
      <w:r>
        <w:rPr>
          <w:rFonts w:hint="default" w:ascii="Times New Roman" w:hAnsi="Times New Roman" w:eastAsia="宋体" w:cs="Times New Roman"/>
        </w:rPr>
        <w:t>基线日期：队列A为基线随机化日期。队列B存在两个关键起点：（1）入组基线（W0）：开始统一治疗日期，用于基线特征与治疗期指标描述；（2）随机化基线（RND）：M6门槛达标后随机化日期（仅适用于队列B随机化人群），用于定义随机后26/52/78周安全性窗口及其他以随机化为起点的分析窗口。EOT日期按实际停药日期确定；PT-M12/PT-M24均以各组各自EOT为起点。</w:t>
      </w:r>
    </w:p>
    <w:p w14:paraId="6742A129">
      <w:pPr>
        <w:pStyle w:val="4"/>
        <w:rPr>
          <w:rFonts w:hint="default" w:ascii="Times New Roman" w:hAnsi="Times New Roman" w:eastAsia="宋体" w:cs="Times New Roman"/>
        </w:rPr>
      </w:pPr>
      <w:r>
        <w:rPr>
          <w:rFonts w:hint="default" w:ascii="Times New Roman" w:hAnsi="Times New Roman" w:eastAsia="宋体" w:cs="Times New Roman"/>
        </w:rPr>
        <w:t>12.4 队列B Hard Gate规则</w:t>
      </w:r>
    </w:p>
    <w:p w14:paraId="5325B0E3">
      <w:pPr>
        <w:spacing w:after="120" w:line="300" w:lineRule="auto"/>
        <w:rPr>
          <w:rFonts w:hint="default" w:ascii="Times New Roman" w:hAnsi="Times New Roman" w:eastAsia="宋体" w:cs="Times New Roman"/>
        </w:rPr>
      </w:pPr>
      <w:r>
        <w:rPr>
          <w:rFonts w:hint="default" w:ascii="Times New Roman" w:hAnsi="Times New Roman" w:eastAsia="宋体" w:cs="Times New Roman"/>
        </w:rPr>
        <w:t>Hard Gate以微生物学证据为唯一资格条件：在M6访视前4个月采集的结核分枝杆菌培养结果中，至少2次培养阴性且两次间隔≥7天；并要求其后M4–M6随访中、M6随机化之前不得复阳；无法获得可评价培养结果或未满足上述条件者视为未达标。</w:t>
      </w:r>
    </w:p>
    <w:p w14:paraId="2E4F4896">
      <w:pPr>
        <w:pStyle w:val="3"/>
        <w:rPr>
          <w:rFonts w:hint="default" w:ascii="Times New Roman" w:hAnsi="Times New Roman" w:eastAsia="宋体" w:cs="Times New Roman"/>
        </w:rPr>
      </w:pPr>
      <w:r>
        <w:rPr>
          <w:rFonts w:hint="default" w:ascii="Times New Roman" w:hAnsi="Times New Roman" w:eastAsia="宋体" w:cs="Times New Roman"/>
        </w:rPr>
        <w:t>13 统计软件与质量控制</w:t>
      </w:r>
    </w:p>
    <w:p w14:paraId="58100FED">
      <w:pPr>
        <w:pStyle w:val="4"/>
        <w:rPr>
          <w:rFonts w:hint="default" w:ascii="Times New Roman" w:hAnsi="Times New Roman" w:eastAsia="宋体" w:cs="Times New Roman"/>
        </w:rPr>
      </w:pPr>
      <w:r>
        <w:rPr>
          <w:rFonts w:hint="default" w:ascii="Times New Roman" w:hAnsi="Times New Roman" w:eastAsia="宋体" w:cs="Times New Roman"/>
        </w:rPr>
        <w:t>13.1 统计软件</w:t>
      </w:r>
    </w:p>
    <w:p w14:paraId="10AD8478">
      <w:pPr>
        <w:spacing w:after="120" w:line="300" w:lineRule="auto"/>
        <w:rPr>
          <w:rFonts w:hint="default" w:ascii="Times New Roman" w:hAnsi="Times New Roman" w:eastAsia="宋体" w:cs="Times New Roman"/>
        </w:rPr>
      </w:pPr>
      <w:r>
        <w:rPr>
          <w:rFonts w:hint="default" w:ascii="Times New Roman" w:hAnsi="Times New Roman" w:eastAsia="宋体" w:cs="Times New Roman"/>
        </w:rPr>
        <w:t>统计分析使用经验证的软件（R或SAS），并记录版本与关键包版本。</w:t>
      </w:r>
    </w:p>
    <w:p w14:paraId="40C1B586">
      <w:pPr>
        <w:pStyle w:val="4"/>
        <w:rPr>
          <w:rFonts w:hint="default" w:ascii="Times New Roman" w:hAnsi="Times New Roman" w:eastAsia="宋体" w:cs="Times New Roman"/>
        </w:rPr>
      </w:pPr>
      <w:r>
        <w:rPr>
          <w:rFonts w:hint="default" w:ascii="Times New Roman" w:hAnsi="Times New Roman" w:eastAsia="宋体" w:cs="Times New Roman"/>
        </w:rPr>
        <w:t>13.2 编程与复核</w:t>
      </w:r>
    </w:p>
    <w:p w14:paraId="65E93AAB">
      <w:pPr>
        <w:spacing w:after="120" w:line="300" w:lineRule="auto"/>
        <w:rPr>
          <w:rFonts w:hint="default" w:ascii="Times New Roman" w:hAnsi="Times New Roman" w:eastAsia="宋体" w:cs="Times New Roman"/>
        </w:rPr>
      </w:pPr>
      <w:r>
        <w:rPr>
          <w:rFonts w:hint="default" w:ascii="Times New Roman" w:hAnsi="Times New Roman" w:eastAsia="宋体" w:cs="Times New Roman"/>
        </w:rPr>
        <w:t>主要疗效终点与关键安全性输出实施双人独立编程或关键结果复核；保留可追溯的程序、数据快照与输出日志。</w:t>
      </w:r>
    </w:p>
    <w:p w14:paraId="71493C23">
      <w:pPr>
        <w:pStyle w:val="4"/>
        <w:rPr>
          <w:rFonts w:hint="default" w:ascii="Times New Roman" w:hAnsi="Times New Roman" w:eastAsia="宋体" w:cs="Times New Roman"/>
        </w:rPr>
      </w:pPr>
      <w:r>
        <w:rPr>
          <w:rFonts w:hint="default" w:ascii="Times New Roman" w:hAnsi="Times New Roman" w:eastAsia="宋体" w:cs="Times New Roman"/>
        </w:rPr>
        <w:t>13.3 数据锁定与盲态维护</w:t>
      </w:r>
    </w:p>
    <w:p w14:paraId="01A5982C">
      <w:pPr>
        <w:spacing w:after="120" w:line="300" w:lineRule="auto"/>
        <w:rPr>
          <w:rFonts w:hint="default" w:ascii="Times New Roman" w:hAnsi="Times New Roman" w:eastAsia="宋体" w:cs="Times New Roman"/>
        </w:rPr>
      </w:pPr>
      <w:r>
        <w:rPr>
          <w:rFonts w:hint="default" w:ascii="Times New Roman" w:hAnsi="Times New Roman" w:eastAsia="宋体" w:cs="Times New Roman"/>
        </w:rPr>
        <w:t>SAP在数据库锁定前冻结。除DSMB专用中期分析外，主分析阶段统计团队保持治疗组盲态（必要时采用编码组别）。</w:t>
      </w:r>
    </w:p>
    <w:p w14:paraId="45607D9C">
      <w:pPr>
        <w:pStyle w:val="3"/>
        <w:rPr>
          <w:rFonts w:hint="default" w:ascii="Times New Roman" w:hAnsi="Times New Roman" w:eastAsia="宋体" w:cs="Times New Roman"/>
        </w:rPr>
      </w:pPr>
      <w:r>
        <w:rPr>
          <w:rFonts w:hint="default" w:ascii="Times New Roman" w:hAnsi="Times New Roman" w:eastAsia="宋体" w:cs="Times New Roman"/>
        </w:rPr>
        <w:t>14 预设TLFs清单（Tables, Listings and Figures）</w:t>
      </w:r>
    </w:p>
    <w:p w14:paraId="4FD4E43E">
      <w:pPr>
        <w:spacing w:after="120" w:line="300" w:lineRule="auto"/>
        <w:rPr>
          <w:rFonts w:hint="default" w:ascii="Times New Roman" w:hAnsi="Times New Roman" w:eastAsia="宋体" w:cs="Times New Roman"/>
        </w:rPr>
      </w:pPr>
      <w:r>
        <w:rPr>
          <w:rFonts w:hint="default" w:ascii="Times New Roman" w:hAnsi="Times New Roman" w:eastAsia="宋体" w:cs="Times New Roman"/>
        </w:rPr>
        <w:t>以下为建议的最小TLFs集合，供CSR与稿件撰写使用。编号可按项目CSR模板进一步规范。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9"/>
        <w:gridCol w:w="1949"/>
        <w:gridCol w:w="1949"/>
        <w:gridCol w:w="1949"/>
        <w:gridCol w:w="1949"/>
      </w:tblGrid>
      <w:tr w14:paraId="0FAED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218FC1C">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编号</w:t>
            </w:r>
          </w:p>
        </w:tc>
        <w:tc>
          <w:tcPr>
            <w:tcW w:w="907" w:type="dxa"/>
          </w:tcPr>
          <w:p w14:paraId="39565954">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类型</w:t>
            </w:r>
          </w:p>
        </w:tc>
        <w:tc>
          <w:tcPr>
            <w:tcW w:w="4706" w:type="dxa"/>
          </w:tcPr>
          <w:p w14:paraId="490B1E83">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标题</w:t>
            </w:r>
          </w:p>
        </w:tc>
        <w:tc>
          <w:tcPr>
            <w:tcW w:w="1361" w:type="dxa"/>
          </w:tcPr>
          <w:p w14:paraId="1210972F">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分析集</w:t>
            </w:r>
          </w:p>
        </w:tc>
        <w:tc>
          <w:tcPr>
            <w:tcW w:w="1757" w:type="dxa"/>
          </w:tcPr>
          <w:p w14:paraId="6C70CEF4">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备注</w:t>
            </w:r>
          </w:p>
        </w:tc>
      </w:tr>
      <w:tr w14:paraId="1CB72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3CE46EAE">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T1</w:t>
            </w:r>
          </w:p>
        </w:tc>
        <w:tc>
          <w:tcPr>
            <w:tcW w:w="1949" w:type="dxa"/>
          </w:tcPr>
          <w:p w14:paraId="40B71372">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7B8DF816">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受试者处置与分析集汇总（按队列/分组）</w:t>
            </w:r>
          </w:p>
        </w:tc>
        <w:tc>
          <w:tcPr>
            <w:tcW w:w="1949" w:type="dxa"/>
          </w:tcPr>
          <w:p w14:paraId="518A419D">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All</w:t>
            </w:r>
          </w:p>
        </w:tc>
        <w:tc>
          <w:tcPr>
            <w:tcW w:w="1949" w:type="dxa"/>
          </w:tcPr>
          <w:p w14:paraId="5E0A79F5">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含门槛达标与随机化流程（队列B）</w:t>
            </w:r>
          </w:p>
        </w:tc>
      </w:tr>
      <w:tr w14:paraId="71BC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684393F3">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T2</w:t>
            </w:r>
          </w:p>
        </w:tc>
        <w:tc>
          <w:tcPr>
            <w:tcW w:w="1949" w:type="dxa"/>
          </w:tcPr>
          <w:p w14:paraId="6363FE33">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7A5E690F">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基线人口学与临床特征</w:t>
            </w:r>
          </w:p>
        </w:tc>
        <w:tc>
          <w:tcPr>
            <w:tcW w:w="1949" w:type="dxa"/>
          </w:tcPr>
          <w:p w14:paraId="39AACA9D">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ITT/Enrolled</w:t>
            </w:r>
          </w:p>
        </w:tc>
        <w:tc>
          <w:tcPr>
            <w:tcW w:w="1949" w:type="dxa"/>
          </w:tcPr>
          <w:p w14:paraId="414DA912">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按队列分层；含DSS等描述性指标</w:t>
            </w:r>
          </w:p>
        </w:tc>
      </w:tr>
      <w:tr w14:paraId="4CCA3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5D10B2B6">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T3</w:t>
            </w:r>
          </w:p>
        </w:tc>
        <w:tc>
          <w:tcPr>
            <w:tcW w:w="1949" w:type="dxa"/>
          </w:tcPr>
          <w:p w14:paraId="5DB95060">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68112C04">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基线微生物学与影像学特征（菌负荷、空洞、范围）</w:t>
            </w:r>
          </w:p>
        </w:tc>
        <w:tc>
          <w:tcPr>
            <w:tcW w:w="1949" w:type="dxa"/>
          </w:tcPr>
          <w:p w14:paraId="0C71EAC3">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ITT/Enrolled</w:t>
            </w:r>
          </w:p>
        </w:tc>
        <w:tc>
          <w:tcPr>
            <w:tcW w:w="1949" w:type="dxa"/>
          </w:tcPr>
          <w:p w14:paraId="183E236D">
            <w:pPr>
              <w:spacing w:after="0" w:line="252" w:lineRule="auto"/>
              <w:rPr>
                <w:rFonts w:hint="default" w:ascii="Times New Roman" w:hAnsi="Times New Roman" w:eastAsia="宋体" w:cs="Times New Roman"/>
              </w:rPr>
            </w:pPr>
          </w:p>
        </w:tc>
      </w:tr>
      <w:tr w14:paraId="78BB7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06905FD7">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T4</w:t>
            </w:r>
          </w:p>
        </w:tc>
        <w:tc>
          <w:tcPr>
            <w:tcW w:w="1949" w:type="dxa"/>
          </w:tcPr>
          <w:p w14:paraId="2E37E330">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560E3C18">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治疗暴露与依从性（用药天数、缺服、剂量调整）</w:t>
            </w:r>
          </w:p>
        </w:tc>
        <w:tc>
          <w:tcPr>
            <w:tcW w:w="1949" w:type="dxa"/>
          </w:tcPr>
          <w:p w14:paraId="5B60AE3D">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SS/ITT</w:t>
            </w:r>
          </w:p>
        </w:tc>
        <w:tc>
          <w:tcPr>
            <w:tcW w:w="1949" w:type="dxa"/>
          </w:tcPr>
          <w:p w14:paraId="38FA3E21">
            <w:pPr>
              <w:spacing w:after="0" w:line="252" w:lineRule="auto"/>
              <w:rPr>
                <w:rFonts w:hint="default" w:ascii="Times New Roman" w:hAnsi="Times New Roman" w:eastAsia="宋体" w:cs="Times New Roman"/>
              </w:rPr>
            </w:pPr>
          </w:p>
        </w:tc>
      </w:tr>
      <w:tr w14:paraId="6A07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54240A8A">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T5</w:t>
            </w:r>
          </w:p>
        </w:tc>
        <w:tc>
          <w:tcPr>
            <w:tcW w:w="1949" w:type="dxa"/>
          </w:tcPr>
          <w:p w14:paraId="5423FE9A">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0A320496">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队列B Hard Gate达标率与未达标原因构成</w:t>
            </w:r>
          </w:p>
        </w:tc>
        <w:tc>
          <w:tcPr>
            <w:tcW w:w="1949" w:type="dxa"/>
          </w:tcPr>
          <w:p w14:paraId="5A5F5DF4">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Enrolled</w:t>
            </w:r>
          </w:p>
        </w:tc>
        <w:tc>
          <w:tcPr>
            <w:tcW w:w="1949" w:type="dxa"/>
          </w:tcPr>
          <w:p w14:paraId="057D9343">
            <w:pPr>
              <w:spacing w:after="0" w:line="252" w:lineRule="auto"/>
              <w:rPr>
                <w:rFonts w:hint="default" w:ascii="Times New Roman" w:hAnsi="Times New Roman" w:eastAsia="宋体" w:cs="Times New Roman"/>
              </w:rPr>
            </w:pPr>
          </w:p>
        </w:tc>
      </w:tr>
      <w:tr w14:paraId="1BA5F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0DA23501">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T6A</w:t>
            </w:r>
          </w:p>
        </w:tc>
        <w:tc>
          <w:tcPr>
            <w:tcW w:w="1949" w:type="dxa"/>
          </w:tcPr>
          <w:p w14:paraId="39818EB6">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3D1C9A96">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主要终点（PT-M12）良好结局率与RD：A1 vs A3</w:t>
            </w:r>
          </w:p>
        </w:tc>
        <w:tc>
          <w:tcPr>
            <w:tcW w:w="1949" w:type="dxa"/>
          </w:tcPr>
          <w:p w14:paraId="7D2591AE">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w:t>
            </w:r>
          </w:p>
        </w:tc>
        <w:tc>
          <w:tcPr>
            <w:tcW w:w="1949" w:type="dxa"/>
          </w:tcPr>
          <w:p w14:paraId="1B54AAEF">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含CI与非劣效判定</w:t>
            </w:r>
          </w:p>
        </w:tc>
      </w:tr>
      <w:tr w14:paraId="77A0C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4A2C93E6">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T6B</w:t>
            </w:r>
          </w:p>
        </w:tc>
        <w:tc>
          <w:tcPr>
            <w:tcW w:w="1949" w:type="dxa"/>
          </w:tcPr>
          <w:p w14:paraId="5FEF303E">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769F8AFD">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主要终点（PT-M12）良好结局率与RD：A2 vs A3</w:t>
            </w:r>
          </w:p>
        </w:tc>
        <w:tc>
          <w:tcPr>
            <w:tcW w:w="1949" w:type="dxa"/>
          </w:tcPr>
          <w:p w14:paraId="34BD22DB">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w:t>
            </w:r>
          </w:p>
        </w:tc>
        <w:tc>
          <w:tcPr>
            <w:tcW w:w="1949" w:type="dxa"/>
          </w:tcPr>
          <w:p w14:paraId="2D81E787">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含CI与非劣效判定</w:t>
            </w:r>
          </w:p>
        </w:tc>
      </w:tr>
      <w:tr w14:paraId="4F625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66FB1608">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T6C</w:t>
            </w:r>
          </w:p>
        </w:tc>
        <w:tc>
          <w:tcPr>
            <w:tcW w:w="1949" w:type="dxa"/>
          </w:tcPr>
          <w:p w14:paraId="1C0BFAFC">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06C98358">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主要终点（PT-M12）良好结局率与RD：停药 vs 继续治疗</w:t>
            </w:r>
          </w:p>
        </w:tc>
        <w:tc>
          <w:tcPr>
            <w:tcW w:w="1949" w:type="dxa"/>
          </w:tcPr>
          <w:p w14:paraId="33C3DCD4">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ITT（队列B）</w:t>
            </w:r>
          </w:p>
        </w:tc>
        <w:tc>
          <w:tcPr>
            <w:tcW w:w="1949" w:type="dxa"/>
          </w:tcPr>
          <w:p w14:paraId="34D3A1AF">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含CI与非劣效判定</w:t>
            </w:r>
          </w:p>
        </w:tc>
      </w:tr>
      <w:tr w14:paraId="759C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032B8F56">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T7</w:t>
            </w:r>
          </w:p>
        </w:tc>
        <w:tc>
          <w:tcPr>
            <w:tcW w:w="1949" w:type="dxa"/>
          </w:tcPr>
          <w:p w14:paraId="0019C16E">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1F9E6797">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主要终点构成事件分布（失败/复发/死亡/改方案/再感染/缺失）</w:t>
            </w:r>
          </w:p>
        </w:tc>
        <w:tc>
          <w:tcPr>
            <w:tcW w:w="1949" w:type="dxa"/>
          </w:tcPr>
          <w:p w14:paraId="4F59AC82">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w:t>
            </w:r>
          </w:p>
        </w:tc>
        <w:tc>
          <w:tcPr>
            <w:tcW w:w="1949" w:type="dxa"/>
          </w:tcPr>
          <w:p w14:paraId="4572F3E5">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按队列与分组</w:t>
            </w:r>
          </w:p>
        </w:tc>
      </w:tr>
      <w:tr w14:paraId="6438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151E2386">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T8</w:t>
            </w:r>
          </w:p>
        </w:tc>
        <w:tc>
          <w:tcPr>
            <w:tcW w:w="1949" w:type="dxa"/>
          </w:tcPr>
          <w:p w14:paraId="7E55A9DC">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4D5457D3">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支持性分析：mITT与PP的主要终点结果</w:t>
            </w:r>
          </w:p>
        </w:tc>
        <w:tc>
          <w:tcPr>
            <w:tcW w:w="1949" w:type="dxa"/>
          </w:tcPr>
          <w:p w14:paraId="0ECA5E36">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mITT/PP</w:t>
            </w:r>
          </w:p>
        </w:tc>
        <w:tc>
          <w:tcPr>
            <w:tcW w:w="1949" w:type="dxa"/>
          </w:tcPr>
          <w:p w14:paraId="5174EE69">
            <w:pPr>
              <w:spacing w:after="0" w:line="252" w:lineRule="auto"/>
              <w:rPr>
                <w:rFonts w:hint="default" w:ascii="Times New Roman" w:hAnsi="Times New Roman" w:eastAsia="宋体" w:cs="Times New Roman"/>
              </w:rPr>
            </w:pPr>
          </w:p>
        </w:tc>
      </w:tr>
      <w:tr w14:paraId="4702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635774D7">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T9</w:t>
            </w:r>
          </w:p>
        </w:tc>
        <w:tc>
          <w:tcPr>
            <w:tcW w:w="1949" w:type="dxa"/>
          </w:tcPr>
          <w:p w14:paraId="3CE3B0B5">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3AE064F4">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敏感性分析：再感染剔除、MI/IPCW、tipping-point概要</w:t>
            </w:r>
          </w:p>
        </w:tc>
        <w:tc>
          <w:tcPr>
            <w:tcW w:w="1949" w:type="dxa"/>
          </w:tcPr>
          <w:p w14:paraId="524CD2AD">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w:t>
            </w:r>
          </w:p>
        </w:tc>
        <w:tc>
          <w:tcPr>
            <w:tcW w:w="1949" w:type="dxa"/>
          </w:tcPr>
          <w:p w14:paraId="2E1CA5F7">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展示关键结论一致性</w:t>
            </w:r>
          </w:p>
        </w:tc>
      </w:tr>
      <w:tr w14:paraId="337B7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415AC319">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T10</w:t>
            </w:r>
          </w:p>
        </w:tc>
        <w:tc>
          <w:tcPr>
            <w:tcW w:w="1949" w:type="dxa"/>
          </w:tcPr>
          <w:p w14:paraId="02C58056">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7143796F">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次要终点：PT-M24良好结局率与RD</w:t>
            </w:r>
          </w:p>
        </w:tc>
        <w:tc>
          <w:tcPr>
            <w:tcW w:w="1949" w:type="dxa"/>
          </w:tcPr>
          <w:p w14:paraId="219FCC92">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w:t>
            </w:r>
          </w:p>
        </w:tc>
        <w:tc>
          <w:tcPr>
            <w:tcW w:w="1949" w:type="dxa"/>
          </w:tcPr>
          <w:p w14:paraId="3EDD045D">
            <w:pPr>
              <w:spacing w:after="0" w:line="252" w:lineRule="auto"/>
              <w:rPr>
                <w:rFonts w:hint="default" w:ascii="Times New Roman" w:hAnsi="Times New Roman" w:eastAsia="宋体" w:cs="Times New Roman"/>
              </w:rPr>
            </w:pPr>
          </w:p>
        </w:tc>
      </w:tr>
      <w:tr w14:paraId="22B2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0148E9BA">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T11</w:t>
            </w:r>
          </w:p>
        </w:tc>
        <w:tc>
          <w:tcPr>
            <w:tcW w:w="1949" w:type="dxa"/>
          </w:tcPr>
          <w:p w14:paraId="2A148AA9">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231BDE2B">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培养转阴比例（W8/W16/M6等）</w:t>
            </w:r>
          </w:p>
        </w:tc>
        <w:tc>
          <w:tcPr>
            <w:tcW w:w="1949" w:type="dxa"/>
          </w:tcPr>
          <w:p w14:paraId="0E7473B2">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w:t>
            </w:r>
          </w:p>
        </w:tc>
        <w:tc>
          <w:tcPr>
            <w:tcW w:w="1949" w:type="dxa"/>
          </w:tcPr>
          <w:p w14:paraId="02074142">
            <w:pPr>
              <w:spacing w:after="0" w:line="252" w:lineRule="auto"/>
              <w:rPr>
                <w:rFonts w:hint="default" w:ascii="Times New Roman" w:hAnsi="Times New Roman" w:eastAsia="宋体" w:cs="Times New Roman"/>
              </w:rPr>
            </w:pPr>
          </w:p>
        </w:tc>
      </w:tr>
      <w:tr w14:paraId="297EC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6F5E4555">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T12</w:t>
            </w:r>
          </w:p>
        </w:tc>
        <w:tc>
          <w:tcPr>
            <w:tcW w:w="1949" w:type="dxa"/>
          </w:tcPr>
          <w:p w14:paraId="17B335BA">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5633E511">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复发/再感染/失败的时间-事件结果（HR等）</w:t>
            </w:r>
          </w:p>
        </w:tc>
        <w:tc>
          <w:tcPr>
            <w:tcW w:w="1949" w:type="dxa"/>
          </w:tcPr>
          <w:p w14:paraId="70FB38AF">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w:t>
            </w:r>
          </w:p>
        </w:tc>
        <w:tc>
          <w:tcPr>
            <w:tcW w:w="1949" w:type="dxa"/>
          </w:tcPr>
          <w:p w14:paraId="5CF0C067">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描述性</w:t>
            </w:r>
          </w:p>
        </w:tc>
      </w:tr>
      <w:tr w14:paraId="3E9B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0EF896A3">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T13</w:t>
            </w:r>
          </w:p>
        </w:tc>
        <w:tc>
          <w:tcPr>
            <w:tcW w:w="1949" w:type="dxa"/>
          </w:tcPr>
          <w:p w14:paraId="07997C03">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088D0E6C">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影像学终点（评分变化、空洞闭合）</w:t>
            </w:r>
          </w:p>
        </w:tc>
        <w:tc>
          <w:tcPr>
            <w:tcW w:w="1949" w:type="dxa"/>
          </w:tcPr>
          <w:p w14:paraId="24BBA29D">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w:t>
            </w:r>
          </w:p>
        </w:tc>
        <w:tc>
          <w:tcPr>
            <w:tcW w:w="1949" w:type="dxa"/>
          </w:tcPr>
          <w:p w14:paraId="7EC16BA6">
            <w:pPr>
              <w:spacing w:after="0" w:line="252" w:lineRule="auto"/>
              <w:rPr>
                <w:rFonts w:hint="default" w:ascii="Times New Roman" w:hAnsi="Times New Roman" w:eastAsia="宋体" w:cs="Times New Roman"/>
              </w:rPr>
            </w:pPr>
          </w:p>
        </w:tc>
      </w:tr>
      <w:tr w14:paraId="39FA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47F54514">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T14</w:t>
            </w:r>
          </w:p>
        </w:tc>
        <w:tc>
          <w:tcPr>
            <w:tcW w:w="1949" w:type="dxa"/>
          </w:tcPr>
          <w:p w14:paraId="1D16312F">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6E62DEB5">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TB-DM支持性终点（HbA1c变化、低血糖事件等）</w:t>
            </w:r>
          </w:p>
        </w:tc>
        <w:tc>
          <w:tcPr>
            <w:tcW w:w="1949" w:type="dxa"/>
          </w:tcPr>
          <w:p w14:paraId="48B9C7FB">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ITT/SS</w:t>
            </w:r>
          </w:p>
        </w:tc>
        <w:tc>
          <w:tcPr>
            <w:tcW w:w="1949" w:type="dxa"/>
          </w:tcPr>
          <w:p w14:paraId="69278AE5">
            <w:pPr>
              <w:spacing w:after="0" w:line="252" w:lineRule="auto"/>
              <w:rPr>
                <w:rFonts w:hint="default" w:ascii="Times New Roman" w:hAnsi="Times New Roman" w:eastAsia="宋体" w:cs="Times New Roman"/>
              </w:rPr>
            </w:pPr>
          </w:p>
        </w:tc>
      </w:tr>
      <w:tr w14:paraId="7330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1184D9F7">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T15</w:t>
            </w:r>
          </w:p>
        </w:tc>
        <w:tc>
          <w:tcPr>
            <w:tcW w:w="1949" w:type="dxa"/>
          </w:tcPr>
          <w:p w14:paraId="03B6A25C">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61D91DE6">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主要安全性终点（52周）：SAE、≥3级AE、AESI</w:t>
            </w:r>
          </w:p>
        </w:tc>
        <w:tc>
          <w:tcPr>
            <w:tcW w:w="1949" w:type="dxa"/>
          </w:tcPr>
          <w:p w14:paraId="17F76F93">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SS</w:t>
            </w:r>
          </w:p>
        </w:tc>
        <w:tc>
          <w:tcPr>
            <w:tcW w:w="1949" w:type="dxa"/>
          </w:tcPr>
          <w:p w14:paraId="7810B566">
            <w:pPr>
              <w:spacing w:after="0" w:line="252" w:lineRule="auto"/>
              <w:rPr>
                <w:rFonts w:hint="default" w:ascii="Times New Roman" w:hAnsi="Times New Roman" w:eastAsia="宋体" w:cs="Times New Roman"/>
              </w:rPr>
            </w:pPr>
          </w:p>
        </w:tc>
      </w:tr>
      <w:tr w14:paraId="221B9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0A1B33EF">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T16</w:t>
            </w:r>
          </w:p>
        </w:tc>
        <w:tc>
          <w:tcPr>
            <w:tcW w:w="1949" w:type="dxa"/>
          </w:tcPr>
          <w:p w14:paraId="35130CC0">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7188D14B">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次要安全性窗口（26周、78周）</w:t>
            </w:r>
          </w:p>
        </w:tc>
        <w:tc>
          <w:tcPr>
            <w:tcW w:w="1949" w:type="dxa"/>
          </w:tcPr>
          <w:p w14:paraId="45E458D7">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SS</w:t>
            </w:r>
          </w:p>
        </w:tc>
        <w:tc>
          <w:tcPr>
            <w:tcW w:w="1949" w:type="dxa"/>
          </w:tcPr>
          <w:p w14:paraId="1128F4D1">
            <w:pPr>
              <w:spacing w:after="0" w:line="252" w:lineRule="auto"/>
              <w:rPr>
                <w:rFonts w:hint="default" w:ascii="Times New Roman" w:hAnsi="Times New Roman" w:eastAsia="宋体" w:cs="Times New Roman"/>
              </w:rPr>
            </w:pPr>
          </w:p>
        </w:tc>
      </w:tr>
      <w:tr w14:paraId="19D0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51A25901">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T17</w:t>
            </w:r>
          </w:p>
        </w:tc>
        <w:tc>
          <w:tcPr>
            <w:tcW w:w="1949" w:type="dxa"/>
          </w:tcPr>
          <w:p w14:paraId="18EB3F7D">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4558E366">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重点毒性专题：肝损伤、QTcF延长、神经/眼毒性、骨髓抑制</w:t>
            </w:r>
          </w:p>
        </w:tc>
        <w:tc>
          <w:tcPr>
            <w:tcW w:w="1949" w:type="dxa"/>
          </w:tcPr>
          <w:p w14:paraId="1AAEA18F">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SS</w:t>
            </w:r>
          </w:p>
        </w:tc>
        <w:tc>
          <w:tcPr>
            <w:tcW w:w="1949" w:type="dxa"/>
          </w:tcPr>
          <w:p w14:paraId="5EA75F30">
            <w:pPr>
              <w:spacing w:after="0" w:line="252" w:lineRule="auto"/>
              <w:rPr>
                <w:rFonts w:hint="default" w:ascii="Times New Roman" w:hAnsi="Times New Roman" w:eastAsia="宋体" w:cs="Times New Roman"/>
              </w:rPr>
            </w:pPr>
          </w:p>
        </w:tc>
      </w:tr>
      <w:tr w14:paraId="4FD28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18DF9FAE">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T18</w:t>
            </w:r>
          </w:p>
        </w:tc>
        <w:tc>
          <w:tcPr>
            <w:tcW w:w="1949" w:type="dxa"/>
          </w:tcPr>
          <w:p w14:paraId="1A097DC1">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Table</w:t>
            </w:r>
          </w:p>
        </w:tc>
        <w:tc>
          <w:tcPr>
            <w:tcW w:w="1949" w:type="dxa"/>
          </w:tcPr>
          <w:p w14:paraId="6331952E">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实验室与心电分级变化汇总</w:t>
            </w:r>
          </w:p>
        </w:tc>
        <w:tc>
          <w:tcPr>
            <w:tcW w:w="1949" w:type="dxa"/>
          </w:tcPr>
          <w:p w14:paraId="43549CDD">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SS</w:t>
            </w:r>
          </w:p>
        </w:tc>
        <w:tc>
          <w:tcPr>
            <w:tcW w:w="1949" w:type="dxa"/>
          </w:tcPr>
          <w:p w14:paraId="34EA44B4">
            <w:pPr>
              <w:spacing w:after="0" w:line="252" w:lineRule="auto"/>
              <w:rPr>
                <w:rFonts w:hint="default" w:ascii="Times New Roman" w:hAnsi="Times New Roman" w:eastAsia="宋体" w:cs="Times New Roman"/>
              </w:rPr>
            </w:pPr>
          </w:p>
        </w:tc>
      </w:tr>
      <w:tr w14:paraId="29089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137B7992">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F1</w:t>
            </w:r>
          </w:p>
        </w:tc>
        <w:tc>
          <w:tcPr>
            <w:tcW w:w="1949" w:type="dxa"/>
          </w:tcPr>
          <w:p w14:paraId="5BE1F905">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Figure</w:t>
            </w:r>
          </w:p>
        </w:tc>
        <w:tc>
          <w:tcPr>
            <w:tcW w:w="1949" w:type="dxa"/>
          </w:tcPr>
          <w:p w14:paraId="3170946A">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CONSORT流程图（队列A与队列B）</w:t>
            </w:r>
          </w:p>
        </w:tc>
        <w:tc>
          <w:tcPr>
            <w:tcW w:w="1949" w:type="dxa"/>
          </w:tcPr>
          <w:p w14:paraId="47CC7547">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All</w:t>
            </w:r>
          </w:p>
        </w:tc>
        <w:tc>
          <w:tcPr>
            <w:tcW w:w="1949" w:type="dxa"/>
          </w:tcPr>
          <w:p w14:paraId="6CF8F119">
            <w:pPr>
              <w:spacing w:after="0" w:line="252" w:lineRule="auto"/>
              <w:rPr>
                <w:rFonts w:hint="default" w:ascii="Times New Roman" w:hAnsi="Times New Roman" w:eastAsia="宋体" w:cs="Times New Roman"/>
              </w:rPr>
            </w:pPr>
          </w:p>
        </w:tc>
      </w:tr>
      <w:tr w14:paraId="0F81B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30F54464">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F2A</w:t>
            </w:r>
          </w:p>
        </w:tc>
        <w:tc>
          <w:tcPr>
            <w:tcW w:w="1949" w:type="dxa"/>
          </w:tcPr>
          <w:p w14:paraId="76058EFF">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Figure</w:t>
            </w:r>
          </w:p>
        </w:tc>
        <w:tc>
          <w:tcPr>
            <w:tcW w:w="1949" w:type="dxa"/>
          </w:tcPr>
          <w:p w14:paraId="777714C3">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主要终点RD森林图（队列A两比较）</w:t>
            </w:r>
          </w:p>
        </w:tc>
        <w:tc>
          <w:tcPr>
            <w:tcW w:w="1949" w:type="dxa"/>
          </w:tcPr>
          <w:p w14:paraId="28C2FE02">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w:t>
            </w:r>
          </w:p>
        </w:tc>
        <w:tc>
          <w:tcPr>
            <w:tcW w:w="1949" w:type="dxa"/>
          </w:tcPr>
          <w:p w14:paraId="2629E46E">
            <w:pPr>
              <w:spacing w:after="0" w:line="252" w:lineRule="auto"/>
              <w:rPr>
                <w:rFonts w:hint="default" w:ascii="Times New Roman" w:hAnsi="Times New Roman" w:eastAsia="宋体" w:cs="Times New Roman"/>
              </w:rPr>
            </w:pPr>
          </w:p>
        </w:tc>
      </w:tr>
      <w:tr w14:paraId="7A808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59786717">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F2B</w:t>
            </w:r>
          </w:p>
        </w:tc>
        <w:tc>
          <w:tcPr>
            <w:tcW w:w="1949" w:type="dxa"/>
          </w:tcPr>
          <w:p w14:paraId="4B0C4011">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Figure</w:t>
            </w:r>
          </w:p>
        </w:tc>
        <w:tc>
          <w:tcPr>
            <w:tcW w:w="1949" w:type="dxa"/>
          </w:tcPr>
          <w:p w14:paraId="05814FAA">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主要终点RD森林图（队列B）</w:t>
            </w:r>
          </w:p>
        </w:tc>
        <w:tc>
          <w:tcPr>
            <w:tcW w:w="1949" w:type="dxa"/>
          </w:tcPr>
          <w:p w14:paraId="2C7E399E">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ITT（队列B）</w:t>
            </w:r>
          </w:p>
        </w:tc>
        <w:tc>
          <w:tcPr>
            <w:tcW w:w="1949" w:type="dxa"/>
          </w:tcPr>
          <w:p w14:paraId="586AE538">
            <w:pPr>
              <w:spacing w:after="0" w:line="252" w:lineRule="auto"/>
              <w:rPr>
                <w:rFonts w:hint="default" w:ascii="Times New Roman" w:hAnsi="Times New Roman" w:eastAsia="宋体" w:cs="Times New Roman"/>
              </w:rPr>
            </w:pPr>
          </w:p>
        </w:tc>
      </w:tr>
      <w:tr w14:paraId="55508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52AEA528">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F3</w:t>
            </w:r>
          </w:p>
        </w:tc>
        <w:tc>
          <w:tcPr>
            <w:tcW w:w="1949" w:type="dxa"/>
          </w:tcPr>
          <w:p w14:paraId="31BF335D">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Figure</w:t>
            </w:r>
          </w:p>
        </w:tc>
        <w:tc>
          <w:tcPr>
            <w:tcW w:w="1949" w:type="dxa"/>
          </w:tcPr>
          <w:p w14:paraId="538FA681">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复发/失败时间-事件Kaplan-Meier曲线（EOT起点）</w:t>
            </w:r>
          </w:p>
        </w:tc>
        <w:tc>
          <w:tcPr>
            <w:tcW w:w="1949" w:type="dxa"/>
          </w:tcPr>
          <w:p w14:paraId="6A6029EA">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w:t>
            </w:r>
          </w:p>
        </w:tc>
        <w:tc>
          <w:tcPr>
            <w:tcW w:w="1949" w:type="dxa"/>
          </w:tcPr>
          <w:p w14:paraId="2278B007">
            <w:pPr>
              <w:spacing w:after="0" w:line="252" w:lineRule="auto"/>
              <w:rPr>
                <w:rFonts w:hint="default" w:ascii="Times New Roman" w:hAnsi="Times New Roman" w:eastAsia="宋体" w:cs="Times New Roman"/>
              </w:rPr>
            </w:pPr>
          </w:p>
        </w:tc>
      </w:tr>
      <w:tr w14:paraId="0F50B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18DDF0D2">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F4</w:t>
            </w:r>
          </w:p>
        </w:tc>
        <w:tc>
          <w:tcPr>
            <w:tcW w:w="1949" w:type="dxa"/>
          </w:tcPr>
          <w:p w14:paraId="5DF414AB">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Figure</w:t>
            </w:r>
          </w:p>
        </w:tc>
        <w:tc>
          <w:tcPr>
            <w:tcW w:w="1949" w:type="dxa"/>
          </w:tcPr>
          <w:p w14:paraId="24227553">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培养转阴Kaplan-Meier曲线</w:t>
            </w:r>
          </w:p>
        </w:tc>
        <w:tc>
          <w:tcPr>
            <w:tcW w:w="1949" w:type="dxa"/>
          </w:tcPr>
          <w:p w14:paraId="7B901756">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w:t>
            </w:r>
          </w:p>
        </w:tc>
        <w:tc>
          <w:tcPr>
            <w:tcW w:w="1949" w:type="dxa"/>
          </w:tcPr>
          <w:p w14:paraId="50E989DC">
            <w:pPr>
              <w:spacing w:after="0" w:line="252" w:lineRule="auto"/>
              <w:rPr>
                <w:rFonts w:hint="default" w:ascii="Times New Roman" w:hAnsi="Times New Roman" w:eastAsia="宋体" w:cs="Times New Roman"/>
              </w:rPr>
            </w:pPr>
          </w:p>
        </w:tc>
      </w:tr>
      <w:tr w14:paraId="6F65B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62E40747">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L1</w:t>
            </w:r>
          </w:p>
        </w:tc>
        <w:tc>
          <w:tcPr>
            <w:tcW w:w="1949" w:type="dxa"/>
          </w:tcPr>
          <w:p w14:paraId="62802C22">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Listing</w:t>
            </w:r>
          </w:p>
        </w:tc>
        <w:tc>
          <w:tcPr>
            <w:tcW w:w="1949" w:type="dxa"/>
          </w:tcPr>
          <w:p w14:paraId="72BA8ED2">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主要终点失败与CEC裁决明细</w:t>
            </w:r>
          </w:p>
        </w:tc>
        <w:tc>
          <w:tcPr>
            <w:tcW w:w="1949" w:type="dxa"/>
          </w:tcPr>
          <w:p w14:paraId="3915A2CA">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w:t>
            </w:r>
          </w:p>
        </w:tc>
        <w:tc>
          <w:tcPr>
            <w:tcW w:w="1949" w:type="dxa"/>
          </w:tcPr>
          <w:p w14:paraId="3E899A47">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含事件日期、证据等级</w:t>
            </w:r>
          </w:p>
        </w:tc>
      </w:tr>
      <w:tr w14:paraId="02D8D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5414C55F">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L2</w:t>
            </w:r>
          </w:p>
        </w:tc>
        <w:tc>
          <w:tcPr>
            <w:tcW w:w="1949" w:type="dxa"/>
          </w:tcPr>
          <w:p w14:paraId="67BF0FCE">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Listing</w:t>
            </w:r>
          </w:p>
        </w:tc>
        <w:tc>
          <w:tcPr>
            <w:tcW w:w="1949" w:type="dxa"/>
          </w:tcPr>
          <w:p w14:paraId="2C5001AE">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SAE明细与叙述</w:t>
            </w:r>
          </w:p>
        </w:tc>
        <w:tc>
          <w:tcPr>
            <w:tcW w:w="1949" w:type="dxa"/>
          </w:tcPr>
          <w:p w14:paraId="6FDE4058">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SS</w:t>
            </w:r>
          </w:p>
        </w:tc>
        <w:tc>
          <w:tcPr>
            <w:tcW w:w="1949" w:type="dxa"/>
          </w:tcPr>
          <w:p w14:paraId="652C56DE">
            <w:pPr>
              <w:spacing w:after="0" w:line="252" w:lineRule="auto"/>
              <w:rPr>
                <w:rFonts w:hint="default" w:ascii="Times New Roman" w:hAnsi="Times New Roman" w:eastAsia="宋体" w:cs="Times New Roman"/>
              </w:rPr>
            </w:pPr>
          </w:p>
        </w:tc>
      </w:tr>
      <w:tr w14:paraId="4BE6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67ECEB4A">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L3</w:t>
            </w:r>
          </w:p>
        </w:tc>
        <w:tc>
          <w:tcPr>
            <w:tcW w:w="1949" w:type="dxa"/>
          </w:tcPr>
          <w:p w14:paraId="2386851F">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Listing</w:t>
            </w:r>
          </w:p>
        </w:tc>
        <w:tc>
          <w:tcPr>
            <w:tcW w:w="1949" w:type="dxa"/>
          </w:tcPr>
          <w:p w14:paraId="45E6EB19">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重大方案偏差清单</w:t>
            </w:r>
          </w:p>
        </w:tc>
        <w:tc>
          <w:tcPr>
            <w:tcW w:w="1949" w:type="dxa"/>
          </w:tcPr>
          <w:p w14:paraId="7455F60E">
            <w:pPr>
              <w:spacing w:after="0" w:line="252" w:lineRule="auto"/>
              <w:rPr>
                <w:rFonts w:hint="default" w:ascii="Times New Roman" w:hAnsi="Times New Roman" w:eastAsia="宋体" w:cs="Times New Roman"/>
              </w:rPr>
            </w:pPr>
            <w:r>
              <w:rPr>
                <w:rFonts w:hint="default" w:ascii="Times New Roman" w:hAnsi="Times New Roman" w:eastAsia="宋体" w:cs="Times New Roman"/>
                <w:sz w:val="18"/>
              </w:rPr>
              <w:t>ITT/PP</w:t>
            </w:r>
          </w:p>
        </w:tc>
        <w:tc>
          <w:tcPr>
            <w:tcW w:w="1949" w:type="dxa"/>
          </w:tcPr>
          <w:p w14:paraId="15B8A6B6">
            <w:pPr>
              <w:spacing w:after="0" w:line="252" w:lineRule="auto"/>
              <w:rPr>
                <w:rFonts w:hint="default" w:ascii="Times New Roman" w:hAnsi="Times New Roman" w:eastAsia="宋体" w:cs="Times New Roman"/>
              </w:rPr>
            </w:pPr>
          </w:p>
        </w:tc>
      </w:tr>
    </w:tbl>
    <w:p w14:paraId="59EAA49C">
      <w:pPr>
        <w:pStyle w:val="3"/>
        <w:rPr>
          <w:rFonts w:hint="default" w:ascii="Times New Roman" w:hAnsi="Times New Roman" w:eastAsia="宋体" w:cs="Times New Roman"/>
        </w:rPr>
      </w:pPr>
      <w:r>
        <w:rPr>
          <w:rFonts w:hint="default" w:ascii="Times New Roman" w:hAnsi="Times New Roman" w:eastAsia="宋体" w:cs="Times New Roman"/>
        </w:rPr>
        <w:t>15 参考文献与附录</w:t>
      </w:r>
    </w:p>
    <w:p w14:paraId="4618284A">
      <w:pPr>
        <w:pStyle w:val="4"/>
        <w:rPr>
          <w:rFonts w:hint="default" w:ascii="Times New Roman" w:hAnsi="Times New Roman" w:eastAsia="宋体" w:cs="Times New Roman"/>
        </w:rPr>
      </w:pPr>
      <w:r>
        <w:rPr>
          <w:rFonts w:hint="default" w:ascii="Times New Roman" w:hAnsi="Times New Roman" w:eastAsia="宋体" w:cs="Times New Roman"/>
        </w:rPr>
        <w:t>15.1 参考文献（建议）</w:t>
      </w:r>
    </w:p>
    <w:p w14:paraId="295B3E45">
      <w:pPr>
        <w:pStyle w:val="14"/>
        <w:spacing w:line="276" w:lineRule="auto"/>
        <w:rPr>
          <w:rFonts w:hint="default" w:ascii="Times New Roman" w:hAnsi="Times New Roman" w:eastAsia="宋体" w:cs="Times New Roman"/>
        </w:rPr>
      </w:pPr>
      <w:r>
        <w:rPr>
          <w:rFonts w:hint="default" w:ascii="Times New Roman" w:hAnsi="Times New Roman" w:eastAsia="宋体" w:cs="Times New Roman"/>
        </w:rPr>
        <w:t>ICH E9(R1). Statistical Principles for Clinical Trials: Addendum on Estimands and Sensitivity Analysis.</w:t>
      </w:r>
    </w:p>
    <w:p w14:paraId="5E1F11FC">
      <w:pPr>
        <w:pStyle w:val="14"/>
        <w:spacing w:line="276" w:lineRule="auto"/>
        <w:rPr>
          <w:rFonts w:hint="default" w:ascii="Times New Roman" w:hAnsi="Times New Roman" w:eastAsia="宋体" w:cs="Times New Roman"/>
        </w:rPr>
      </w:pPr>
      <w:r>
        <w:rPr>
          <w:rFonts w:hint="default" w:ascii="Times New Roman" w:hAnsi="Times New Roman" w:eastAsia="宋体" w:cs="Times New Roman"/>
        </w:rPr>
        <w:t>DAIDS. Table for Grading the Severity of Adult and Pediatric Adverse Events (latest available version at study start).</w:t>
      </w:r>
    </w:p>
    <w:p w14:paraId="2D692783">
      <w:pPr>
        <w:pStyle w:val="14"/>
        <w:spacing w:line="276" w:lineRule="auto"/>
        <w:rPr>
          <w:rFonts w:hint="default" w:ascii="Times New Roman" w:hAnsi="Times New Roman" w:eastAsia="宋体" w:cs="Times New Roman"/>
        </w:rPr>
      </w:pPr>
      <w:r>
        <w:rPr>
          <w:rFonts w:hint="default" w:ascii="Times New Roman" w:hAnsi="Times New Roman" w:eastAsia="宋体" w:cs="Times New Roman"/>
        </w:rPr>
        <w:t>PRO-CTCAE Measurement System (NCI).</w:t>
      </w:r>
    </w:p>
    <w:p w14:paraId="060D84E3">
      <w:pPr>
        <w:pStyle w:val="14"/>
        <w:spacing w:line="276" w:lineRule="auto"/>
        <w:rPr>
          <w:rFonts w:hint="default" w:ascii="Times New Roman" w:hAnsi="Times New Roman" w:eastAsia="宋体" w:cs="Times New Roman"/>
        </w:rPr>
      </w:pPr>
      <w:r>
        <w:rPr>
          <w:rFonts w:hint="default" w:ascii="Times New Roman" w:hAnsi="Times New Roman" w:eastAsia="宋体" w:cs="Times New Roman"/>
        </w:rPr>
        <w:t>CONSORT 2010 Statement for reporting randomized trials; extensions as applicable.</w:t>
      </w:r>
    </w:p>
    <w:p w14:paraId="10DB7A73">
      <w:pPr>
        <w:pStyle w:val="14"/>
        <w:spacing w:line="276" w:lineRule="auto"/>
        <w:rPr>
          <w:rFonts w:hint="default" w:ascii="Times New Roman" w:hAnsi="Times New Roman" w:eastAsia="宋体" w:cs="Times New Roman"/>
        </w:rPr>
      </w:pPr>
      <w:r>
        <w:rPr>
          <w:rFonts w:hint="default" w:ascii="Times New Roman" w:hAnsi="Times New Roman" w:eastAsia="宋体" w:cs="Times New Roman"/>
        </w:rPr>
        <w:t>Relevant WHO Tuberculosis treatment guidelines referenced in the Protocol.</w:t>
      </w:r>
    </w:p>
    <w:p w14:paraId="734AF005">
      <w:pPr>
        <w:pStyle w:val="4"/>
        <w:rPr>
          <w:rFonts w:hint="default" w:ascii="Times New Roman" w:hAnsi="Times New Roman" w:eastAsia="宋体" w:cs="Times New Roman"/>
        </w:rPr>
      </w:pPr>
      <w:r>
        <w:rPr>
          <w:rFonts w:hint="default" w:ascii="Times New Roman" w:hAnsi="Times New Roman" w:eastAsia="宋体" w:cs="Times New Roman"/>
        </w:rPr>
        <w:t>15.2 附录（按需补充）</w:t>
      </w:r>
    </w:p>
    <w:p w14:paraId="2F2FF72D">
      <w:pPr>
        <w:spacing w:after="120" w:line="300" w:lineRule="auto"/>
        <w:rPr>
          <w:rFonts w:hint="default" w:ascii="Times New Roman" w:hAnsi="Times New Roman" w:eastAsia="宋体" w:cs="Times New Roman"/>
        </w:rPr>
      </w:pPr>
      <w:r>
        <w:rPr>
          <w:rFonts w:hint="default" w:ascii="Times New Roman" w:hAnsi="Times New Roman" w:eastAsia="宋体" w:cs="Times New Roman"/>
        </w:rPr>
        <w:t>附录A：主要终点衍生规则与优先级（事件日期、证据等级、时间窗）。</w:t>
      </w:r>
    </w:p>
    <w:p w14:paraId="0A1FF504">
      <w:pPr>
        <w:spacing w:after="120" w:line="300" w:lineRule="auto"/>
        <w:rPr>
          <w:rFonts w:hint="default" w:ascii="Times New Roman" w:hAnsi="Times New Roman" w:eastAsia="宋体" w:cs="Times New Roman"/>
        </w:rPr>
      </w:pPr>
      <w:r>
        <w:rPr>
          <w:rFonts w:hint="default" w:ascii="Times New Roman" w:hAnsi="Times New Roman" w:eastAsia="宋体" w:cs="Times New Roman"/>
        </w:rPr>
        <w:t>附录B：重大方案偏差判定表（用于PP集）。</w:t>
      </w:r>
    </w:p>
    <w:p w14:paraId="13A4B313">
      <w:pPr>
        <w:spacing w:after="120" w:line="300" w:lineRule="auto"/>
        <w:rPr>
          <w:rFonts w:hint="default" w:ascii="Times New Roman" w:hAnsi="Times New Roman" w:eastAsia="宋体" w:cs="Times New Roman"/>
        </w:rPr>
      </w:pPr>
      <w:r>
        <w:rPr>
          <w:rFonts w:hint="default" w:ascii="Times New Roman" w:hAnsi="Times New Roman" w:eastAsia="宋体" w:cs="Times New Roman"/>
        </w:rPr>
        <w:t>附录C：中期分析界值计算说明（α消耗参数、信息量定义）。</w:t>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DC3316"/>
    <w:rsid w:val="37AD68CB"/>
    <w:rsid w:val="392342D1"/>
    <w:rsid w:val="40E85247"/>
    <w:rsid w:val="752169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Calibr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228</Words>
  <Characters>436</Characters>
  <Lines>0</Lines>
  <Paragraphs>0</Paragraphs>
  <TotalTime>2</TotalTime>
  <ScaleCrop>false</ScaleCrop>
  <LinksUpToDate>false</LinksUpToDate>
  <CharactersWithSpaces>453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付亮</cp:lastModifiedBy>
  <dcterms:modified xsi:type="dcterms:W3CDTF">2026-03-02T13:49:20Z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eyJoZGlkIjoiZTY1YTEzNzUzNjc3OTdhYTczZDYyMDcwZjdjMDcyY2UiLCJ1c2VySWQiOiIyMDkyMjY1MzMifQ==</vt:lpwstr>
  </property>
  <property fmtid="{D5CDD505-2E9C-101B-9397-08002B2CF9AE}" pid="3" name="KSOProductBuildVer">
    <vt:lpwstr>2052-12.1.0.25225</vt:lpwstr>
  </property>
  <property fmtid="{D5CDD505-2E9C-101B-9397-08002B2CF9AE}" pid="4" name="ICV">
    <vt:lpwstr>29D8CC80BF154A8CAC76E76C1F38281C_13</vt:lpwstr>
  </property>
</Properties>
</file>