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54B8B6">
      <w:pPr>
        <w:rPr>
          <w:rFonts w:hint="default"/>
          <w:b/>
          <w:bCs/>
          <w:lang w:eastAsia="zh-CN"/>
        </w:rPr>
      </w:pPr>
      <w:r>
        <w:rPr>
          <w:rFonts w:hint="default"/>
          <w:b/>
          <w:bCs/>
          <w:lang w:eastAsia="zh-CN"/>
        </w:rPr>
        <w:t>非随机化延续亚队列（Non-randomized Extension Subgroup, NRES；队列B适用）</w:t>
      </w:r>
    </w:p>
    <w:p w14:paraId="0104F7D1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6个月疗效不达标而需要延长疗程至9个月的受试者</w:t>
      </w:r>
    </w:p>
    <w:p w14:paraId="6B4AE1EE">
      <w:pPr>
        <w:rPr>
          <w:rFonts w:hint="default"/>
          <w:lang w:eastAsia="zh-CN"/>
        </w:rPr>
      </w:pPr>
    </w:p>
    <w:p w14:paraId="515D812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建议写入 EDC/CR</w:t>
      </w:r>
      <w:bookmarkStart w:id="0" w:name="_GoBack"/>
      <w:bookmarkEnd w:id="0"/>
      <w:r>
        <w:rPr>
          <w:rFonts w:hint="default"/>
          <w:lang w:eastAsia="zh-CN"/>
        </w:rPr>
        <w:t>F 规格书的字段要求</w:t>
      </w:r>
    </w:p>
    <w:p w14:paraId="22E11080">
      <w:pPr>
        <w:rPr>
          <w:rFonts w:hint="default"/>
          <w:lang w:eastAsia="zh-CN"/>
        </w:rPr>
      </w:pPr>
    </w:p>
    <w:p w14:paraId="7629791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这是最值得现在就锁定的部分。现有方案只写到“结构化记录未达标原因（微生物学或其他原因）”，我建议把它扩成真正可分析的数据结构。</w:t>
      </w:r>
    </w:p>
    <w:p w14:paraId="14DB556B">
      <w:pPr>
        <w:rPr>
          <w:rFonts w:hint="default"/>
          <w:lang w:eastAsia="zh-CN"/>
        </w:rPr>
      </w:pPr>
    </w:p>
    <w:p w14:paraId="4BE4C9B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TDSC_研究方案 V2.0 2026-02-28</w:t>
      </w:r>
    </w:p>
    <w:p w14:paraId="43224EC7">
      <w:pPr>
        <w:rPr>
          <w:rFonts w:hint="default"/>
          <w:lang w:eastAsia="zh-CN"/>
        </w:rPr>
      </w:pPr>
    </w:p>
    <w:p w14:paraId="385D1BB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可直接写进数据管理文件的字段框架</w:t>
      </w:r>
    </w:p>
    <w:p w14:paraId="1C64787E">
      <w:pPr>
        <w:rPr>
          <w:rFonts w:hint="default"/>
          <w:lang w:eastAsia="zh-CN"/>
        </w:rPr>
      </w:pPr>
    </w:p>
    <w:p w14:paraId="034B3F8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（A）Gate 评估结论</w:t>
      </w:r>
    </w:p>
    <w:p w14:paraId="2B20C20E">
      <w:pPr>
        <w:rPr>
          <w:rFonts w:hint="default"/>
          <w:lang w:eastAsia="zh-CN"/>
        </w:rPr>
      </w:pPr>
    </w:p>
    <w:p w14:paraId="54E4E4F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通过 Hard Gate</w:t>
      </w:r>
    </w:p>
    <w:p w14:paraId="70A8E755">
      <w:pPr>
        <w:rPr>
          <w:rFonts w:hint="default"/>
          <w:lang w:eastAsia="zh-CN"/>
        </w:rPr>
      </w:pPr>
    </w:p>
    <w:p w14:paraId="718D3F3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未通过 Hard Gate</w:t>
      </w:r>
    </w:p>
    <w:p w14:paraId="45091FF4">
      <w:pPr>
        <w:rPr>
          <w:rFonts w:hint="default"/>
          <w:lang w:eastAsia="zh-CN"/>
        </w:rPr>
      </w:pPr>
    </w:p>
    <w:p w14:paraId="7EDD679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无法完成/无法评价 Hard Gate</w:t>
      </w:r>
    </w:p>
    <w:p w14:paraId="116DE298">
      <w:pPr>
        <w:rPr>
          <w:rFonts w:hint="default"/>
          <w:lang w:eastAsia="zh-CN"/>
        </w:rPr>
      </w:pPr>
    </w:p>
    <w:p w14:paraId="22CF882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（B）未通过或未评价的主要原因（单选）</w:t>
      </w:r>
    </w:p>
    <w:p w14:paraId="1A50E56B">
      <w:pPr>
        <w:rPr>
          <w:rFonts w:hint="default"/>
          <w:lang w:eastAsia="zh-CN"/>
        </w:rPr>
      </w:pPr>
    </w:p>
    <w:p w14:paraId="69D3D0F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培养仍阳性</w:t>
      </w:r>
    </w:p>
    <w:p w14:paraId="74767931">
      <w:pPr>
        <w:rPr>
          <w:rFonts w:hint="default"/>
          <w:lang w:eastAsia="zh-CN"/>
        </w:rPr>
      </w:pPr>
    </w:p>
    <w:p w14:paraId="7C1B224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阴性培养次数不足 2 次</w:t>
      </w:r>
    </w:p>
    <w:p w14:paraId="0CD082F4">
      <w:pPr>
        <w:rPr>
          <w:rFonts w:hint="default"/>
          <w:lang w:eastAsia="zh-CN"/>
        </w:rPr>
      </w:pPr>
    </w:p>
    <w:p w14:paraId="311E024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两次阴性培养间隔不足 7 天</w:t>
      </w:r>
    </w:p>
    <w:p w14:paraId="4971E05D">
      <w:pPr>
        <w:rPr>
          <w:rFonts w:hint="default"/>
          <w:lang w:eastAsia="zh-CN"/>
        </w:rPr>
      </w:pPr>
    </w:p>
    <w:p w14:paraId="3083773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M4–M6 期间出现复阳</w:t>
      </w:r>
    </w:p>
    <w:p w14:paraId="4005AE10">
      <w:pPr>
        <w:rPr>
          <w:rFonts w:hint="default"/>
          <w:lang w:eastAsia="zh-CN"/>
        </w:rPr>
      </w:pPr>
    </w:p>
    <w:p w14:paraId="7D4B95C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无法获得可评价培养结果</w:t>
      </w:r>
    </w:p>
    <w:p w14:paraId="30DE1E46">
      <w:pPr>
        <w:rPr>
          <w:rFonts w:hint="default"/>
          <w:lang w:eastAsia="zh-CN"/>
        </w:rPr>
      </w:pPr>
    </w:p>
    <w:p w14:paraId="5873947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其他导致未进入随机化的预设原因</w:t>
      </w:r>
    </w:p>
    <w:p w14:paraId="21821E65">
      <w:pPr>
        <w:rPr>
          <w:rFonts w:hint="default"/>
          <w:lang w:eastAsia="zh-CN"/>
        </w:rPr>
      </w:pPr>
    </w:p>
    <w:p w14:paraId="0BA603F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（C）伴随原因（多选）</w:t>
      </w:r>
    </w:p>
    <w:p w14:paraId="62D4860A">
      <w:pPr>
        <w:rPr>
          <w:rFonts w:hint="default"/>
          <w:lang w:eastAsia="zh-CN"/>
        </w:rPr>
      </w:pPr>
    </w:p>
    <w:p w14:paraId="34F5EC7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无痰/诱导痰失败</w:t>
      </w:r>
    </w:p>
    <w:p w14:paraId="147CAF91">
      <w:pPr>
        <w:rPr>
          <w:rFonts w:hint="default"/>
          <w:lang w:eastAsia="zh-CN"/>
        </w:rPr>
      </w:pPr>
    </w:p>
    <w:p w14:paraId="1F7D3CF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样本污染或实验失败</w:t>
      </w:r>
    </w:p>
    <w:p w14:paraId="0AD2D362">
      <w:pPr>
        <w:rPr>
          <w:rFonts w:hint="default"/>
          <w:lang w:eastAsia="zh-CN"/>
        </w:rPr>
      </w:pPr>
    </w:p>
    <w:p w14:paraId="2599673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访视窗口偏离</w:t>
      </w:r>
    </w:p>
    <w:p w14:paraId="2623A02C">
      <w:pPr>
        <w:rPr>
          <w:rFonts w:hint="default"/>
          <w:lang w:eastAsia="zh-CN"/>
        </w:rPr>
      </w:pPr>
    </w:p>
    <w:p w14:paraId="0DC8603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依从性不足</w:t>
      </w:r>
    </w:p>
    <w:p w14:paraId="5E482479">
      <w:pPr>
        <w:rPr>
          <w:rFonts w:hint="default"/>
          <w:lang w:eastAsia="zh-CN"/>
        </w:rPr>
      </w:pPr>
    </w:p>
    <w:p w14:paraId="6F12463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不良事件/安全性顾虑</w:t>
      </w:r>
    </w:p>
    <w:p w14:paraId="17C69D70">
      <w:pPr>
        <w:rPr>
          <w:rFonts w:hint="default"/>
          <w:lang w:eastAsia="zh-CN"/>
        </w:rPr>
      </w:pPr>
    </w:p>
    <w:p w14:paraId="30A2B10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撤回同意</w:t>
      </w:r>
    </w:p>
    <w:p w14:paraId="4ACC505C">
      <w:pPr>
        <w:rPr>
          <w:rFonts w:hint="default"/>
          <w:lang w:eastAsia="zh-CN"/>
        </w:rPr>
      </w:pPr>
    </w:p>
    <w:p w14:paraId="0630B8F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转院/失访</w:t>
      </w:r>
    </w:p>
    <w:p w14:paraId="7C5477FC">
      <w:pPr>
        <w:rPr>
          <w:rFonts w:hint="default"/>
          <w:lang w:eastAsia="zh-CN"/>
        </w:rPr>
      </w:pPr>
    </w:p>
    <w:p w14:paraId="1C7FC87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合并症变化</w:t>
      </w:r>
    </w:p>
    <w:p w14:paraId="7FC505A3">
      <w:pPr>
        <w:rPr>
          <w:rFonts w:hint="default"/>
          <w:lang w:eastAsia="zh-CN"/>
        </w:rPr>
      </w:pPr>
    </w:p>
    <w:p w14:paraId="257D58D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研究者判断不宜随机</w:t>
      </w:r>
    </w:p>
    <w:p w14:paraId="1A79AAD4">
      <w:pPr>
        <w:rPr>
          <w:rFonts w:hint="default"/>
          <w:lang w:eastAsia="zh-CN"/>
        </w:rPr>
      </w:pPr>
    </w:p>
    <w:p w14:paraId="6114268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其他</w:t>
      </w:r>
    </w:p>
    <w:p w14:paraId="1E3DD673">
      <w:pPr>
        <w:rPr>
          <w:rFonts w:hint="default"/>
          <w:lang w:eastAsia="zh-CN"/>
        </w:rPr>
      </w:pPr>
    </w:p>
    <w:p w14:paraId="0DEB237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（D）证据级原始字段</w:t>
      </w:r>
    </w:p>
    <w:p w14:paraId="48C290DE">
      <w:pPr>
        <w:rPr>
          <w:rFonts w:hint="default"/>
          <w:lang w:eastAsia="zh-CN"/>
        </w:rPr>
      </w:pPr>
    </w:p>
    <w:p w14:paraId="6E5545E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M2–M6 各次培养日期</w:t>
      </w:r>
    </w:p>
    <w:p w14:paraId="0F325127">
      <w:pPr>
        <w:rPr>
          <w:rFonts w:hint="default"/>
          <w:lang w:eastAsia="zh-CN"/>
        </w:rPr>
      </w:pPr>
    </w:p>
    <w:p w14:paraId="177AB24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各次培养结果</w:t>
      </w:r>
    </w:p>
    <w:p w14:paraId="758109C1">
      <w:pPr>
        <w:rPr>
          <w:rFonts w:hint="default"/>
          <w:lang w:eastAsia="zh-CN"/>
        </w:rPr>
      </w:pPr>
    </w:p>
    <w:p w14:paraId="6A5CC9A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是否诱导痰</w:t>
      </w:r>
    </w:p>
    <w:p w14:paraId="35E1F4CD">
      <w:pPr>
        <w:rPr>
          <w:rFonts w:hint="default"/>
          <w:lang w:eastAsia="zh-CN"/>
        </w:rPr>
      </w:pPr>
    </w:p>
    <w:p w14:paraId="77CDA6F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是否有污染/无效样本</w:t>
      </w:r>
    </w:p>
    <w:p w14:paraId="57710DDF">
      <w:pPr>
        <w:rPr>
          <w:rFonts w:hint="default"/>
          <w:lang w:eastAsia="zh-CN"/>
        </w:rPr>
      </w:pPr>
    </w:p>
    <w:p w14:paraId="497EF8C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复阳日期</w:t>
      </w:r>
    </w:p>
    <w:p w14:paraId="3F23DF2C">
      <w:pPr>
        <w:rPr>
          <w:rFonts w:hint="default"/>
          <w:lang w:eastAsia="zh-CN"/>
        </w:rPr>
      </w:pPr>
    </w:p>
    <w:p w14:paraId="65D7151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M6 评估日期</w:t>
      </w:r>
    </w:p>
    <w:p w14:paraId="388BA8E8">
      <w:pPr>
        <w:rPr>
          <w:rFonts w:hint="default"/>
          <w:lang w:eastAsia="zh-CN"/>
        </w:rPr>
      </w:pPr>
    </w:p>
    <w:p w14:paraId="5350DB6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最终未随机日期</w:t>
      </w:r>
    </w:p>
    <w:p w14:paraId="2880E22D">
      <w:pPr>
        <w:rPr>
          <w:rFonts w:hint="default"/>
          <w:lang w:eastAsia="zh-CN"/>
        </w:rPr>
      </w:pPr>
    </w:p>
    <w:p w14:paraId="423BB06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后续治疗路径代码</w:t>
      </w:r>
    </w:p>
    <w:p w14:paraId="2E4CB82B">
      <w:pPr>
        <w:rPr>
          <w:rFonts w:hint="default"/>
          <w:lang w:eastAsia="zh-CN"/>
        </w:rPr>
      </w:pPr>
    </w:p>
    <w:p w14:paraId="63F01C8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这样做的核心价值在于：将来您不仅能回答“多少人没过 Gate”，还能回答“他们为什么没过，是疾病生物学问题，还是样本/流程问题”。这对未来规则优化非常关键。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1F625C45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Administrator</dc:creator>
  <cp:lastModifiedBy>付亮</cp:lastModifiedBy>
  <dcterms:modified xsi:type="dcterms:W3CDTF">2026-03-09T00:52:30Z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eyJoZGlkIjoiZTY1YTEzNzUzNjc3OTdhYTczZDYyMDcwZjdjMDcyY2UiLCJ1c2VySWQiOiIyMDkyMjY1MzMifQ==</vt:lpwstr>
  </property>
  <property fmtid="{D5CDD505-2E9C-101B-9397-08002B2CF9AE}" pid="6" name="ICV">
    <vt:lpwstr>5ACA76C172F9474D99B2201C06366F61_12</vt:lpwstr>
  </property>
</Properties>
</file>