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9CADC">
      <w:pPr>
        <w:pStyle w:val="31"/>
        <w:widowControl/>
      </w:pPr>
      <w:bookmarkStart w:id="0" w:name="_GoBack"/>
      <w:bookmarkEnd w:id="0"/>
      <w:r>
        <w:t>TDSC 研究</w:t>
      </w:r>
    </w:p>
    <w:p w14:paraId="6B217A5A">
      <w:pPr>
        <w:pStyle w:val="31"/>
        <w:widowControl/>
      </w:pPr>
      <w:r>
        <w:t>影像学资料的EDC构建实施指导手册 / SOP</w:t>
      </w:r>
    </w:p>
    <w:p w14:paraId="49F608E5">
      <w:pPr>
        <w:pStyle w:val="19"/>
        <w:widowControl/>
      </w:pPr>
      <w:r>
        <w:rPr>
          <w:b w:val="0"/>
          <w:i w:val="0"/>
          <w:color w:val="5A6E82"/>
        </w:rPr>
        <w:t>面向EDC工程师、数据管理团队、项目经理和研究协调团队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701"/>
        <w:gridCol w:w="2835"/>
      </w:tblGrid>
      <w:tr w14:paraId="10F36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989AC">
            <w:pPr>
              <w:pStyle w:val="172"/>
            </w:pPr>
            <w:r>
              <w:rPr>
                <w:rFonts w:ascii="Noto Sans CJK SC" w:hAnsi="Noto Sans CJK SC" w:eastAsia="Noto Sans CJK SC"/>
                <w:b/>
                <w:i w:val="0"/>
                <w:color w:val="23374D"/>
                <w:sz w:val="18"/>
              </w:rPr>
              <w:t>文件属性</w:t>
            </w:r>
          </w:p>
        </w:tc>
        <w:tc>
          <w:tcPr>
            <w:tcW w:w="2835" w:type="dxa"/>
            <w:shd w:val="clear" w:color="auto" w:fill="F9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37F0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color w:val="333333"/>
                <w:sz w:val="18"/>
              </w:rPr>
              <w:t>实施指导手册（建议版）</w:t>
            </w:r>
          </w:p>
        </w:tc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BF33">
            <w:pPr>
              <w:pStyle w:val="172"/>
            </w:pPr>
            <w:r>
              <w:rPr>
                <w:rFonts w:ascii="Noto Sans CJK SC" w:hAnsi="Noto Sans CJK SC" w:eastAsia="Noto Sans CJK SC"/>
                <w:b/>
                <w:i w:val="0"/>
                <w:color w:val="23374D"/>
                <w:sz w:val="18"/>
              </w:rPr>
              <w:t>受控文件编号</w:t>
            </w:r>
          </w:p>
        </w:tc>
        <w:tc>
          <w:tcPr>
            <w:tcW w:w="2835" w:type="dxa"/>
            <w:shd w:val="clear" w:color="auto" w:fill="F9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53FF4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color w:val="333333"/>
                <w:sz w:val="18"/>
              </w:rPr>
              <w:t>TDSC-EDC-SOP-Guide-v1.0</w:t>
            </w:r>
          </w:p>
        </w:tc>
      </w:tr>
      <w:tr w14:paraId="1924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5533E">
            <w:pPr>
              <w:pStyle w:val="172"/>
            </w:pPr>
            <w:r>
              <w:rPr>
                <w:rFonts w:ascii="Noto Sans CJK SC" w:hAnsi="Noto Sans CJK SC" w:eastAsia="Noto Sans CJK SC"/>
                <w:b/>
                <w:i w:val="0"/>
                <w:color w:val="23374D"/>
                <w:sz w:val="18"/>
              </w:rPr>
              <w:t>对应文件</w:t>
            </w:r>
          </w:p>
        </w:tc>
        <w:tc>
          <w:tcPr>
            <w:tcW w:w="2835" w:type="dxa"/>
            <w:shd w:val="clear" w:color="auto" w:fill="F9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34CF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color w:val="333333"/>
                <w:sz w:val="18"/>
              </w:rPr>
              <w:t>研究方案V2.0；SOP01 V1.2；两项影像子研究框架</w:t>
            </w:r>
          </w:p>
        </w:tc>
        <w:tc>
          <w:tcPr>
            <w:tcW w:w="1701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E8C90">
            <w:pPr>
              <w:pStyle w:val="172"/>
            </w:pPr>
            <w:r>
              <w:rPr>
                <w:rFonts w:ascii="Noto Sans CJK SC" w:hAnsi="Noto Sans CJK SC" w:eastAsia="Noto Sans CJK SC"/>
                <w:b/>
                <w:i w:val="0"/>
                <w:color w:val="23374D"/>
                <w:sz w:val="18"/>
              </w:rPr>
              <w:t>日期</w:t>
            </w:r>
          </w:p>
        </w:tc>
        <w:tc>
          <w:tcPr>
            <w:tcW w:w="2835" w:type="dxa"/>
            <w:shd w:val="clear" w:color="auto" w:fill="F9FB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413AE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color w:val="333333"/>
                <w:sz w:val="18"/>
              </w:rPr>
              <w:t>2026-03-11</w:t>
            </w:r>
          </w:p>
        </w:tc>
      </w:tr>
    </w:tbl>
    <w:p w14:paraId="4FAE9792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17B1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3F8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8978C9">
            <w:pPr>
              <w:pStyle w:val="173"/>
            </w:pPr>
            <w:r>
              <w:rPr>
                <w:rFonts w:ascii="Noto Sans CJK SC" w:hAnsi="Noto Sans CJK SC" w:eastAsia="Noto Sans CJK SC"/>
                <w:b w:val="0"/>
                <w:i w:val="0"/>
                <w:color w:val="2F3B4A"/>
                <w:sz w:val="19"/>
              </w:rPr>
              <w:t>本手册用于把 TDSC 研究方案、SOP01 和两项影像学嵌套子研究转化为 EDC 的可执行配置。核心目标不是“把所有研究信息都做进系统”，而是先把</w:t>
            </w:r>
            <w:r>
              <w:rPr>
                <w:rFonts w:ascii="Noto Sans CJK SC" w:hAnsi="Noto Sans CJK SC" w:eastAsia="Noto Sans CJK SC"/>
                <w:b/>
                <w:i w:val="0"/>
                <w:color w:val="0D4767"/>
                <w:sz w:val="19"/>
              </w:rPr>
              <w:t>实时决策字段</w:t>
            </w:r>
            <w:r>
              <w:rPr>
                <w:rFonts w:ascii="Noto Sans CJK SC" w:hAnsi="Noto Sans CJK SC" w:eastAsia="Noto Sans CJK SC"/>
                <w:b w:val="0"/>
                <w:i w:val="0"/>
                <w:color w:val="2F3B4A"/>
                <w:sz w:val="19"/>
              </w:rPr>
              <w:t>、</w:t>
            </w:r>
            <w:r>
              <w:rPr>
                <w:rFonts w:ascii="Noto Sans CJK SC" w:hAnsi="Noto Sans CJK SC" w:eastAsia="Noto Sans CJK SC"/>
                <w:b/>
                <w:i w:val="0"/>
                <w:color w:val="0D4767"/>
                <w:sz w:val="19"/>
              </w:rPr>
              <w:t>研究专用字段</w:t>
            </w:r>
            <w:r>
              <w:rPr>
                <w:rFonts w:ascii="Noto Sans CJK SC" w:hAnsi="Noto Sans CJK SC" w:eastAsia="Noto Sans CJK SC"/>
                <w:b w:val="0"/>
                <w:i w:val="0"/>
                <w:color w:val="2F3B4A"/>
                <w:sz w:val="19"/>
              </w:rPr>
              <w:t>、</w:t>
            </w:r>
            <w:r>
              <w:rPr>
                <w:rFonts w:ascii="Noto Sans CJK SC" w:hAnsi="Noto Sans CJK SC" w:eastAsia="Noto Sans CJK SC"/>
                <w:b/>
                <w:i w:val="0"/>
                <w:color w:val="0D4767"/>
                <w:sz w:val="19"/>
              </w:rPr>
              <w:t>隐藏字段</w:t>
            </w:r>
            <w:r>
              <w:rPr>
                <w:rFonts w:ascii="Noto Sans CJK SC" w:hAnsi="Noto Sans CJK SC" w:eastAsia="Noto Sans CJK SC"/>
                <w:b w:val="0"/>
                <w:i w:val="0"/>
                <w:color w:val="2F3B4A"/>
                <w:sz w:val="19"/>
              </w:rPr>
              <w:t>和</w:t>
            </w:r>
            <w:r>
              <w:rPr>
                <w:rFonts w:ascii="Noto Sans CJK SC" w:hAnsi="Noto Sans CJK SC" w:eastAsia="Noto Sans CJK SC"/>
                <w:b/>
                <w:i w:val="0"/>
                <w:color w:val="0D4767"/>
                <w:sz w:val="19"/>
              </w:rPr>
              <w:t>派生规则</w:t>
            </w:r>
            <w:r>
              <w:rPr>
                <w:rFonts w:ascii="Noto Sans CJK SC" w:hAnsi="Noto Sans CJK SC" w:eastAsia="Noto Sans CJK SC"/>
                <w:b w:val="0"/>
                <w:i w:val="0"/>
                <w:color w:val="2F3B4A"/>
                <w:sz w:val="19"/>
              </w:rPr>
              <w:t>彻底分开，确保基线分层、两次随机化、M6 Hard Gate、影像子研究与母研究边界清晰。</w:t>
            </w:r>
          </w:p>
        </w:tc>
      </w:tr>
    </w:tbl>
    <w:p w14:paraId="12D4DE4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编写目的与适用范围</w:t>
      </w:r>
    </w:p>
    <w:p w14:paraId="353EB55F">
      <w:pPr>
        <w:pStyle w:val="19"/>
        <w:widowControl/>
      </w:pPr>
      <w:r>
        <w:rPr>
          <w:b w:val="0"/>
          <w:i w:val="0"/>
        </w:rPr>
        <w:t>本手册用于向 EDC 工程师说明 TDSC 研究在系统实现上的总体需求、实施顺序、变量边界、逻辑校验和验收标准，作为项目经理（PM/PMO）、数据管理（DM）、统计、CRC、药师、实验室和影像团队之间的统一接口文件。</w:t>
      </w:r>
    </w:p>
    <w:p w14:paraId="357A44FB">
      <w:pPr>
        <w:pStyle w:val="19"/>
        <w:widowControl/>
      </w:pPr>
      <w:r>
        <w:rPr>
          <w:b w:val="0"/>
          <w:i w:val="0"/>
        </w:rPr>
        <w:t>本手册覆盖 EDC 项目配置、eCRF 结构、派生逻辑、权限控制、随机化接口、药物发放、随访、门槛评估、影像子研究、质疑管理、审计追踪、数据冻结与版本变更；不代替正式研究方案、SAP、药物管理 SOP 或结局裁决 SOP。</w:t>
      </w:r>
    </w:p>
    <w:p w14:paraId="25C659D1">
      <w:pPr>
        <w:pStyle w:val="19"/>
        <w:widowControl/>
      </w:pPr>
      <w:r>
        <w:rPr>
          <w:b w:val="0"/>
          <w:i w:val="0"/>
        </w:rPr>
        <w:t>本手册的主要读者为 EDC 工程师。工程师在系统实现时应遵循“先运行母研究，再承载子研究；先锁定决策字段，再开放探索字段；先完成可审计闭环，再追求复杂分析准备”的顺序。</w:t>
      </w:r>
    </w:p>
    <w:p w14:paraId="625C857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上位文件与权威口径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5226"/>
        <w:gridCol w:w="2896"/>
      </w:tblGrid>
      <w:tr w14:paraId="4AE3A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75" w:type="pct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CCC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来源文件</w:t>
            </w:r>
          </w:p>
        </w:tc>
        <w:tc>
          <w:tcPr>
            <w:tcW w:w="2718" w:type="pct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DDC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本手册采用的核心约束</w:t>
            </w:r>
          </w:p>
        </w:tc>
        <w:tc>
          <w:tcPr>
            <w:tcW w:w="1506" w:type="pct"/>
            <w:shd w:val="clear" w:color="auto" w:fill="DCEA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91FB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8"/>
              </w:rPr>
              <w:t>EDC实现含义</w:t>
            </w:r>
          </w:p>
        </w:tc>
      </w:tr>
      <w:tr w14:paraId="35A2D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5F47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研究方案V2.0</w:t>
            </w:r>
          </w:p>
        </w:tc>
        <w:tc>
          <w:tcPr>
            <w:tcW w:w="2718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0A3C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采用两队列设计；队列A基线随机，队列B在M6 Hard Gate达标后随机；随机化分层因素为中心 + 菌负荷层级 + 影像范围层级 + HbA1c分层。</w:t>
            </w:r>
          </w:p>
        </w:tc>
        <w:tc>
          <w:tcPr>
            <w:tcW w:w="1506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3C6F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系统需支持两次独立随机化、不同资格校验入口、统一审计追踪和分层变量锁定。</w:t>
            </w:r>
          </w:p>
        </w:tc>
      </w:tr>
      <w:tr w14:paraId="7118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65E64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SOP01 V1.2</w:t>
            </w:r>
          </w:p>
        </w:tc>
        <w:tc>
          <w:tcPr>
            <w:tcW w:w="2718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7BFD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基线影像分层以CXR为主，CT仅作补充；采用“重症优先、原始结果留痕”；EDC需自动派生 AFBSeverity、Bacteriological Severity、Imaging Severity、SeverityLayer、Red flag、PCD 等。</w:t>
            </w:r>
          </w:p>
        </w:tc>
        <w:tc>
          <w:tcPr>
            <w:tcW w:w="1506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11A6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系统需保留原始实验室/影像字段，并自动生成派生字段和质控工单。</w:t>
            </w:r>
          </w:p>
        </w:tc>
      </w:tr>
      <w:tr w14:paraId="6603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554C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CXR子研究</w:t>
            </w:r>
          </w:p>
        </w:tc>
        <w:tc>
          <w:tcPr>
            <w:tcW w:w="2718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BEF9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CXR主暴露为 PLI（连续）+ 空洞；用于发表性二维预后分析，不替代母研究实时分层规则。</w:t>
            </w:r>
          </w:p>
        </w:tc>
        <w:tc>
          <w:tcPr>
            <w:tcW w:w="1506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4E5D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EDC应额外采集 PLI、空洞数量、单双侧、最大径等字段，但这些字段不应驱动基线队列分配。</w:t>
            </w:r>
          </w:p>
        </w:tc>
      </w:tr>
      <w:tr w14:paraId="1BA0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5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D19A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CT子研究</w:t>
            </w:r>
          </w:p>
        </w:tc>
        <w:tc>
          <w:tcPr>
            <w:tcW w:w="2718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758C2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CT构建 TB-CT Core Score v1.0，用于增量价值验证；不作为实时治疗分配依据。</w:t>
            </w:r>
          </w:p>
        </w:tc>
        <w:tc>
          <w:tcPr>
            <w:tcW w:w="1506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2487A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EDC可建设独立隐藏模块，供中央阅片和研究分析使用，不进入母研究决策界面。</w:t>
            </w:r>
          </w:p>
        </w:tc>
      </w:tr>
    </w:tbl>
    <w:p w14:paraId="2B1859C7"/>
    <w:p w14:paraId="010662C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EDC系统建设总原则</w:t>
      </w:r>
    </w:p>
    <w:p w14:paraId="1368D4A4">
      <w:pPr>
        <w:pStyle w:val="4"/>
        <w:widowControl/>
      </w:pPr>
      <w:r>
        <w:t>原则1：先区分系统边界，再配置表单。</w:t>
      </w:r>
    </w:p>
    <w:p w14:paraId="1E64FAAB">
      <w:pPr>
        <w:pStyle w:val="19"/>
        <w:widowControl/>
      </w:pPr>
      <w:r>
        <w:rPr>
          <w:b w:val="0"/>
          <w:i w:val="0"/>
        </w:rPr>
        <w:t>EDC中的字段应分为四层：实时决策字段、支持性运营字段、研究专用字段、隐藏字段。凡是影响队列分配、随机资格或药物发放的字段，必须单独标识并设置锁定规则。</w:t>
      </w:r>
    </w:p>
    <w:p w14:paraId="6B09FF97">
      <w:pPr>
        <w:pStyle w:val="4"/>
        <w:widowControl/>
      </w:pPr>
      <w:r>
        <w:t>原则2：母研究优先于子研究。</w:t>
      </w:r>
    </w:p>
    <w:p w14:paraId="6D22DB2E">
      <w:pPr>
        <w:pStyle w:val="19"/>
        <w:widowControl/>
      </w:pPr>
      <w:r>
        <w:rPr>
          <w:b w:val="0"/>
          <w:i w:val="0"/>
        </w:rPr>
        <w:t>母研究能否稳定运行是第一优先级。CXR/CT子研究模块应在不影响入组、随机化和随访主流程的前提下增设。</w:t>
      </w:r>
    </w:p>
    <w:p w14:paraId="0FEC50A5">
      <w:pPr>
        <w:pStyle w:val="4"/>
        <w:widowControl/>
      </w:pPr>
      <w:r>
        <w:t>原则3：保留原始值，派生在系统中完成。</w:t>
      </w:r>
    </w:p>
    <w:p w14:paraId="5E77E008">
      <w:pPr>
        <w:pStyle w:val="19"/>
        <w:widowControl/>
      </w:pPr>
      <w:r>
        <w:rPr>
          <w:b w:val="0"/>
          <w:i w:val="0"/>
        </w:rPr>
        <w:t>实验室和影像原始报告要原样录入并留痕；AFB折叠、Ct阈值判定、CXR轻重、SeverityLayer、Red flag、PCD、Hard Gate等由系统自动派生。</w:t>
      </w:r>
    </w:p>
    <w:p w14:paraId="6C879689">
      <w:pPr>
        <w:pStyle w:val="4"/>
        <w:widowControl/>
      </w:pPr>
      <w:r>
        <w:t>原则4：对“不可判读/缺失/不一致”采用保守处理。</w:t>
      </w:r>
    </w:p>
    <w:p w14:paraId="5D7D4B5C">
      <w:pPr>
        <w:pStyle w:val="19"/>
        <w:widowControl/>
      </w:pPr>
      <w:r>
        <w:rPr>
          <w:b w:val="0"/>
          <w:i w:val="0"/>
        </w:rPr>
        <w:t>关键字段缺失时，系统不得默认归入轻症或自动放行随机化，而应触发复核、仲裁或质控工单。</w:t>
      </w:r>
    </w:p>
    <w:p w14:paraId="6AAD645C">
      <w:pPr>
        <w:pStyle w:val="19"/>
        <w:widowControl/>
      </w:pPr>
      <w:r>
        <w:rPr>
          <w:b/>
          <w:i w:val="0"/>
          <w:color w:val="1D5B79"/>
        </w:rPr>
        <w:t>原则5：研究字段不反向污染临床决策。</w:t>
      </w:r>
    </w:p>
    <w:p w14:paraId="6BA86FA1">
      <w:pPr>
        <w:pStyle w:val="19"/>
        <w:widowControl/>
      </w:pPr>
      <w:r>
        <w:rPr>
          <w:b w:val="0"/>
          <w:i w:val="0"/>
        </w:rPr>
        <w:t>TB22、DSS、影像AI、CT评分、CXR子研究四象限等可作为研究字段，但不进入队列分配、M6 Hard Gate 或随机化决策页面。</w:t>
      </w:r>
    </w:p>
    <w:p w14:paraId="4A1EB23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角色分工与协作接口</w:t>
      </w:r>
    </w:p>
    <w:p w14:paraId="0648DCA2">
      <w:pPr>
        <w:pStyle w:val="19"/>
        <w:widowControl/>
      </w:pPr>
      <w:r>
        <w:rPr>
          <w:b w:val="0"/>
          <w:i w:val="0"/>
        </w:rPr>
        <w:t>建议在 EDC 项目启动前即形成固定沟通链：研究PI/项目负责人 -&gt; PMO/PM -&gt; DM -&gt; EDC工程师，并设置药师、实验室、影像、统计、质控为专项接口。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010"/>
        <w:gridCol w:w="2125"/>
        <w:gridCol w:w="1910"/>
        <w:gridCol w:w="1770"/>
      </w:tblGrid>
      <w:tr w14:paraId="0D55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26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3CFB25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角色</w:t>
            </w:r>
          </w:p>
        </w:tc>
        <w:tc>
          <w:tcPr>
            <w:tcW w:w="1047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EA99B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主要职责</w:t>
            </w:r>
          </w:p>
        </w:tc>
        <w:tc>
          <w:tcPr>
            <w:tcW w:w="1107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B24C9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向EDC工程师提供的输入</w:t>
            </w:r>
          </w:p>
        </w:tc>
        <w:tc>
          <w:tcPr>
            <w:tcW w:w="995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8D28A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需要工程师反馈的输出</w:t>
            </w:r>
          </w:p>
        </w:tc>
        <w:tc>
          <w:tcPr>
            <w:tcW w:w="922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EA5CC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RACI</w:t>
            </w:r>
          </w:p>
        </w:tc>
      </w:tr>
      <w:tr w14:paraId="2386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1472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PI/方案负责人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FB863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锁定口径、裁定争议、批准上线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E726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决策边界、医学规则、最终版本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24FD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关键逻辑清单、UAT问题单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44F15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</w:t>
            </w:r>
          </w:p>
        </w:tc>
      </w:tr>
      <w:tr w14:paraId="7DD7E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978DC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PMO/项目经理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47D46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统筹需求、版本、会议、里程碑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EC61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需求优先级、上线顺序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D6F23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甘特图、风险清单、变更单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75CD8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R/A</w:t>
            </w:r>
          </w:p>
        </w:tc>
      </w:tr>
      <w:tr w14:paraId="1802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F8AB3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DM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D0E25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变量字典、核查规则、锁库/导出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E798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eCRF草案、派生规则、edit check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CB475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构建清单、测试结果、异常日志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616D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</w:t>
            </w:r>
          </w:p>
        </w:tc>
      </w:tr>
      <w:tr w14:paraId="6651C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177C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统计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9660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分层变量、随机化、分析集标记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37D9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SAP要点、导出需求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3A670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随机化实现说明、导出结构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B84D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</w:t>
            </w:r>
          </w:p>
        </w:tc>
      </w:tr>
      <w:tr w14:paraId="0241C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DE8E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CRC/研究医生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F32795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验证表单可用性、现场流程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1979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表单填写路径、现场反馈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99674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表单原型、操作说明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B74D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</w:t>
            </w:r>
          </w:p>
        </w:tc>
      </w:tr>
      <w:tr w14:paraId="45DF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C29A9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药师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A2F36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药物发放与回收流程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E6F0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发药规则、批号管理需求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C566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药房模块、发放日志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8CC33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</w:t>
            </w:r>
          </w:p>
        </w:tc>
      </w:tr>
      <w:tr w14:paraId="29D9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8A51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实验室/影像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D1D5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原始结果格式与时点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8958E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报告模板、判读字段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160CC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结果映射、接口字段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B9F1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</w:t>
            </w:r>
          </w:p>
        </w:tc>
      </w:tr>
      <w:tr w14:paraId="244F7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BD8F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EDC工程师</w:t>
            </w:r>
          </w:p>
        </w:tc>
        <w:tc>
          <w:tcPr>
            <w:tcW w:w="104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C89E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实现配置、测试、上线、修订</w:t>
            </w:r>
          </w:p>
        </w:tc>
        <w:tc>
          <w:tcPr>
            <w:tcW w:w="110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76AE9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--</w:t>
            </w:r>
          </w:p>
        </w:tc>
        <w:tc>
          <w:tcPr>
            <w:tcW w:w="995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EC2D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原型、配置文档、版本包、测试记录</w:t>
            </w:r>
          </w:p>
        </w:tc>
        <w:tc>
          <w:tcPr>
            <w:tcW w:w="92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BCC0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</w:t>
            </w:r>
          </w:p>
        </w:tc>
      </w:tr>
    </w:tbl>
    <w:p w14:paraId="23097E9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目标系统架构与模块清单</w:t>
      </w:r>
    </w:p>
    <w:p w14:paraId="343DB091">
      <w:pPr>
        <w:pStyle w:val="19"/>
        <w:widowControl/>
      </w:pPr>
      <w:r>
        <w:rPr>
          <w:b w:val="0"/>
          <w:i w:val="0"/>
        </w:rPr>
        <w:t>建议将 TDSC 的 EDC 拆成“主流程模块 + 决策引擎模块 + 隐藏研究模块 + 质控与冻结模块”四层，而不是把所有字段堆在同一个访视表中。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2213"/>
        <w:gridCol w:w="2065"/>
        <w:gridCol w:w="1996"/>
        <w:gridCol w:w="1668"/>
      </w:tblGrid>
      <w:tr w14:paraId="3C2C4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0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78FF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模块</w:t>
            </w:r>
          </w:p>
        </w:tc>
        <w:tc>
          <w:tcPr>
            <w:tcW w:w="1153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516E4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主要内容</w:t>
            </w:r>
          </w:p>
        </w:tc>
        <w:tc>
          <w:tcPr>
            <w:tcW w:w="1076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E01E4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关键输出</w:t>
            </w:r>
          </w:p>
        </w:tc>
        <w:tc>
          <w:tcPr>
            <w:tcW w:w="1040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357ED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是否实时决策</w:t>
            </w:r>
          </w:p>
        </w:tc>
        <w:tc>
          <w:tcPr>
            <w:tcW w:w="869" w:type="pct"/>
            <w:shd w:val="clear" w:color="auto" w:fill="DCEAF3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0FDB4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建议上线阶段</w:t>
            </w:r>
          </w:p>
        </w:tc>
      </w:tr>
      <w:tr w14:paraId="3ECB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41BD8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M0 项目配置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CC573C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站点、用户、权限、字典、访视窗、版本参数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7C82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项目骨架、角色矩阵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611EB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4D67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0</w:t>
            </w:r>
          </w:p>
        </w:tc>
      </w:tr>
      <w:tr w14:paraId="3D37F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18B6F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M1 筛选/基线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D92D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知情同意、入排标准、基线实验室、CXR、糖尿病信息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AC2E7E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受试者资格状态、缺失清单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D6AD0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60F0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1</w:t>
            </w:r>
          </w:p>
        </w:tc>
      </w:tr>
      <w:tr w14:paraId="508E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8FA0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M2 分层引擎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B38AB5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AFB折叠、Ct阈值、Imaging Severity、SeverityLayer、随机化分层变量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880C7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基线队列分配建议、分层变量锁定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27B40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9338BB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1</w:t>
            </w:r>
          </w:p>
        </w:tc>
      </w:tr>
      <w:tr w14:paraId="2C37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38776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M3 队列A随机化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8C1E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A1/A2/A3随机化、授权与日志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24E369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随机组别、药物路径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AD875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388F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2</w:t>
            </w:r>
          </w:p>
        </w:tc>
      </w:tr>
      <w:tr w14:paraId="20183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D932F3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M4 治疗/发药/随访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C0C394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访视计划、药物发放、依从性、安全性、实验室和影像回填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E279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访视完成状态、AE闭环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983509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42846B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2-3</w:t>
            </w:r>
          </w:p>
        </w:tc>
      </w:tr>
      <w:tr w14:paraId="447B9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DB031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M5 Week 8风险提示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743C9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PCD/PPTR标记、病例讨论触发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37B2F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风险提示，不改变组别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4AA0E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否（仅提示）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F16E9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3</w:t>
            </w:r>
          </w:p>
        </w:tc>
      </w:tr>
      <w:tr w14:paraId="2652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5C6E6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M6 队列B门槛评估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369A5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M6 Hard Gate证据汇总与资格校验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9ED79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是否允许发起B随机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8100B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C218C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4</w:t>
            </w:r>
          </w:p>
        </w:tc>
      </w:tr>
      <w:tr w14:paraId="1349D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8CA50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M7 队列B随机化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0BAEC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6个月停药 vs 继续至9个月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5763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组别、药物路径、随访模板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CAA2E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是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E07D3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4</w:t>
            </w:r>
          </w:p>
        </w:tc>
      </w:tr>
      <w:tr w14:paraId="1AF50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CD4CF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M8 结局与裁决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8508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复发/再感染、CEC材料包、终点裁决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15007C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裁决结论、分析集标记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0C3C01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ADF49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5</w:t>
            </w:r>
          </w:p>
        </w:tc>
      </w:tr>
      <w:tr w14:paraId="3CA3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419C2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M9 CXR子研究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D966E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PLI、空洞负荷、中央阅片、四象限变量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C889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研究导出字段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5410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否（研究）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5E32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5</w:t>
            </w:r>
          </w:p>
        </w:tc>
      </w:tr>
      <w:tr w14:paraId="1EE3D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BCD19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M10 CT子研究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2860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TB-CT Core Score v1.0、技术参数、中央双阅片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63FAE5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研究导出字段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0015A3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否（研究）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408E7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5</w:t>
            </w:r>
          </w:p>
        </w:tc>
      </w:tr>
      <w:tr w14:paraId="4D93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2DF638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M11 质控/导出/冻结</w:t>
            </w:r>
          </w:p>
        </w:tc>
        <w:tc>
          <w:tcPr>
            <w:tcW w:w="1153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F4167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query、异常报表、审计追踪、数据冻结、导出</w:t>
            </w:r>
          </w:p>
        </w:tc>
        <w:tc>
          <w:tcPr>
            <w:tcW w:w="1076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07ED6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clean file、locked snapshot</w:t>
            </w:r>
          </w:p>
        </w:tc>
        <w:tc>
          <w:tcPr>
            <w:tcW w:w="104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45E984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否</w:t>
            </w:r>
          </w:p>
        </w:tc>
        <w:tc>
          <w:tcPr>
            <w:tcW w:w="86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5E956C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6</w:t>
            </w:r>
          </w:p>
        </w:tc>
      </w:tr>
    </w:tbl>
    <w:p w14:paraId="64BACE8C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表单结构与建议eCRF清单</w:t>
      </w:r>
    </w:p>
    <w:p w14:paraId="76BD91EB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 受试者主索引：</w:t>
      </w:r>
      <w:r>
        <w:rPr>
          <w:b w:val="0"/>
          <w:i w:val="0"/>
        </w:rPr>
        <w:t>受试者编号、中心、筛选号、知情同意、研究状态、当前队列、当前随机状态、停药状态、数据冻结状态。</w:t>
      </w:r>
    </w:p>
    <w:p w14:paraId="06A2F51C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6.2 筛选与入排标准：</w:t>
      </w:r>
      <w:r>
        <w:rPr>
          <w:b w:val="0"/>
          <w:i w:val="0"/>
        </w:rPr>
        <w:t>纳排条款逐项填写，要求支持“是/否/不适用/待核实”，并具备自动资格汇总。</w:t>
      </w:r>
    </w:p>
    <w:p w14:paraId="66674F46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6.3 基线结核病学信息：</w:t>
      </w:r>
      <w:r>
        <w:rPr>
          <w:b w:val="0"/>
          <w:i w:val="0"/>
        </w:rPr>
        <w:t>Xpert/Ultra 平台、Ct值、半定量等级、AFB原始等级、培养信息、样本日期、标本类型。</w:t>
      </w:r>
    </w:p>
    <w:p w14:paraId="060BD42C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6.4 基线影像学信息（母研究）：</w:t>
      </w:r>
      <w:r>
        <w:rPr>
          <w:b w:val="0"/>
          <w:i w:val="0"/>
        </w:rPr>
        <w:t>CXR日期、Ralph score、空洞有无、最大空洞径、影像质量、裁定状态。</w:t>
      </w:r>
    </w:p>
    <w:p w14:paraId="5FA50859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6.5 基线糖尿病与临床信息：</w:t>
      </w:r>
      <w:r>
        <w:rPr>
          <w:b w:val="0"/>
          <w:i w:val="0"/>
        </w:rPr>
        <w:t>年龄、性别、BMI、HbA1c、糖尿病治疗、合并症、吸烟、HIV状态等。</w:t>
      </w:r>
    </w:p>
    <w:p w14:paraId="5A7809F5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6.6 自动派生与分层锁定页：</w:t>
      </w:r>
      <w:r>
        <w:rPr>
          <w:b w:val="0"/>
          <w:i w:val="0"/>
        </w:rPr>
        <w:t>AFBSeverity、Bacteriological Severity、Imaging Severity、SeverityLayer、随机化分层变量、锁定时间戳。</w:t>
      </w:r>
    </w:p>
    <w:p w14:paraId="00817449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6.7 队列A随机化页：</w:t>
      </w:r>
      <w:r>
        <w:rPr>
          <w:b w:val="0"/>
          <w:i w:val="0"/>
        </w:rPr>
        <w:t>随机资格完成情况、发起人、返回结果、分层变量快照。</w:t>
      </w:r>
    </w:p>
    <w:p w14:paraId="72E8257B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6.8 治疗与发药页：</w:t>
      </w:r>
      <w:r>
        <w:rPr>
          <w:b w:val="0"/>
          <w:i w:val="0"/>
        </w:rPr>
        <w:t>处方、药物批号、数量、起止日期、暂停/恢复、回收。</w:t>
      </w:r>
    </w:p>
    <w:p w14:paraId="78E63F15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6.9 访视页：</w:t>
      </w:r>
      <w:r>
        <w:rPr>
          <w:b w:val="0"/>
          <w:i w:val="0"/>
        </w:rPr>
        <w:t>Week 2、Week 8、Month 4、Month 6、Month 9、停药后PT-M12/PT-M24等各时点通用表。</w:t>
      </w:r>
    </w:p>
    <w:p w14:paraId="4A79BA91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6.10 安全性页：</w:t>
      </w:r>
      <w:r>
        <w:rPr>
          <w:b w:val="0"/>
          <w:i w:val="0"/>
        </w:rPr>
        <w:t>AE/SAE/AESI、乙胺丁醇视力监测、实验室异常、处置、结局。</w:t>
      </w:r>
    </w:p>
    <w:p w14:paraId="4C7F8523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6.11 Week 8风险提示页：</w:t>
      </w:r>
      <w:r>
        <w:rPr>
          <w:b w:val="0"/>
          <w:i w:val="0"/>
        </w:rPr>
        <w:t>症状、涂片状态、PCD、PPTR、病例讨论与处置建议。</w:t>
      </w:r>
    </w:p>
    <w:p w14:paraId="71E3CA51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6.12 M6 Hard Gate页：</w:t>
      </w:r>
      <w:r>
        <w:rPr>
          <w:b w:val="0"/>
          <w:i w:val="0"/>
        </w:rPr>
        <w:t>培养阴性次数、日期间隔、后续是否再阳、门槛结论、证据附件。</w:t>
      </w:r>
    </w:p>
    <w:p w14:paraId="792F753A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6.13 队列B随机化页：</w:t>
      </w:r>
      <w:r>
        <w:rPr>
          <w:b w:val="0"/>
          <w:i w:val="0"/>
        </w:rPr>
        <w:t>资格汇总、发起B随机、返回结果、停药/继续路径。</w:t>
      </w:r>
    </w:p>
    <w:p w14:paraId="25C2C1B0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6.14 结局与CEC页：</w:t>
      </w:r>
      <w:r>
        <w:rPr>
          <w:b w:val="0"/>
          <w:i w:val="0"/>
        </w:rPr>
        <w:t>复发/再感染证据、裁决材料包、CEC结论、生效日期。</w:t>
      </w:r>
    </w:p>
    <w:p w14:paraId="7C9FDA62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6.15 CXR子研究页（隐藏）：</w:t>
      </w:r>
      <w:r>
        <w:rPr>
          <w:b w:val="0"/>
          <w:i w:val="0"/>
        </w:rPr>
        <w:t>PLI、空洞数量、单双侧、四象限变量、中央阅片结论。</w:t>
      </w:r>
    </w:p>
    <w:p w14:paraId="044EB1D8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6.16 CT子研究页（隐藏）：</w:t>
      </w:r>
      <w:r>
        <w:rPr>
          <w:b w:val="0"/>
          <w:i w:val="0"/>
        </w:rPr>
        <w:t>CT技术参数、E/C/B/D评分、中央双阅片与裁决。</w:t>
      </w:r>
    </w:p>
    <w:p w14:paraId="2E7C6C4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核心派生变量与判定逻辑</w:t>
      </w:r>
    </w:p>
    <w:p w14:paraId="4507BB11">
      <w:pPr>
        <w:pStyle w:val="19"/>
        <w:widowControl/>
      </w:pPr>
      <w:r>
        <w:rPr>
          <w:b w:val="0"/>
          <w:i w:val="0"/>
        </w:rPr>
        <w:t>下面这些派生规则必须写成可测试、可追溯的系统规则，并在配置文档中保留版本号。建议工程师将“输入字段 - 规则 - 输出字段 - 异常分支”做成单独的规则表。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  <w:gridCol w:w="2518"/>
        <w:gridCol w:w="2668"/>
        <w:gridCol w:w="2240"/>
      </w:tblGrid>
      <w:tr w14:paraId="0126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29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1FE0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派生字段</w:t>
            </w:r>
          </w:p>
        </w:tc>
        <w:tc>
          <w:tcPr>
            <w:tcW w:w="1312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84BB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系统输入</w:t>
            </w:r>
          </w:p>
        </w:tc>
        <w:tc>
          <w:tcPr>
            <w:tcW w:w="1390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45B4B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推荐规则</w:t>
            </w:r>
          </w:p>
        </w:tc>
        <w:tc>
          <w:tcPr>
            <w:tcW w:w="1167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BB2F9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异常/备注</w:t>
            </w:r>
          </w:p>
        </w:tc>
      </w:tr>
      <w:tr w14:paraId="09CB0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DF979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AFBSeverity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F087D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AFB原始分级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6B605E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将国内0/1/2与国际0/scanty/1+折叠为低档，将国内3/4与国际2+/3+折叠为高档；“报告菌数”归入低档但保留原始值。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85CCE5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保留原始文本；折叠关系可更新但不得覆盖原值。</w:t>
            </w:r>
          </w:p>
        </w:tc>
      </w:tr>
      <w:tr w14:paraId="4774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931372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Bacteriological Severity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DFEE9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Ct值 + AFBSeverity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9AAB59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任一指标达到重阈值即判“重”；仅当已有证据明确支持轻且无相反证据时判“轻”。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A3520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Ct缺失且仅有半定量等级时，不自动判轻。</w:t>
            </w:r>
          </w:p>
        </w:tc>
      </w:tr>
      <w:tr w14:paraId="1893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37251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Imaging Severity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1A44D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Ralph score + 空洞有无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00426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Ralph score &lt; 30 且无空洞 = 轻；Ralph score &gt;= 30 或有空洞 = 重。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FFF46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CXR不可判读时触发复拍/仲裁。</w:t>
            </w:r>
          </w:p>
        </w:tc>
      </w:tr>
      <w:tr w14:paraId="33C0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F6F1B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SeverityLayer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A08F4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Bacteriological Severity + Imaging Severity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DDA83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轻症需同时满足痰菌轻 + 影像轻；任一轴为重则判重症。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FE77A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未完成复核前按保守原则不归入轻症。</w:t>
            </w:r>
          </w:p>
        </w:tc>
      </w:tr>
      <w:tr w14:paraId="2B5F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7C01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Red flag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BC46BD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最大空洞径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80DF8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最大空洞径 &gt; 4 cm 自动标记 red flag = 是。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247D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仅用于风险提示和加强随访。</w:t>
            </w:r>
          </w:p>
        </w:tc>
      </w:tr>
      <w:tr w14:paraId="6A45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7D495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PCD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F9EE12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Week 8症状 + 涂片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6969F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Week 8症状仍存在且涂片仍阳性 = PCD。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6BEA7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只用于提示，不进入M6资格判断。</w:t>
            </w:r>
          </w:p>
        </w:tc>
      </w:tr>
      <w:tr w14:paraId="380E4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2949D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PPTR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10B98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研究者判断 + 治疗调整考虑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897164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研究者怀疑疗效欠佳并考虑调整/延长/重启治疗时标记。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1D2D3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应记录理由和讨论结论。</w:t>
            </w:r>
          </w:p>
        </w:tc>
      </w:tr>
      <w:tr w14:paraId="0E9E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6711E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Strata_Bacterial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01D8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基线菌量资料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28FDED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映射为随机化所需“菌负荷层级”字段。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B6D001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具体阈值由SAP/Randomization Spec锁定。</w:t>
            </w:r>
          </w:p>
        </w:tc>
      </w:tr>
      <w:tr w14:paraId="09240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E4D11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Strata_Imaging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BF6BD5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基线CXR资料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0247A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映射为随机化所需“影像范围层级”字段。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38559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与研究性 PLI 四象限分开保存。</w:t>
            </w:r>
          </w:p>
        </w:tc>
      </w:tr>
      <w:tr w14:paraId="3569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07D319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Strata_HbA1c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3B7A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基线 HbA1c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03838C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按预先锁定阈值分层。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4A5F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阈值未锁定前不得上线随机模块。</w:t>
            </w:r>
          </w:p>
        </w:tc>
      </w:tr>
      <w:tr w14:paraId="4431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7EA8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Hard Gate Eligible</w:t>
            </w:r>
          </w:p>
        </w:tc>
        <w:tc>
          <w:tcPr>
            <w:tcW w:w="1312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E6677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M2-M6 培养结果</w:t>
            </w:r>
          </w:p>
        </w:tc>
        <w:tc>
          <w:tcPr>
            <w:tcW w:w="1390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DE29A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至少2次阴性、间隔 &gt;= 7 天、后续无再阳，则 eligible=是。</w:t>
            </w:r>
          </w:p>
        </w:tc>
        <w:tc>
          <w:tcPr>
            <w:tcW w:w="1167" w:type="pct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2F0F75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只使用微生物学证据。</w:t>
            </w:r>
          </w:p>
        </w:tc>
      </w:tr>
    </w:tbl>
    <w:p w14:paraId="688B6A9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决策字段、研究字段与隐藏字段分层管理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3109"/>
        <w:gridCol w:w="2159"/>
        <w:gridCol w:w="2178"/>
      </w:tblGrid>
      <w:tr w14:paraId="7D56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18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604B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字段层级</w:t>
            </w:r>
          </w:p>
        </w:tc>
        <w:tc>
          <w:tcPr>
            <w:tcW w:w="1620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3F93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典型示例</w:t>
            </w:r>
          </w:p>
        </w:tc>
        <w:tc>
          <w:tcPr>
            <w:tcW w:w="1125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5E649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用途</w:t>
            </w:r>
          </w:p>
        </w:tc>
        <w:tc>
          <w:tcPr>
            <w:tcW w:w="1135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6054D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建议可见角色</w:t>
            </w:r>
          </w:p>
        </w:tc>
      </w:tr>
      <w:tr w14:paraId="1982B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8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18C7065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实时决策字段</w:t>
            </w:r>
          </w:p>
        </w:tc>
        <w:tc>
          <w:tcPr>
            <w:tcW w:w="1620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106D3B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入排标准、知情同意、基线菌负荷层级、基线影像范围层级、HbA1c分层、A随机化资格、M6 Hard Gate、B随机化资格、药物发放状态。</w:t>
            </w:r>
          </w:p>
        </w:tc>
        <w:tc>
          <w:tcPr>
            <w:tcW w:w="112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E1E631E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参与队列分配、随机化、药物发放和访视路径。</w:t>
            </w:r>
          </w:p>
        </w:tc>
        <w:tc>
          <w:tcPr>
            <w:tcW w:w="113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681EDA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研究医生、CRC、药师、DM、审计。</w:t>
            </w:r>
          </w:p>
        </w:tc>
      </w:tr>
      <w:tr w14:paraId="3EA1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8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A3FE10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支持性运营字段</w:t>
            </w:r>
          </w:p>
        </w:tc>
        <w:tc>
          <w:tcPr>
            <w:tcW w:w="1620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D16F9C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原始实验室结果、原始影像结果、AE、依从性、实验室异常、视力监测。</w:t>
            </w:r>
          </w:p>
        </w:tc>
        <w:tc>
          <w:tcPr>
            <w:tcW w:w="112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0BBEC24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支持现场管理、质控和派生。</w:t>
            </w:r>
          </w:p>
        </w:tc>
        <w:tc>
          <w:tcPr>
            <w:tcW w:w="113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64B2A5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研究医生、CRC、药师、DM。</w:t>
            </w:r>
          </w:p>
        </w:tc>
      </w:tr>
      <w:tr w14:paraId="669B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8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3C47A68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研究专用字段</w:t>
            </w:r>
          </w:p>
        </w:tc>
        <w:tc>
          <w:tcPr>
            <w:tcW w:w="1620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267A9851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PLI、空洞数量、单双侧、CT E/C/B/D、TB22、DSS、影像AI。</w:t>
            </w:r>
          </w:p>
        </w:tc>
        <w:tc>
          <w:tcPr>
            <w:tcW w:w="112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5E4FDD1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用于预设验证/探索、论文和分析。</w:t>
            </w:r>
          </w:p>
        </w:tc>
        <w:tc>
          <w:tcPr>
            <w:tcW w:w="113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AD98D2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DM、统计、中央阅片组；临床团队按需隐藏。</w:t>
            </w:r>
          </w:p>
        </w:tc>
      </w:tr>
      <w:tr w14:paraId="493B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18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715B5793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隐藏字段</w:t>
            </w:r>
          </w:p>
        </w:tc>
        <w:tc>
          <w:tcPr>
            <w:tcW w:w="1620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290C48A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中央读片裁决表、模型中间分数、分析集标记、锁库前清洗标志。</w:t>
            </w:r>
          </w:p>
        </w:tc>
        <w:tc>
          <w:tcPr>
            <w:tcW w:w="112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4795ED0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避免反向影响治疗决策。</w:t>
            </w:r>
          </w:p>
        </w:tc>
        <w:tc>
          <w:tcPr>
            <w:tcW w:w="1135" w:type="pct"/>
            <w:tcMar>
              <w:top w:w="60" w:type="dxa"/>
              <w:left w:w="85" w:type="dxa"/>
              <w:bottom w:w="60" w:type="dxa"/>
              <w:right w:w="85" w:type="dxa"/>
            </w:tcMar>
          </w:tcPr>
          <w:p w14:paraId="606B50A4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DM、统计、系统管理员。</w:t>
            </w:r>
          </w:p>
        </w:tc>
      </w:tr>
    </w:tbl>
    <w:p w14:paraId="41D71D5D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FB1F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2" w:type="dxa"/>
            <w:shd w:val="clear" w:color="auto" w:fill="FFF7E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07C841">
            <w:pPr>
              <w:pStyle w:val="173"/>
            </w:pPr>
            <w:r>
              <w:rPr>
                <w:rFonts w:ascii="Noto Sans CJK SC" w:hAnsi="Noto Sans CJK SC" w:eastAsia="Noto Sans CJK SC"/>
                <w:b/>
                <w:i w:val="0"/>
                <w:color w:val="8A5B00"/>
                <w:sz w:val="19"/>
              </w:rPr>
              <w:t>特别强调：</w:t>
            </w:r>
            <w:r>
              <w:rPr>
                <w:rFonts w:ascii="Noto Sans CJK SC" w:hAnsi="Noto Sans CJK SC" w:eastAsia="Noto Sans CJK SC"/>
                <w:b w:val="0"/>
                <w:i w:val="0"/>
                <w:color w:val="5A4700"/>
                <w:sz w:val="19"/>
              </w:rPr>
              <w:t>CT、TB22、DSS、影像AI、CXR子研究四象限变量可以采集，但不应出现在基线队列分配页面、M6资格判定页面或任何可引导治疗决策的系统提示中。</w:t>
            </w:r>
          </w:p>
        </w:tc>
      </w:tr>
    </w:tbl>
    <w:p w14:paraId="3363056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关键逻辑核查（Edit Checks）与工单触发</w:t>
      </w:r>
    </w:p>
    <w:p w14:paraId="04351520">
      <w:pPr>
        <w:pStyle w:val="19"/>
        <w:widowControl/>
      </w:pPr>
      <w:r>
        <w:rPr>
          <w:b w:val="0"/>
          <w:i w:val="0"/>
        </w:rPr>
        <w:t>工程师应避免只做“必填校验”，而应把最重要的医学逻辑直接做成 edit checks + query/work item。下面给出建议的最小集合。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2341"/>
        <w:gridCol w:w="2451"/>
        <w:gridCol w:w="2148"/>
      </w:tblGrid>
      <w:tr w14:paraId="6D4D5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82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F435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触发条件</w:t>
            </w:r>
          </w:p>
        </w:tc>
        <w:tc>
          <w:tcPr>
            <w:tcW w:w="1220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3D72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系统动作</w:t>
            </w:r>
          </w:p>
        </w:tc>
        <w:tc>
          <w:tcPr>
            <w:tcW w:w="1277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059D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工单去向</w:t>
            </w:r>
          </w:p>
        </w:tc>
        <w:tc>
          <w:tcPr>
            <w:tcW w:w="1119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2E2F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优先级</w:t>
            </w:r>
          </w:p>
        </w:tc>
      </w:tr>
      <w:tr w14:paraId="6BF4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94FF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Ct &gt; 30 但 AFB 为高档（3-4/2+-3+）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34602E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自动生成“结果不一致”工单，并按保守原则维持痰菌重。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3539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CRC + 实验室 + DM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7D99CB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16DC4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E3BA4E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Ralph score &lt; 30 但空洞 = 是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EEA2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自动提示影像重，并要求复核空洞与最大径。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466C6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影像阅片组 + CRC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89D24B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4C0D9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1EB1D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空洞 = 是但最大空洞径缺失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EF96F5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禁止完成基线分层页提交。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41AD96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CRC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D291E9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4D974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CD61E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关键字段缺失仍尝试进入A随机化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7BB7E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拦截随机化请求并显示缺失项清单。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7D1C7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研究医生 + CRC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75883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75EA6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D721D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M6 Hard Gate证据不足仍尝试进入B随机化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A2AA5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拦截随机化请求，并要求补全培养阴性证据。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599E0A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研究医生 + CRC + DM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9CB34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7EF3A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FF7E6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Week 8出现PCD/PPTR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FA0B4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生成风险提示和病例讨论任务，但不改变随机资格。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FA061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研究医生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5CA1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中</w:t>
            </w:r>
          </w:p>
        </w:tc>
      </w:tr>
      <w:tr w14:paraId="7E38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F220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CT子研究字段完成后被临床角色查看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F9838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按权限隐藏，只保留“已采集”状态。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EAB6A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系统管理员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62623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368D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0AD834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同一受试者两次随机化分层变量与快照不一致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39CCC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记录差异并保留A/B随机化各自快照，不得覆盖历史值。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C3E18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DM + 统计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7018F8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</w:t>
            </w:r>
          </w:p>
        </w:tc>
      </w:tr>
      <w:tr w14:paraId="0B81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3ACC0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药物暂停/恢复未记录原因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83ABBC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发药流程不能闭环。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2DAB45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药师 + CRC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1C2D6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中</w:t>
            </w:r>
          </w:p>
        </w:tc>
      </w:tr>
      <w:tr w14:paraId="00E7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8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808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访视超窗或丢失关键终点日期</w:t>
            </w:r>
          </w:p>
        </w:tc>
        <w:tc>
          <w:tcPr>
            <w:tcW w:w="122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A6B0D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生成追踪任务和超窗标记。</w:t>
            </w:r>
          </w:p>
        </w:tc>
        <w:tc>
          <w:tcPr>
            <w:tcW w:w="1277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672394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CRC + PMO</w:t>
            </w:r>
          </w:p>
        </w:tc>
        <w:tc>
          <w:tcPr>
            <w:tcW w:w="1119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0EB13D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中</w:t>
            </w:r>
          </w:p>
        </w:tc>
      </w:tr>
    </w:tbl>
    <w:p w14:paraId="28A8248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两次随机化的系统实现要点</w:t>
      </w:r>
    </w:p>
    <w:p w14:paraId="5D14DC9C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队列A基线随机化</w:t>
      </w:r>
    </w:p>
    <w:p w14:paraId="404AAEE4">
      <w:pPr>
        <w:pStyle w:val="19"/>
        <w:widowControl/>
      </w:pPr>
      <w:r>
        <w:rPr>
          <w:b w:val="0"/>
          <w:i w:val="0"/>
        </w:rPr>
        <w:t>A随机化只能在以下条件全部满足后开放：知情同意完成；入排标准满足；关键基线实验室与CXR已完成；系统已派生 Bacteriological Severity、Imaging Severity、SeverityLayer；随机化分层变量已锁定；药房配置就绪。</w:t>
      </w:r>
    </w:p>
    <w:p w14:paraId="3959F7D4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队列A随机化应保存“分层快照”</w:t>
      </w:r>
    </w:p>
    <w:p w14:paraId="56057498">
      <w:pPr>
        <w:pStyle w:val="19"/>
        <w:widowControl/>
      </w:pPr>
      <w:r>
        <w:rPr>
          <w:b w:val="0"/>
          <w:i w:val="0"/>
        </w:rPr>
        <w:t>工程师需为A随机化保存不可变更的快照字段：中心、菌负荷层级、影像范围层级、HbA1c分层、随机时间、随机发起人、返回组别、IRT流水号。</w:t>
      </w:r>
    </w:p>
    <w:p w14:paraId="7CE34C19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队列B M6 Hard Gate评估</w:t>
      </w:r>
    </w:p>
    <w:p w14:paraId="6E7F9865">
      <w:pPr>
        <w:pStyle w:val="19"/>
        <w:widowControl/>
      </w:pPr>
      <w:r>
        <w:rPr>
          <w:b w:val="0"/>
          <w:i w:val="0"/>
        </w:rPr>
        <w:t>B随机化是独立于A随机化的第二入口。系统应汇总 Month 2 至 Month 6 的培养结果，自动判断是否满足“至少2次阴性、间隔 &gt;= 7 天、后续无再阳”。未达标者进入非随机延续路径。</w:t>
      </w:r>
    </w:p>
    <w:p w14:paraId="7271EFF8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  <w:bdr w:val="none" w:sz="0" w:space="0"/>
        </w:rPr>
      </w:pPr>
      <w:r>
        <w:t>队列B随机化也应保存独立快照</w:t>
      </w:r>
    </w:p>
    <w:p w14:paraId="700C6862">
      <w:pPr>
        <w:pStyle w:val="19"/>
        <w:widowControl/>
      </w:pPr>
      <w:r>
        <w:rPr>
          <w:b w:val="0"/>
          <w:i w:val="0"/>
        </w:rPr>
        <w:t>B随机化的快照应单独保存，不得覆盖A随机化时点的分层变量。若SAP要求 B 随机继续使用基线层级，系统应保留“基线层级原值”和“B时点资格证据”两套信息。</w:t>
      </w:r>
    </w:p>
    <w:p w14:paraId="1E9BE41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面向EDC工程师的逐步实施路线图</w:t>
      </w:r>
    </w:p>
    <w:p w14:paraId="5539E26E">
      <w:pPr>
        <w:pStyle w:val="19"/>
        <w:widowControl/>
      </w:pPr>
      <w:r>
        <w:rPr>
          <w:b w:val="0"/>
          <w:i w:val="0"/>
        </w:rPr>
        <w:t>最推荐的方式不是一次性做完整系统，而是按 Sprint / 里程碑逐步上线。每个阶段都应同时输出：页面原型、规则表、UAT脚本、缺陷清单和通过标准。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1712"/>
        <w:gridCol w:w="2524"/>
        <w:gridCol w:w="2112"/>
        <w:gridCol w:w="1593"/>
      </w:tblGrid>
      <w:tr w14:paraId="7CC1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60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FE27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阶段</w:t>
            </w:r>
          </w:p>
        </w:tc>
        <w:tc>
          <w:tcPr>
            <w:tcW w:w="892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3845D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w="1315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B9E84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需完成内容</w:t>
            </w:r>
          </w:p>
        </w:tc>
        <w:tc>
          <w:tcPr>
            <w:tcW w:w="1100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E5BE3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通过标准</w:t>
            </w:r>
          </w:p>
        </w:tc>
        <w:tc>
          <w:tcPr>
            <w:tcW w:w="830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34A9C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建议时长</w:t>
            </w:r>
          </w:p>
        </w:tc>
      </w:tr>
      <w:tr w14:paraId="70A41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E2CB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0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6B1F2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建骨架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5BF9C7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项目/站点/用户/角色/访视窗/字典/编号规则/环境配置。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6D19F4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登录、站点、角色和字典可稳定运行。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E209E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1周</w:t>
            </w:r>
          </w:p>
        </w:tc>
      </w:tr>
      <w:tr w14:paraId="17280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BD3915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1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FDAE10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跑通基线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9F25A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筛选、知情同意、入排、基线实验室、CXR、Severity 派生、分层锁定。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D686F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能完成1例模拟受试者从筛选到分层。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D767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1-2周</w:t>
            </w:r>
          </w:p>
        </w:tc>
      </w:tr>
      <w:tr w14:paraId="6583E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4FDE5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2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873ED8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跑通A随机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7BF143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A随机化接口、分层快照、发药、药房日志、基线导出。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28D3F9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能完成A随机并返回组别，发药闭环正确。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24ED72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1周</w:t>
            </w:r>
          </w:p>
        </w:tc>
      </w:tr>
      <w:tr w14:paraId="7EB8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79A8B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3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D2FE96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跑通治疗与安全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5FA64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访视模板、AE/SAE/AESI、实验室、Week 8 PCD/PPTR。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0294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能完成一条完整随访链并生成查询。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E35DF6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1-2周</w:t>
            </w:r>
          </w:p>
        </w:tc>
      </w:tr>
      <w:tr w14:paraId="4CE87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9C613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4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4F6AF3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跑通B随机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E1CF59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M6 Hard Gate规则、证据汇总、B随机化、继续/停药路径。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4C5C0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达标与未达标两种分支均可稳定测试。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9DA1EB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1周</w:t>
            </w:r>
          </w:p>
        </w:tc>
      </w:tr>
      <w:tr w14:paraId="42F38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E15AF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5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36712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加影像子研究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2B2CCE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CXR子研究隐藏页、CT子研究隐藏页、中央阅片权限。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0C835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研究字段可采集但不会出现在临床决策页。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6FA957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1周</w:t>
            </w:r>
          </w:p>
        </w:tc>
      </w:tr>
      <w:tr w14:paraId="3A71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29BB8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Sprint 6</w:t>
            </w:r>
          </w:p>
        </w:tc>
        <w:tc>
          <w:tcPr>
            <w:tcW w:w="892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4113CF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清洗与锁定</w:t>
            </w:r>
          </w:p>
        </w:tc>
        <w:tc>
          <w:tcPr>
            <w:tcW w:w="1315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29A052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报表、导出、冻结、审计追踪、版本切换和培训。</w:t>
            </w:r>
          </w:p>
        </w:tc>
        <w:tc>
          <w:tcPr>
            <w:tcW w:w="110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E4EE1B">
            <w:pPr>
              <w:pStyle w:val="172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UAT通过，形成上线包和锁定文档。</w:t>
            </w:r>
          </w:p>
        </w:tc>
        <w:tc>
          <w:tcPr>
            <w:tcW w:w="830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ECCD51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1周</w:t>
            </w:r>
          </w:p>
        </w:tc>
      </w:tr>
    </w:tbl>
    <w:p w14:paraId="42BA66F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UAT（用户验收测试）建议脚本</w:t>
      </w:r>
    </w:p>
    <w:p w14:paraId="5E55676D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脚本A：低风险病例：</w:t>
      </w:r>
      <w:r>
        <w:rPr>
          <w:b w:val="0"/>
          <w:i w:val="0"/>
        </w:rPr>
        <w:t>Ct = 32、AFB低档、Ralph score = 18、无空洞、HbA1c 已录入。系统应判定轻症，允许进入A随机，返回A1/A2/A3之一并生成对应发药路径。</w:t>
      </w:r>
    </w:p>
    <w:p w14:paraId="73BE4CCE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脚本B：影像重病例：</w:t>
      </w:r>
      <w:r>
        <w:rPr>
          <w:b w:val="0"/>
          <w:i w:val="0"/>
        </w:rPr>
        <w:t>Ct = 34、AFB低档，但 CXR 有空洞。系统应判定影像重、总层级为重症，不得归入低风险。</w:t>
      </w:r>
    </w:p>
    <w:p w14:paraId="5996BD10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脚本C：结果不一致病例：</w:t>
      </w:r>
      <w:r>
        <w:rPr>
          <w:b w:val="0"/>
          <w:i w:val="0"/>
        </w:rPr>
        <w:t>Ct &gt; 30 但 AFB 高档。系统应生成质控工单，并按保守原则维持痰菌重。</w:t>
      </w:r>
    </w:p>
    <w:p w14:paraId="4027C3B9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脚本D：M6 Hard Gate达标：</w:t>
      </w:r>
      <w:r>
        <w:rPr>
          <w:b w:val="0"/>
          <w:i w:val="0"/>
        </w:rPr>
        <w:t>4个月至6个月期间已有2次培养阴性、间隔 &gt;= 7 天，且之后无再阳。系统应允许进入B随机。</w:t>
      </w:r>
    </w:p>
    <w:p w14:paraId="62ADF6AF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脚本E：M6 Hard Gate未达标：</w:t>
      </w:r>
      <w:r>
        <w:rPr>
          <w:b w:val="0"/>
          <w:i w:val="0"/>
        </w:rPr>
        <w:t>培养阴性不足2次，或间隔不足7天，或后续有再阳。系统应阻止B随机，并转入非随机延续路径。</w:t>
      </w:r>
    </w:p>
    <w:p w14:paraId="2597F6DE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脚本F：子研究隐藏性：</w:t>
      </w:r>
      <w:r>
        <w:rPr>
          <w:b w:val="0"/>
          <w:i w:val="0"/>
        </w:rPr>
        <w:t>完成 CXR/CT 子研究数据后，临床角色不应在随机化决策页看到 PLI 四象限或 CT 评分。</w:t>
      </w:r>
    </w:p>
    <w:p w14:paraId="28AD832F">
      <w:pPr>
        <w:pStyle w:val="19"/>
        <w:widowControl/>
        <w:numPr>
          <w:ilvl w:val="0"/>
          <w:numId w:val="10"/>
        </w:numPr>
        <w:ind w:left="0" w:leftChars="0" w:firstLine="0" w:firstLineChars="0"/>
        <w:rPr>
          <w:b/>
          <w:color w:val="1D5B79"/>
          <w:bdr w:val="none" w:sz="0" w:space="0"/>
        </w:rPr>
      </w:pPr>
      <w:r>
        <w:rPr>
          <w:b/>
          <w:i w:val="0"/>
          <w:color w:val="1D5B79"/>
        </w:rPr>
        <w:t>脚本G：历史快照不可变：</w:t>
      </w:r>
      <w:r>
        <w:rPr>
          <w:b w:val="0"/>
          <w:i w:val="0"/>
        </w:rPr>
        <w:t>A随机化完成后修改某个原始字段，不应覆盖A随机化快照；若允许修改，应保留审计轨迹并重新计算当前派生值。</w:t>
      </w:r>
    </w:p>
    <w:p w14:paraId="315FB4A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权限、盲态与可见性设计</w:t>
      </w:r>
    </w:p>
    <w:p w14:paraId="725D607A">
      <w:pPr>
        <w:pStyle w:val="19"/>
        <w:widowControl/>
      </w:pPr>
      <w:r>
        <w:rPr>
          <w:b w:val="0"/>
          <w:i w:val="0"/>
        </w:rPr>
        <w:t>研究为开放标签，但关键环节需保持盲态或至少隔离：CEC裁决、中央影像阅片、CT研究评分、TB22/DSS/AI 分数和部分分析集标记，均不应对现场治疗团队开放。建议工程师按角色 + 页面 + 字段三层做权限矩阵，而不是只做“是否可编辑”。</w:t>
      </w:r>
    </w:p>
    <w:p w14:paraId="7141E3B9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研究医生/CRC：可见筛选、基线、母研究随访、AE、A/B随机结果、Hard Gate结论；不可见 CT 总分、TB22、DSS、影像AI 原始或派生分数。</w:t>
      </w:r>
    </w:p>
    <w:p w14:paraId="626376B9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药师：仅可见发药相关信息和随机组别，不可见不必要的研究性隐藏字段。</w:t>
      </w:r>
    </w:p>
    <w:p w14:paraId="51B4AA4A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中央阅片组：可见影像上传、评分和裁决页；不可修改临床治疗字段。</w:t>
      </w:r>
    </w:p>
    <w:p w14:paraId="319470C4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DM/统计：可见全部字段、导出和锁定页；具备 query 和版本审查权限。</w:t>
      </w:r>
    </w:p>
    <w:p w14:paraId="354DC0E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培训、变更控制与上线后维护</w:t>
      </w:r>
    </w:p>
    <w:p w14:paraId="399A570A">
      <w:pPr>
        <w:pStyle w:val="19"/>
        <w:widowControl/>
      </w:pPr>
      <w:r>
        <w:rPr>
          <w:b w:val="0"/>
          <w:i w:val="0"/>
        </w:rPr>
        <w:t>任何涉及分层逻辑、随机化分层因素、Hard Gate、药物路径或隐藏字段可见性的变更，都必须走正式变更控制。EDC工程师不得仅根据口头沟通直接修改生产规则。</w:t>
      </w:r>
    </w:p>
    <w:p w14:paraId="60516E35">
      <w:pPr>
        <w:pStyle w:val="19"/>
        <w:widowControl/>
      </w:pPr>
      <w:r>
        <w:rPr>
          <w:b w:val="0"/>
          <w:i w:val="0"/>
        </w:rPr>
        <w:t>建议每次变更至少输出四份文件：需求变更单、更新后的规则表、影响评估、UAT 通过记录。若变更影响历史数据派生，应同时说明是否重算、重算范围和对既往随机快照的影响。</w:t>
      </w:r>
    </w:p>
    <w:p w14:paraId="25ECFEA5">
      <w:pPr>
        <w:pStyle w:val="19"/>
        <w:widowControl/>
      </w:pPr>
      <w:r>
        <w:rPr>
          <w:b w:val="0"/>
          <w:i w:val="0"/>
        </w:rPr>
        <w:t>上线后建议每周生成一次缺失/异常清单、一次随机化日志核查、一次药物发放对账；在首批入组后1-2周召开一次现场反馈会，集中修正低可用性问题。</w:t>
      </w:r>
    </w:p>
    <w:p w14:paraId="043478D8">
      <w:r>
        <w:br w:type="page"/>
      </w:r>
    </w:p>
    <w:p w14:paraId="1C8CF4FD">
      <w:pPr>
        <w:pStyle w:val="175"/>
        <w:widowControl/>
      </w:pPr>
      <w:r>
        <w:t>附录 A. EDC工程师最小交付物清单</w:t>
      </w:r>
    </w:p>
    <w:p w14:paraId="26179872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项目配置文档：站点、用户、角色、访视窗、编号规则、环境说明。</w:t>
      </w:r>
    </w:p>
    <w:p w14:paraId="40BE101C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eCRF结构图：模块列表、页面跳转关系、必填字段说明。</w:t>
      </w:r>
    </w:p>
    <w:p w14:paraId="29D15194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派生规则表：输入字段、规则、输出字段、异常处理。</w:t>
      </w:r>
    </w:p>
    <w:p w14:paraId="4B5152CA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Edit check 列表：触发条件、系统动作、工单去向、优先级。</w:t>
      </w:r>
    </w:p>
    <w:p w14:paraId="671E4E6A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随机化实现说明：A/B两次随机化、分层因素、快照字段、接口异常处理。</w:t>
      </w:r>
    </w:p>
    <w:p w14:paraId="74392303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UAT脚本与通过记录：至少覆盖轻症、重症、不一致、A随机、B随机、子研究隐藏性。</w:t>
      </w:r>
    </w:p>
    <w:p w14:paraId="33ED3761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上线说明与版本包：测试环境与生产环境版本号、发布时间、回退方案。</w:t>
      </w:r>
    </w:p>
    <w:p w14:paraId="0F57E49E">
      <w:pPr>
        <w:pStyle w:val="175"/>
        <w:widowControl/>
      </w:pPr>
      <w:r>
        <w:t>附录 B. 推荐命名与字段前缀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096"/>
        <w:gridCol w:w="3380"/>
      </w:tblGrid>
      <w:tr w14:paraId="67F42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24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A7460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前缀</w:t>
            </w:r>
          </w:p>
        </w:tc>
        <w:tc>
          <w:tcPr>
            <w:tcW w:w="1613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E20CA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适用字段</w:t>
            </w:r>
          </w:p>
        </w:tc>
        <w:tc>
          <w:tcPr>
            <w:tcW w:w="1761" w:type="pct"/>
            <w:shd w:val="clear" w:color="auto" w:fill="DCEA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3A8EF">
            <w:pPr>
              <w:pStyle w:val="172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7324D"/>
                <w:sz w:val="17"/>
              </w:rPr>
              <w:t>示例</w:t>
            </w:r>
          </w:p>
        </w:tc>
      </w:tr>
      <w:tr w14:paraId="6512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8D241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RAW_</w:t>
            </w:r>
          </w:p>
        </w:tc>
        <w:tc>
          <w:tcPr>
            <w:tcW w:w="1613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D458C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原始录入字段</w:t>
            </w:r>
          </w:p>
        </w:tc>
        <w:tc>
          <w:tcPr>
            <w:tcW w:w="1761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9DD03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RAW_XPERT_CT, RAW_AFB_TEXT, RAW_RALPH</w:t>
            </w:r>
          </w:p>
        </w:tc>
      </w:tr>
      <w:tr w14:paraId="7B67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AB76F1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DRV_</w:t>
            </w:r>
          </w:p>
        </w:tc>
        <w:tc>
          <w:tcPr>
            <w:tcW w:w="1613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F1A0D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系统派生字段</w:t>
            </w:r>
          </w:p>
        </w:tc>
        <w:tc>
          <w:tcPr>
            <w:tcW w:w="1761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4C0C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DRV_AFB_SEV, DRV_IMG_SEV, DRV_HARDGATE</w:t>
            </w:r>
          </w:p>
        </w:tc>
      </w:tr>
      <w:tr w14:paraId="64232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5A2DE7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STRAT_</w:t>
            </w:r>
          </w:p>
        </w:tc>
        <w:tc>
          <w:tcPr>
            <w:tcW w:w="1613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AA23B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随机化分层字段</w:t>
            </w:r>
          </w:p>
        </w:tc>
        <w:tc>
          <w:tcPr>
            <w:tcW w:w="1761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74336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STRAT_BACT, STRAT_IMG, STRAT_HBA1C</w:t>
            </w:r>
          </w:p>
        </w:tc>
      </w:tr>
      <w:tr w14:paraId="64F1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A6A86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RAND_A_/RAND_B_</w:t>
            </w:r>
          </w:p>
        </w:tc>
        <w:tc>
          <w:tcPr>
            <w:tcW w:w="1613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34A7A1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随机化快照字段</w:t>
            </w:r>
          </w:p>
        </w:tc>
        <w:tc>
          <w:tcPr>
            <w:tcW w:w="1761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D67B01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RAND_A_GROUP, RAND_B_TS</w:t>
            </w:r>
          </w:p>
        </w:tc>
      </w:tr>
      <w:tr w14:paraId="55EA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F6D620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RSCH_</w:t>
            </w:r>
          </w:p>
        </w:tc>
        <w:tc>
          <w:tcPr>
            <w:tcW w:w="1613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3AA545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研究专用字段</w:t>
            </w:r>
          </w:p>
        </w:tc>
        <w:tc>
          <w:tcPr>
            <w:tcW w:w="1761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F2F2AF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RSCH_CXR_PLI, RSCH_CT_E, RSCH_CT_TOTAL</w:t>
            </w:r>
          </w:p>
        </w:tc>
      </w:tr>
      <w:tr w14:paraId="2FE7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4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37B5B5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HID_</w:t>
            </w:r>
          </w:p>
        </w:tc>
        <w:tc>
          <w:tcPr>
            <w:tcW w:w="1613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C50E54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隐藏/后台字段</w:t>
            </w:r>
          </w:p>
        </w:tc>
        <w:tc>
          <w:tcPr>
            <w:tcW w:w="1761" w:type="pct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B966C8">
            <w:pPr>
              <w:pStyle w:val="172"/>
            </w:pPr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HID_LOCK_STATUS, HID_ANALYSIS_SET</w:t>
            </w:r>
          </w:p>
        </w:tc>
      </w:tr>
    </w:tbl>
    <w:p w14:paraId="21C030ED">
      <w:pPr>
        <w:pStyle w:val="175"/>
        <w:widowControl/>
      </w:pPr>
      <w:r>
        <w:t>附录 C. 一页式落地提醒</w:t>
      </w:r>
    </w:p>
    <w:p w14:paraId="38FFF99C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不要把 CXR 子研究的 PLI/四象限变量当成母研究分层变量直接使用。</w:t>
      </w:r>
    </w:p>
    <w:p w14:paraId="3FECBD11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不要把 CT、TB22、DSS、影像AI 放进任何治疗决策提示框。</w:t>
      </w:r>
    </w:p>
    <w:p w14:paraId="33772269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不要允许关键字段缺失时继续随机化。</w:t>
      </w:r>
    </w:p>
    <w:p w14:paraId="772ECA05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不要覆盖 A 或 B 随机化时点的历史快照。</w:t>
      </w:r>
    </w:p>
    <w:p w14:paraId="1DBE28ED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rPr>
          <w:b w:val="0"/>
          <w:i w:val="0"/>
        </w:rPr>
        <w:t>任何“自动放行”规则都必须可被审计追踪。</w:t>
      </w:r>
    </w:p>
    <w:p w14:paraId="48093E15">
      <w:pPr>
        <w:spacing w:before="160"/>
        <w:jc w:val="center"/>
      </w:pPr>
      <w:r>
        <w:rPr>
          <w:rFonts w:ascii="Noto Sans CJK SC" w:hAnsi="Noto Sans CJK SC" w:eastAsia="Noto Sans CJK SC"/>
          <w:b/>
          <w:i w:val="0"/>
          <w:color w:val="5A6E82"/>
          <w:sz w:val="21"/>
        </w:rPr>
        <w:t>— 完 —</w:t>
      </w:r>
    </w:p>
    <w:sectPr>
      <w:headerReference r:id="rId5" w:type="default"/>
      <w:footerReference r:id="rId6" w:type="default"/>
      <w:pgSz w:w="11906" w:h="16838"/>
      <w:pgMar w:top="1134" w:right="1247" w:bottom="1020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4B999">
    <w:pPr>
      <w:pStyle w:val="24"/>
      <w:jc w:val="center"/>
    </w:pPr>
    <w:r>
      <w:rPr>
        <w:rFonts w:ascii="Noto Sans CJK SC" w:hAnsi="Noto Sans CJK SC" w:eastAsia="Noto Sans CJK SC"/>
        <w:b w:val="0"/>
        <w:i w:val="0"/>
        <w:color w:val="6B7785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Noto Sans CJK SC" w:hAnsi="Noto Sans CJK SC" w:eastAsia="Noto Sans CJK SC"/>
        <w:b w:val="0"/>
        <w:i w:val="0"/>
        <w:color w:val="6B7785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2CDA0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6B7785"/>
        <w:sz w:val="17"/>
      </w:rPr>
      <w:t>TDSC研究 - EDC构建实施指导手册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E34F7"/>
    <w:multiLevelType w:val="singleLevel"/>
    <w:tmpl w:val="ED0E34F7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5FEB3F7"/>
    <w:multiLevelType w:val="singleLevel"/>
    <w:tmpl w:val="05FEB3F7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8">
    <w:nsid w:val="0A2A50FE"/>
    <w:multiLevelType w:val="singleLevel"/>
    <w:tmpl w:val="0A2A50FE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2433DC07"/>
    <w:multiLevelType w:val="singleLevel"/>
    <w:tmpl w:val="2433DC07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4A5EB996"/>
    <w:multiLevelType w:val="singleLevel"/>
    <w:tmpl w:val="4A5EB996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>
    <w:nsid w:val="4FED5E0A"/>
    <w:multiLevelType w:val="singleLevel"/>
    <w:tmpl w:val="4FED5E0A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0"/>
  </w:num>
  <w:num w:numId="9">
    <w:abstractNumId w:val="7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475"/>
    <w:rsid w:val="0029639D"/>
    <w:rsid w:val="00326F90"/>
    <w:rsid w:val="00AA1D8D"/>
    <w:rsid w:val="00B47730"/>
    <w:rsid w:val="00CB0664"/>
    <w:rsid w:val="00FC693F"/>
    <w:rsid w:val="05C52150"/>
    <w:rsid w:val="2FD1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widowControl/>
      <w:spacing w:before="160" w:after="40" w:line="240" w:lineRule="auto"/>
      <w:ind w:left="0" w:leftChars="0" w:firstLine="0" w:firstLineChars="0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widowControl/>
      <w:tabs>
        <w:tab w:val="left" w:pos="360"/>
      </w:tabs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/>
      <w:spacing w:before="240" w:after="120" w:line="240" w:lineRule="auto"/>
      <w:ind w:firstLine="2249" w:firstLineChars="700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CN"/>
    <w:basedOn w:val="1"/>
    <w:qFormat/>
    <w:uiPriority w:val="0"/>
    <w:pPr>
      <w:spacing w:after="120"/>
    </w:pPr>
    <w:rPr>
      <w:rFonts w:ascii="Noto Sans CJK SC" w:hAnsi="Noto Sans CJK SC" w:eastAsia="Noto Sans CJK SC"/>
      <w:b/>
      <w:color w:val="122B45"/>
      <w:sz w:val="42"/>
    </w:rPr>
  </w:style>
  <w:style w:type="paragraph" w:customStyle="1" w:styleId="165">
    <w:name w:val="SubtitleCN"/>
    <w:basedOn w:val="1"/>
    <w:qFormat/>
    <w:uiPriority w:val="0"/>
    <w:pPr>
      <w:spacing w:after="80"/>
    </w:pPr>
    <w:rPr>
      <w:rFonts w:ascii="Noto Sans CJK SC" w:hAnsi="Noto Sans CJK SC" w:eastAsia="Noto Sans CJK SC"/>
      <w:color w:val="4C637A"/>
      <w:sz w:val="22"/>
    </w:rPr>
  </w:style>
  <w:style w:type="paragraph" w:customStyle="1" w:styleId="166">
    <w:name w:val="MetaSmall"/>
    <w:basedOn w:val="1"/>
    <w:qFormat/>
    <w:uiPriority w:val="0"/>
    <w:pPr>
      <w:spacing w:after="60"/>
    </w:pPr>
    <w:rPr>
      <w:rFonts w:ascii="Noto Sans CJK SC" w:hAnsi="Noto Sans CJK SC" w:eastAsia="Noto Sans CJK SC"/>
      <w:color w:val="5A5A5A"/>
      <w:sz w:val="17"/>
    </w:rPr>
  </w:style>
  <w:style w:type="paragraph" w:customStyle="1" w:styleId="167">
    <w:name w:val="SectionHead"/>
    <w:basedOn w:val="1"/>
    <w:qFormat/>
    <w:uiPriority w:val="0"/>
    <w:pPr>
      <w:spacing w:before="160" w:after="120"/>
    </w:pPr>
    <w:rPr>
      <w:rFonts w:ascii="Noto Sans CJK SC" w:hAnsi="Noto Sans CJK SC" w:eastAsia="Noto Sans CJK SC"/>
      <w:b/>
      <w:color w:val="0D4767"/>
      <w:sz w:val="28"/>
    </w:rPr>
  </w:style>
  <w:style w:type="paragraph" w:customStyle="1" w:styleId="168">
    <w:name w:val="SubHead"/>
    <w:basedOn w:val="1"/>
    <w:qFormat/>
    <w:uiPriority w:val="0"/>
    <w:pPr>
      <w:spacing w:before="80" w:after="60"/>
    </w:pPr>
    <w:rPr>
      <w:rFonts w:ascii="Noto Sans CJK SC" w:hAnsi="Noto Sans CJK SC" w:eastAsia="Noto Sans CJK SC"/>
      <w:b/>
      <w:color w:val="1D5B79"/>
      <w:sz w:val="23"/>
    </w:rPr>
  </w:style>
  <w:style w:type="paragraph" w:customStyle="1" w:styleId="169">
    <w:name w:val="SubHead2"/>
    <w:basedOn w:val="1"/>
    <w:qFormat/>
    <w:uiPriority w:val="0"/>
    <w:pPr>
      <w:spacing w:before="60" w:after="40"/>
    </w:pPr>
    <w:rPr>
      <w:rFonts w:ascii="Noto Sans CJK SC" w:hAnsi="Noto Sans CJK SC" w:eastAsia="Noto Sans CJK SC"/>
      <w:b/>
      <w:color w:val="2E758E"/>
      <w:sz w:val="21"/>
    </w:rPr>
  </w:style>
  <w:style w:type="paragraph" w:customStyle="1" w:styleId="170">
    <w:name w:val="BodySmall"/>
    <w:basedOn w:val="1"/>
    <w:qFormat/>
    <w:uiPriority w:val="0"/>
    <w:pPr>
      <w:spacing w:after="60"/>
    </w:pPr>
    <w:rPr>
      <w:rFonts w:ascii="Noto Sans CJK SC" w:hAnsi="Noto Sans CJK SC" w:eastAsia="Noto Sans CJK SC"/>
      <w:sz w:val="18"/>
    </w:rPr>
  </w:style>
  <w:style w:type="paragraph" w:customStyle="1" w:styleId="171">
    <w:name w:val="BulletCN"/>
    <w:basedOn w:val="1"/>
    <w:qFormat/>
    <w:uiPriority w:val="0"/>
    <w:pPr>
      <w:spacing w:after="40"/>
      <w:ind w:left="340" w:hanging="198"/>
    </w:pPr>
    <w:rPr>
      <w:rFonts w:ascii="Noto Sans CJK SC" w:hAnsi="Noto Sans CJK SC" w:eastAsia="Noto Sans CJK SC"/>
      <w:sz w:val="20"/>
    </w:rPr>
  </w:style>
  <w:style w:type="paragraph" w:customStyle="1" w:styleId="172">
    <w:name w:val="TableText"/>
    <w:basedOn w:val="1"/>
    <w:qFormat/>
    <w:uiPriority w:val="0"/>
    <w:pPr>
      <w:spacing w:after="20" w:line="276" w:lineRule="auto"/>
    </w:pPr>
    <w:rPr>
      <w:rFonts w:ascii="Noto Sans CJK SC" w:hAnsi="Noto Sans CJK SC" w:eastAsia="Noto Sans CJK SC"/>
      <w:sz w:val="17"/>
    </w:rPr>
  </w:style>
  <w:style w:type="paragraph" w:customStyle="1" w:styleId="173">
    <w:name w:val="NoteBox"/>
    <w:basedOn w:val="1"/>
    <w:qFormat/>
    <w:uiPriority w:val="0"/>
    <w:rPr>
      <w:rFonts w:ascii="Noto Sans CJK SC" w:hAnsi="Noto Sans CJK SC" w:eastAsia="Noto Sans CJK SC"/>
      <w:color w:val="2F3B4A"/>
      <w:sz w:val="18"/>
    </w:rPr>
  </w:style>
  <w:style w:type="paragraph" w:customStyle="1" w:styleId="174">
    <w:name w:val="AppendixHead"/>
    <w:basedOn w:val="1"/>
    <w:qFormat/>
    <w:uiPriority w:val="0"/>
    <w:rPr>
      <w:rFonts w:ascii="Noto Sans CJK SC" w:hAnsi="Noto Sans CJK SC" w:eastAsia="Noto Sans CJK SC"/>
      <w:b/>
      <w:color w:val="0D4767"/>
      <w:sz w:val="24"/>
    </w:rPr>
  </w:style>
  <w:style w:type="paragraph" w:customStyle="1" w:styleId="175">
    <w:name w:val="附录标题"/>
    <w:next w:val="1"/>
    <w:uiPriority w:val="0"/>
    <w:pPr>
      <w:widowControl/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1360</Words>
  <Characters>1654</Characters>
  <Lines>0</Lines>
  <Paragraphs>0</Paragraphs>
  <TotalTime>2</TotalTime>
  <ScaleCrop>false</ScaleCrop>
  <LinksUpToDate>false</LinksUpToDate>
  <CharactersWithSpaces>1715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2026-03-17T02:22:22Z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04D1E9606D8D41109D7C12ED1FE46D70_12</vt:lpwstr>
  </property>
</Properties>
</file>