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Noto Sans CJK SC"/>
          <w:b/>
          <w:color w:val="1F4E79"/>
          <w:sz w:val="36"/>
        </w:rPr>
        <w:t>TDSC 研究</w:t>
      </w:r>
    </w:p>
    <w:p>
      <w:pPr>
        <w:jc w:val="center"/>
      </w:pPr>
      <w:r>
        <w:rPr>
          <w:rFonts w:ascii="Times New Roman" w:hAnsi="Times New Roman" w:eastAsia="Noto Sans CJK SC"/>
          <w:b/>
          <w:color w:val="595959"/>
          <w:sz w:val="23"/>
        </w:rPr>
        <w:t>影像学资料的 EDC 构建实施指导手册 / SOP（v1.3，三级主分类版）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pStyle w:val="TableText"/>
              <w:jc w:val="center"/>
            </w:pPr>
            <w:r>
              <w:rPr>
                <w:b/>
              </w:rPr>
              <w:t>文件属性</w:t>
            </w:r>
          </w:p>
        </w:tc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实施指导手册（建议版）</w:t>
            </w:r>
          </w:p>
        </w:tc>
      </w:tr>
      <w:tr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pStyle w:val="TableText"/>
              <w:jc w:val="center"/>
            </w:pPr>
            <w:r>
              <w:rPr>
                <w:b/>
              </w:rPr>
              <w:t>受控文件编号</w:t>
            </w:r>
          </w:p>
        </w:tc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TDSC-EDC-SOP-Guide-v1.3</w:t>
            </w:r>
          </w:p>
        </w:tc>
      </w:tr>
      <w:tr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pStyle w:val="TableText"/>
              <w:jc w:val="center"/>
            </w:pPr>
            <w:r>
              <w:rPr>
                <w:b/>
              </w:rPr>
              <w:t>对应文件</w:t>
            </w:r>
          </w:p>
        </w:tc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研究方案 V2.0；SOP01 V1.2；两项影像子研究框架；TB-CT Core Score v1.3 手册</w:t>
            </w:r>
          </w:p>
        </w:tc>
      </w:tr>
      <w:tr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pStyle w:val="TableText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2026-03-11</w:t>
            </w:r>
          </w:p>
        </w:tc>
      </w:tr>
      <w:tr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pStyle w:val="TableText"/>
              <w:jc w:val="center"/>
            </w:pPr>
            <w:r>
              <w:rPr>
                <w:b/>
              </w:rPr>
              <w:t>修订重点</w:t>
            </w:r>
          </w:p>
        </w:tc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将 CT 子研究口径统一升级为三级主分类：活动性 / 不确定性 / 非活动性，并保留活动性内部“明确/倾向”副标记；同步更新隐藏模块、派生逻辑、Edit checks、UAT 和权限矩阵。</w:t>
            </w:r>
          </w:p>
        </w:tc>
      </w:tr>
    </w:tbl>
    <w:p>
      <w:pPr>
        <w:spacing w:after="80" w:line="324" w:lineRule="auto"/>
        <w:ind w:firstLine="0"/>
      </w:pPr>
      <w:r>
        <w:rPr>
          <w:rFonts w:ascii="Times New Roman" w:hAnsi="Times New Roman" w:eastAsia="Noto Sans CJK SC"/>
        </w:rPr>
        <w:t>本手册用于把 TDSC 研究方案、SOP01 和两项影像学嵌套子研究转化为 EDC 的可执行配置。核心目标不是“把所有研究信息都做进系统”，而是先把实时决策字段、研究专用字段、隐藏字段和派生规则彻底分开，确保基线分层、两次随机化、M6 Hard Gate、第一影像学子研究（CXR）与第二影像学子研究（CT 三级主分类版）边界清晰。</w:t>
      </w:r>
    </w:p>
    <w:p>
      <w:pPr>
        <w:pStyle w:val="Heading1"/>
        <w:spacing w:before="160" w:after="80"/>
      </w:pPr>
      <w:r>
        <w:rPr>
          <w:rFonts w:ascii="Times New Roman" w:hAnsi="Times New Roman" w:eastAsia="Noto Sans CJK SC"/>
          <w:b/>
          <w:color w:val="1F4E79"/>
          <w:sz w:val="28"/>
        </w:rPr>
        <w:t>1 编写目的与适用范围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Noto Sans CJK SC"/>
        </w:rPr>
        <w:t>本手册用于向 EDC 工程师说明 TDSC 研究在系统实现上的总体需求、实施顺序、变量边界、逻辑校验和验收标准，作为项目经理、数据管理、统计、CRC、药师、实验室和影像团队之间的统一接口文件。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Noto Sans CJK SC"/>
        </w:rPr>
        <w:t>本手册覆盖 EDC 项目配置、eCRF 结构、派生逻辑、权限控制、随机化接口、药物发放、随访、门槛评估、影像子研究、质疑管理、审计追踪、数据冻结与版本变更；不代替正式研究方案、SAP、药物管理 SOP 或结局裁决 SOP。</w:t>
      </w:r>
    </w:p>
    <w:p>
      <w:pPr>
        <w:pStyle w:val="Heading1"/>
        <w:spacing w:before="160" w:after="80"/>
      </w:pPr>
      <w:r>
        <w:rPr>
          <w:rFonts w:ascii="Times New Roman" w:hAnsi="Times New Roman" w:eastAsia="Noto Sans CJK SC"/>
          <w:b/>
          <w:color w:val="1F4E79"/>
          <w:sz w:val="28"/>
        </w:rPr>
        <w:t>2 上位文件与权威口径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来源文件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本手册采用的核心约束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EDC 实现含义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研究方案 V2.0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采用两队列设计；队列 A 基线随机，队列 B 在 M6 Hard Gate 达标后随机。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系统需支持两次独立随机化、不同资格校验入口、统一审计追踪和分层变量锁定。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SOP01 V1.2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基线影像分层以 CXR 为主，CT 仅作补充。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系统需保留原始实验室/影像字段，并自动生成派生字段和质控工单。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CXR 子研究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CXR 主暴露为 PLI（连续）+ 空洞。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EDC 应额外采集 PLI、空洞数量、单双侧、最大径等字段，但这些字段不应驱动基线队列分配。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CT 子研究 v1.3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CT 采用三级主分类：活动性 / 不确定性 / 非活动性；活动性内部保留“明确/倾向”副标记；主评分为 E/C/B，仅基于活动性-明确病灶计算。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EDC 应建设独立隐藏模块，支持主分类、副标记、E/C/B 主分、U/X/P/N/D 扩展模块、中央双阅片与裁决；并通过表单模式区分“基线 CT 评分页”与“动态/疗程结束 CT 趋势页”。</w:t>
            </w:r>
          </w:p>
        </w:tc>
      </w:tr>
    </w:tbl>
    <w:p>
      <w:pPr>
        <w:pStyle w:val="Heading1"/>
        <w:spacing w:before="160" w:after="80"/>
      </w:pPr>
      <w:r>
        <w:rPr>
          <w:rFonts w:ascii="Times New Roman" w:hAnsi="Times New Roman" w:eastAsia="Noto Sans CJK SC"/>
          <w:b/>
          <w:color w:val="1F4E79"/>
          <w:sz w:val="28"/>
        </w:rPr>
        <w:t>3 EDC 系统建设总原则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</w:rPr>
        <w:t xml:space="preserve">1. </w:t>
      </w:r>
      <w:r>
        <w:rPr>
          <w:rFonts w:ascii="Times New Roman" w:hAnsi="Times New Roman" w:eastAsia="Noto Sans CJK SC"/>
        </w:rPr>
        <w:t>先区分系统边界，再配置表单。凡是影响队列分配、随机资格或药物发放的字段，必须单独标识并设置锁定规则。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</w:rPr>
        <w:t xml:space="preserve">2. </w:t>
      </w:r>
      <w:r>
        <w:rPr>
          <w:rFonts w:ascii="Times New Roman" w:hAnsi="Times New Roman" w:eastAsia="Noto Sans CJK SC"/>
        </w:rPr>
        <w:t>母研究优先于子研究。CXR/CT 子研究模块应在不影响入组、随机化和随访主流程的前提下增设。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</w:rPr>
        <w:t xml:space="preserve">3. </w:t>
      </w:r>
      <w:r>
        <w:rPr>
          <w:rFonts w:ascii="Times New Roman" w:hAnsi="Times New Roman" w:eastAsia="Noto Sans CJK SC"/>
        </w:rPr>
        <w:t>研究字段不反向污染临床决策。TB22、DSS、影像 AI、CT 主评分、CT 扩展模块、CXR 子研究四象限等可作为研究字段，但不进入队列分配、M6 Hard Gate 或随机化决策页面。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</w:rPr>
        <w:t xml:space="preserve">4. </w:t>
      </w:r>
      <w:r>
        <w:rPr>
          <w:rFonts w:ascii="Times New Roman" w:hAnsi="Times New Roman" w:eastAsia="Noto Sans CJK SC"/>
        </w:rPr>
        <w:t>CT 子研究采用“三级主分类 + 活动性副标记 + 扩展模块 + 时间场景分离”的隐藏式实现。</w:t>
      </w:r>
    </w:p>
    <w:p>
      <w:pPr>
        <w:pStyle w:val="Heading1"/>
        <w:spacing w:before="160" w:after="80"/>
      </w:pPr>
      <w:r>
        <w:rPr>
          <w:rFonts w:ascii="Times New Roman" w:hAnsi="Times New Roman" w:eastAsia="Noto Sans CJK SC"/>
          <w:b/>
          <w:color w:val="1F4E79"/>
          <w:sz w:val="28"/>
        </w:rPr>
        <w:t>4 模块清单与 eCRF 结构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M9 CXR 子研究：PLI、空洞负荷、中央阅片、四象限变量。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M10 CT 子研究—基线评分页（隐藏）：主分类（活动性 / 不确定性 / 非活动性）、活动性副标记（明确 / 倾向）、E/C/B 主评分、U/X/P/N/D 模块、中央双阅片与裁决。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M10b CT 子研究—动态/疗程结束页（隐藏）：趋势与残留表型页面，不调用基线主评分公式。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M10c CT 子研究规则页（隐藏）：活动性病例方可填写活动性副标记；只有活动性-明确才自动参与主评分主分析；活动性-倾向用于敏感性标记。</w:t>
      </w:r>
    </w:p>
    <w:p>
      <w:pPr>
        <w:pStyle w:val="Heading1"/>
        <w:spacing w:before="160" w:after="80"/>
      </w:pPr>
      <w:r>
        <w:rPr>
          <w:rFonts w:ascii="Times New Roman" w:hAnsi="Times New Roman" w:eastAsia="Noto Sans CJK SC"/>
          <w:b/>
          <w:color w:val="1F4E79"/>
          <w:sz w:val="28"/>
        </w:rPr>
        <w:t>5 关键字段与派生逻辑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派生字段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输入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推荐规则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RSCH_CT_CLASS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基线 CT 主分类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记录为活动性 / 不确定性 / 非活动性。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为 CT 子研究主字段。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RSCH_CT_ACTIVE_LEVEL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活动性病例副标记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仅当主分类 = 活动性时填写：明确 / 倾向。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不适用于不确定性或非活动性。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RSCH_CT_TOTAL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E/C/B 评分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仅当主分类 = 活动性 且副标记 = 明确时，自动计算 E + C + B。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活动性-倾向不进入主分析总分。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RSCH_CT_U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不确定性病灶记录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仅当主分类 = 不确定性或存在不确定性附加病灶时填写。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用于敏感性分析。</w:t>
            </w:r>
          </w:p>
        </w:tc>
      </w:tr>
    </w:tbl>
    <w:p>
      <w:pPr>
        <w:pStyle w:val="Heading1"/>
        <w:spacing w:before="160" w:after="80"/>
      </w:pPr>
      <w:r>
        <w:rPr>
          <w:rFonts w:ascii="Times New Roman" w:hAnsi="Times New Roman" w:eastAsia="Noto Sans CJK SC"/>
          <w:b/>
          <w:color w:val="1F4E79"/>
          <w:sz w:val="28"/>
        </w:rPr>
        <w:t>6 Edit checks 与 UAT 更新要点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若主分类 = 活动性，但未填写活动性副标记，则禁止完成中央阅片提交。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若主分类 ≠ 活动性，却填写了活动性副标记或 E/C/B 主分，则阻止保存并提示选择正确字段。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若主分类 = 活动性 且副标记 = 倾向，系统应允许保存 E/C/B 辅助记录，但不得自动进入主分析总分输出字段。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若动态/疗程结束页试图调用基线 CT 主评分公式，系统应阻止保存。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UAT 必须覆盖：三级主分类、活动性副标记、主评分主分析口径、动态页隔离、疑难病例讨论闭环。</w:t>
      </w:r>
    </w:p>
    <w:p>
      <w:pPr>
        <w:pStyle w:val="Heading1"/>
        <w:spacing w:before="160" w:after="80"/>
      </w:pPr>
      <w:r>
        <w:rPr>
          <w:rFonts w:ascii="Times New Roman" w:hAnsi="Times New Roman" w:eastAsia="Noto Sans CJK SC"/>
          <w:b/>
          <w:color w:val="1F4E79"/>
          <w:sz w:val="28"/>
        </w:rPr>
        <w:t>7 权限与盲态设计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研究医生/CRC：不可见 CT 主分类细节、活动性副标记、E/C/B 主分及 U/X/P/N/D 扩展模块。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中央阅片组：可见并编辑三级主分类、活动性副标记、E/C/B 主分、扩展模块以及基线/动态模式。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疑难病例讨论成员：仅对被标记病例开放相关阅片快照、临床补充信息和讨论结论页。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DM/统计：可见全部字段、导出和锁定页。</w:t>
      </w:r>
    </w:p>
    <w:p>
      <w:pPr>
        <w:pStyle w:val="Heading1"/>
        <w:spacing w:before="160" w:after="80"/>
      </w:pPr>
      <w:r>
        <w:rPr>
          <w:rFonts w:ascii="Times New Roman" w:hAnsi="Times New Roman" w:eastAsia="Noto Sans CJK SC"/>
          <w:b/>
          <w:color w:val="1F4E79"/>
          <w:sz w:val="28"/>
        </w:rPr>
        <w:t>8 一页式落地提醒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不要把 CT 子研究主字段或活动性副标记放入任何治疗决策提示框。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不要允许非活动性或不确定性病灶直接进入 E/C/B 主分。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不要把基线评分页与动态/疗程结束趋势页混为一张表单。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任何自动放行规则都必须可被审计追踪。</w:t>
      </w:r>
    </w:p>
    <w:sectPr w:rsidR="00FC693F" w:rsidRPr="0006063C" w:rsidSect="00034616">
      <w:pgSz w:w="12240" w:h="15840"/>
      <w:pgMar w:top="1247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rPr>
      <w:rFonts w:ascii="Times New Roman" w:hAnsi="Times New Roman" w:eastAsia="Noto Sans CJK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