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D0046">
      <w:pPr>
        <w:pStyle w:val="164"/>
        <w:jc w:val="center"/>
      </w:pPr>
      <w:r>
        <w:t>知情同意书</w:t>
      </w:r>
    </w:p>
    <w:p w14:paraId="79F07256">
      <w:pPr>
        <w:jc w:val="center"/>
      </w:pPr>
      <w:r>
        <w:rPr>
          <w:rFonts w:ascii="宋体" w:hAnsi="宋体" w:eastAsia="宋体"/>
          <w:b/>
          <w:sz w:val="24"/>
        </w:rPr>
        <w:t>研究项目名称：糖尿病人群结核病短程治疗方案研究</w:t>
      </w:r>
    </w:p>
    <w:p w14:paraId="55CDD012">
      <w:pPr>
        <w:jc w:val="center"/>
      </w:pPr>
      <w:r>
        <w:rPr>
          <w:rFonts w:ascii="宋体" w:hAnsi="宋体" w:eastAsia="宋体"/>
          <w:b w:val="0"/>
          <w:sz w:val="22"/>
        </w:rPr>
        <w:t>——评估短程方案精准治疗策略在结核病与糖尿病共病患者中的有效性与安全性：</w:t>
      </w:r>
    </w:p>
    <w:p w14:paraId="3CFA6958">
      <w:pPr>
        <w:jc w:val="center"/>
      </w:pPr>
      <w:r>
        <w:rPr>
          <w:rFonts w:ascii="宋体" w:hAnsi="宋体" w:eastAsia="宋体"/>
          <w:b w:val="0"/>
          <w:sz w:val="22"/>
        </w:rPr>
        <w:t>一项多中心、分层、随机、对照临床试验</w:t>
      </w:r>
    </w:p>
    <w:p w14:paraId="22A0E1B2">
      <w:pPr>
        <w:jc w:val="center"/>
      </w:pPr>
      <w:r>
        <w:rPr>
          <w:rFonts w:ascii="宋体" w:hAnsi="宋体" w:eastAsia="宋体"/>
          <w:b w:val="0"/>
          <w:sz w:val="22"/>
        </w:rPr>
        <w:t>简称：TDSC（TB-Diabetes Short Course）</w:t>
      </w:r>
    </w:p>
    <w:p w14:paraId="578FC10A">
      <w:pPr>
        <w:rPr>
          <w:rFonts w:hint="eastAsia"/>
        </w:rPr>
      </w:pPr>
    </w:p>
    <w:p w14:paraId="2A5CC313">
      <w:pPr>
        <w:rPr>
          <w:rFonts w:hint="eastAsia"/>
        </w:rPr>
      </w:pPr>
      <w:r>
        <w:rPr>
          <w:rFonts w:hint="eastAsia"/>
        </w:rPr>
        <w:t>研究方案版本号： V</w:t>
      </w:r>
      <w:r>
        <w:rPr>
          <w:rFonts w:hint="eastAsia"/>
          <w:lang w:val="en-US" w:eastAsia="zh-CN"/>
        </w:rPr>
        <w:t>2</w:t>
      </w:r>
      <w:r>
        <w:rPr>
          <w:rFonts w:hint="eastAsia"/>
        </w:rPr>
        <w:t>.0（202</w:t>
      </w:r>
      <w:r>
        <w:rPr>
          <w:rFonts w:hint="eastAsia"/>
          <w:lang w:val="en-US" w:eastAsia="zh-CN"/>
        </w:rPr>
        <w:t>6</w:t>
      </w:r>
      <w:r>
        <w:rPr>
          <w:rFonts w:hint="eastAsia"/>
        </w:rPr>
        <w:t>年</w:t>
      </w:r>
      <w:r>
        <w:rPr>
          <w:rFonts w:hint="eastAsia"/>
          <w:lang w:val="en-US" w:eastAsia="zh-CN"/>
        </w:rPr>
        <w:t>02</w:t>
      </w:r>
      <w:r>
        <w:rPr>
          <w:rFonts w:hint="eastAsia"/>
        </w:rPr>
        <w:t>月</w:t>
      </w:r>
      <w:r>
        <w:rPr>
          <w:rFonts w:hint="eastAsia"/>
          <w:lang w:val="en-US" w:eastAsia="zh-CN"/>
        </w:rPr>
        <w:t>28</w:t>
      </w:r>
      <w:r>
        <w:rPr>
          <w:rFonts w:hint="eastAsia"/>
        </w:rPr>
        <w:t>日）</w:t>
      </w:r>
    </w:p>
    <w:p w14:paraId="0C6853BF">
      <w:pPr>
        <w:rPr>
          <w:rFonts w:hint="eastAsia"/>
        </w:rPr>
      </w:pPr>
      <w:r>
        <w:rPr>
          <w:rFonts w:hint="eastAsia"/>
        </w:rPr>
        <w:t>牵头单位： 深圳市第三人民医院</w:t>
      </w:r>
    </w:p>
    <w:p w14:paraId="1595717E">
      <w:pPr>
        <w:rPr>
          <w:rFonts w:hint="eastAsia"/>
        </w:rPr>
      </w:pPr>
      <w:r>
        <w:rPr>
          <w:rFonts w:hint="eastAsia"/>
        </w:rPr>
        <w:t>主要研究者（PI）： 邓国防 教授</w:t>
      </w:r>
    </w:p>
    <w:p w14:paraId="229434C2">
      <w:pPr>
        <w:rPr>
          <w:rFonts w:hint="eastAsia"/>
        </w:rPr>
      </w:pPr>
      <w:r>
        <w:rPr>
          <w:rFonts w:hint="eastAsia"/>
        </w:rPr>
        <w:t xml:space="preserve">参与单位： </w:t>
      </w:r>
    </w:p>
    <w:p w14:paraId="280F9004">
      <w:pPr>
        <w:rPr>
          <w:rFonts w:hint="eastAsia"/>
        </w:rPr>
      </w:pPr>
      <w:r>
        <w:rPr>
          <w:rFonts w:hint="eastAsia"/>
        </w:rPr>
        <w:t xml:space="preserve">分中心研究者：              </w:t>
      </w:r>
    </w:p>
    <w:p w14:paraId="7C3C4A05">
      <w:pPr>
        <w:rPr>
          <w:rFonts w:hint="eastAsia"/>
        </w:rPr>
      </w:pPr>
    </w:p>
    <w:p w14:paraId="37D8D729">
      <w:pPr>
        <w:pStyle w:val="165"/>
      </w:pPr>
      <w:r>
        <w:t>1. 引言（邀请您参加研究）</w:t>
      </w:r>
    </w:p>
    <w:p w14:paraId="044DFAE9">
      <w:pPr>
        <w:spacing w:after="120" w:line="300" w:lineRule="auto"/>
      </w:pPr>
      <w:r>
        <w:rPr>
          <w:rFonts w:ascii="宋体" w:hAnsi="宋体" w:eastAsia="宋体"/>
          <w:b w:val="0"/>
          <w:sz w:val="22"/>
        </w:rPr>
        <w:t>您好！</w:t>
      </w:r>
    </w:p>
    <w:p w14:paraId="7000FF20">
      <w:pPr>
        <w:spacing w:after="120" w:line="300" w:lineRule="auto"/>
      </w:pPr>
      <w:r>
        <w:rPr>
          <w:rFonts w:ascii="宋体" w:hAnsi="宋体" w:eastAsia="宋体"/>
          <w:b w:val="0"/>
          <w:sz w:val="22"/>
        </w:rPr>
        <w:t>我们诚挚邀请您参加本临床研究。您被邀请是因为您同时诊断患有“活动性肺结核”和“2型糖尿病”。参加研究完全自愿。</w:t>
      </w:r>
    </w:p>
    <w:p w14:paraId="5002B4A8">
      <w:pPr>
        <w:spacing w:after="120" w:line="300" w:lineRule="auto"/>
      </w:pPr>
      <w:r>
        <w:rPr>
          <w:rFonts w:ascii="宋体" w:hAnsi="宋体" w:eastAsia="宋体"/>
          <w:b w:val="0"/>
          <w:sz w:val="22"/>
        </w:rPr>
        <w:t>本《知情同意书》将向您解释研究目的、研究流程、可能获益与风险、替代治疗选择、隐私保护与补偿安排等。请您仔细阅读，并可与家属或医生讨论。若有疑问，请随时向研究医生提问。</w:t>
      </w:r>
    </w:p>
    <w:p w14:paraId="5832D681">
      <w:pPr>
        <w:pStyle w:val="165"/>
      </w:pPr>
      <w:r>
        <w:t>2. 为什么要进行这项研究？（研究目的与背景）</w:t>
      </w:r>
    </w:p>
    <w:p w14:paraId="4AE62B72">
      <w:pPr>
        <w:spacing w:after="120" w:line="300" w:lineRule="auto"/>
      </w:pPr>
      <w:r>
        <w:rPr>
          <w:rFonts w:ascii="宋体" w:hAnsi="宋体" w:eastAsia="宋体"/>
          <w:b w:val="0"/>
          <w:sz w:val="22"/>
        </w:rPr>
        <w:t>糖尿病合并肺结核（TB-DM）患者的病情严重程度与治疗反应差异较大。对部分患者而言，固定疗程可能造成“低风险人群过度治疗”或“高风险人群治疗不足”。</w:t>
      </w:r>
    </w:p>
    <w:p w14:paraId="157C8A2F">
      <w:pPr>
        <w:spacing w:after="120" w:line="300" w:lineRule="auto"/>
      </w:pPr>
      <w:r>
        <w:rPr>
          <w:rFonts w:ascii="宋体" w:hAnsi="宋体" w:eastAsia="宋体"/>
          <w:b w:val="0"/>
          <w:sz w:val="22"/>
        </w:rPr>
        <w:t>本研究旨在</w:t>
      </w:r>
      <w:r>
        <w:rPr>
          <w:rFonts w:hint="eastAsia"/>
          <w:b w:val="0"/>
          <w:sz w:val="22"/>
          <w:lang w:val="en-US" w:eastAsia="zh-CN"/>
        </w:rPr>
        <w:t>缩短TB-DM人群的抗结核疗程，</w:t>
      </w:r>
      <w:r>
        <w:rPr>
          <w:rFonts w:ascii="宋体" w:hAnsi="宋体" w:eastAsia="宋体"/>
          <w:b w:val="0"/>
          <w:sz w:val="22"/>
        </w:rPr>
        <w:t>建立并验证一套“可复制、可推广”的风险分层治疗路径，回答以下问题：</w:t>
      </w:r>
    </w:p>
    <w:p w14:paraId="2A0CECB0">
      <w:pPr>
        <w:pStyle w:val="16"/>
        <w:spacing w:after="40" w:line="300" w:lineRule="auto"/>
      </w:pPr>
      <w:r>
        <w:rPr>
          <w:rFonts w:ascii="宋体" w:hAnsi="宋体" w:eastAsia="宋体"/>
          <w:b w:val="0"/>
          <w:sz w:val="22"/>
        </w:rPr>
        <w:t>在基线低风险TB-DM患者中：两种每日口服4个月含利福喷丁方案，是否在疗效与安全性方面不劣于6个月标准方案（2HRZE/4HR）？</w:t>
      </w:r>
    </w:p>
    <w:p w14:paraId="4812BBCF">
      <w:pPr>
        <w:pStyle w:val="16"/>
        <w:spacing w:after="40" w:line="300" w:lineRule="auto"/>
      </w:pPr>
      <w:r>
        <w:rPr>
          <w:rFonts w:ascii="宋体" w:hAnsi="宋体" w:eastAsia="宋体"/>
          <w:b w:val="0"/>
          <w:sz w:val="22"/>
        </w:rPr>
        <w:t>在基线中/高风险TB-DM患者中：先统一治疗至6个月后，满足预设“微生物学安全门槛（Hard Gate）”的患者，停止治疗（总疗程6个月）是否不劣于继续治疗至9个月（2HRZE/7HR）？</w:t>
      </w:r>
    </w:p>
    <w:p w14:paraId="3A17C617">
      <w:pPr>
        <w:spacing w:after="120" w:line="300" w:lineRule="auto"/>
      </w:pPr>
      <w:r>
        <w:rPr>
          <w:rFonts w:ascii="宋体" w:hAnsi="宋体" w:eastAsia="宋体"/>
          <w:b w:val="0"/>
          <w:sz w:val="22"/>
        </w:rPr>
        <w:t>本研究为多中心、开放标签、分层随机对照研究，计划在多家医院开展，预计总入组约1350名受试者（低风险队列约850名，中/高风险队列约500名，实际以各中心入组情况为准）。</w:t>
      </w:r>
    </w:p>
    <w:p w14:paraId="34300294">
      <w:pPr>
        <w:pStyle w:val="165"/>
      </w:pPr>
      <w:r>
        <w:t>3. 我需要做什么？（研究流程与程序）</w:t>
      </w:r>
    </w:p>
    <w:p w14:paraId="3C1C9786">
      <w:pPr>
        <w:pStyle w:val="166"/>
      </w:pPr>
      <w:r>
        <w:t>3.1 筛选与基线评估</w:t>
      </w:r>
    </w:p>
    <w:p w14:paraId="23F4D90F">
      <w:pPr>
        <w:spacing w:after="120" w:line="300" w:lineRule="auto"/>
      </w:pPr>
      <w:r>
        <w:rPr>
          <w:rFonts w:ascii="宋体" w:hAnsi="宋体" w:eastAsia="宋体"/>
          <w:b w:val="0"/>
          <w:sz w:val="22"/>
        </w:rPr>
        <w:t>如您同意参加，研究医生会在筛选期进行评估，以确认您是否符合入组条件。评估内容通常包括：</w:t>
      </w:r>
    </w:p>
    <w:p w14:paraId="4BD14BAF">
      <w:pPr>
        <w:pStyle w:val="16"/>
        <w:spacing w:after="40" w:line="300" w:lineRule="auto"/>
      </w:pPr>
      <w:r>
        <w:rPr>
          <w:rFonts w:ascii="宋体" w:hAnsi="宋体" w:eastAsia="宋体"/>
          <w:b w:val="0"/>
          <w:sz w:val="22"/>
        </w:rPr>
        <w:t>病史询问与体格检查；</w:t>
      </w:r>
    </w:p>
    <w:p w14:paraId="2F57524F">
      <w:pPr>
        <w:pStyle w:val="16"/>
        <w:spacing w:after="40" w:line="300" w:lineRule="auto"/>
      </w:pPr>
      <w:r>
        <w:rPr>
          <w:rFonts w:ascii="宋体" w:hAnsi="宋体" w:eastAsia="宋体"/>
          <w:b w:val="0"/>
          <w:sz w:val="22"/>
        </w:rPr>
        <w:t>抽血检查（如血常规、肝肾功能、电解质、血糖相关指标等）；</w:t>
      </w:r>
    </w:p>
    <w:p w14:paraId="1CCA5492">
      <w:pPr>
        <w:pStyle w:val="16"/>
        <w:spacing w:after="40" w:line="300" w:lineRule="auto"/>
      </w:pPr>
      <w:r>
        <w:rPr>
          <w:rFonts w:ascii="宋体" w:hAnsi="宋体" w:eastAsia="宋体"/>
          <w:b w:val="0"/>
          <w:sz w:val="22"/>
        </w:rPr>
        <w:t>痰标本检查（如涂片、分子检测、培养等，以评估结核菌负荷与药敏相关信息）；</w:t>
      </w:r>
    </w:p>
    <w:p w14:paraId="44DF34B1">
      <w:pPr>
        <w:pStyle w:val="16"/>
        <w:spacing w:after="40" w:line="300" w:lineRule="auto"/>
      </w:pPr>
      <w:r>
        <w:rPr>
          <w:rFonts w:ascii="宋体" w:hAnsi="宋体" w:eastAsia="宋体"/>
          <w:b w:val="0"/>
          <w:sz w:val="22"/>
        </w:rPr>
        <w:t>胸部影像学检查（以胸片为主，必要时CT作为补充）；</w:t>
      </w:r>
    </w:p>
    <w:p w14:paraId="0EF9791B">
      <w:pPr>
        <w:pStyle w:val="16"/>
        <w:spacing w:after="40" w:line="300" w:lineRule="auto"/>
      </w:pPr>
      <w:r>
        <w:rPr>
          <w:rFonts w:ascii="宋体" w:hAnsi="宋体" w:eastAsia="宋体"/>
          <w:b w:val="0"/>
          <w:sz w:val="22"/>
        </w:rPr>
        <w:t>心电图（含QTcF评估）；</w:t>
      </w:r>
    </w:p>
    <w:p w14:paraId="2975543D">
      <w:pPr>
        <w:pStyle w:val="16"/>
        <w:spacing w:after="40" w:line="300" w:lineRule="auto"/>
      </w:pPr>
      <w:r>
        <w:rPr>
          <w:rFonts w:ascii="宋体" w:hAnsi="宋体" w:eastAsia="宋体"/>
          <w:b w:val="0"/>
          <w:sz w:val="22"/>
        </w:rPr>
        <w:t>育龄期女性妊娠评估与避孕咨询（如适用）。</w:t>
      </w:r>
    </w:p>
    <w:p w14:paraId="6D84DA99">
      <w:pPr>
        <w:pStyle w:val="166"/>
      </w:pPr>
      <w:r>
        <w:rPr>
          <w:rFonts w:ascii="黑体" w:hAnsi="黑体" w:eastAsia="黑体"/>
          <w:b/>
          <w:sz w:val="24"/>
        </w:rPr>
        <w:t>3.2 基线风险分层与进入队列Ａ或队列Ｂ</w:t>
      </w:r>
    </w:p>
    <w:p w14:paraId="167AC5F8">
      <w:pPr>
        <w:spacing w:after="120" w:line="300" w:lineRule="auto"/>
      </w:pPr>
      <w:r>
        <w:rPr>
          <w:rFonts w:ascii="宋体" w:hAnsi="宋体" w:eastAsia="宋体"/>
          <w:b w:val="0"/>
          <w:sz w:val="22"/>
        </w:rPr>
        <w:t>完成筛选并符合入组条件后，研究团队将使用</w:t>
      </w:r>
      <w:r>
        <w:rPr>
          <w:rFonts w:hint="eastAsia"/>
          <w:b w:val="0"/>
          <w:sz w:val="22"/>
          <w:lang w:val="en-US" w:eastAsia="zh-CN"/>
        </w:rPr>
        <w:t>领域内公认的</w:t>
      </w:r>
      <w:r>
        <w:rPr>
          <w:rFonts w:ascii="宋体" w:hAnsi="宋体" w:eastAsia="宋体"/>
          <w:b w:val="0"/>
          <w:sz w:val="22"/>
        </w:rPr>
        <w:t>“专家规则型分层工具”对您的基线风险进行分层，主要依据痰菌负荷/阳性程度与影像学空洞及病变范围等信息，分为低风险或中/高风险。</w:t>
      </w:r>
    </w:p>
    <w:p w14:paraId="55A1276A">
      <w:pPr>
        <w:spacing w:after="120" w:line="300" w:lineRule="auto"/>
      </w:pPr>
      <w:r>
        <w:rPr>
          <w:rFonts w:ascii="宋体" w:hAnsi="宋体" w:eastAsia="宋体"/>
          <w:b w:val="0"/>
          <w:sz w:val="22"/>
        </w:rPr>
        <w:t>根据该分层结果，您将进入队列Ａ（基线低风险）或队列Ｂ（基线中/高风险）。</w:t>
      </w:r>
    </w:p>
    <w:p w14:paraId="70902E69">
      <w:pPr>
        <w:spacing w:after="120" w:line="300" w:lineRule="auto"/>
      </w:pPr>
      <w:r>
        <w:rPr>
          <w:rFonts w:ascii="宋体" w:hAnsi="宋体" w:eastAsia="宋体"/>
          <w:b w:val="0"/>
          <w:sz w:val="22"/>
        </w:rPr>
        <w:t>此外，研究可能同步收集疾病严重度评分（如DSS）或人工智能（AI）模型评分等探索性指标，但这些结果仅用于事后科学分析，不会用于决定您进入哪个队列、是否随机化或是否停药。</w:t>
      </w:r>
    </w:p>
    <w:p w14:paraId="4B6884BE">
      <w:pPr>
        <w:pStyle w:val="166"/>
      </w:pPr>
      <w:r>
        <w:rPr>
          <w:rFonts w:ascii="黑体" w:hAnsi="黑体" w:eastAsia="黑体"/>
          <w:b/>
          <w:sz w:val="24"/>
        </w:rPr>
        <w:t>3.3 队列Ａ（基线低风险）：基线随机三组对照</w:t>
      </w:r>
    </w:p>
    <w:p w14:paraId="66100B34">
      <w:pPr>
        <w:spacing w:after="120" w:line="300" w:lineRule="auto"/>
      </w:pPr>
      <w:r>
        <w:rPr>
          <w:rFonts w:ascii="宋体" w:hAnsi="宋体" w:eastAsia="宋体"/>
          <w:b w:val="0"/>
          <w:sz w:val="22"/>
        </w:rPr>
        <w:t>若您进入队列Ａ，您将在基线（首次用药前）通过计算机随机（类似抽签）分配到以下三组之一（1:1:1）：</w:t>
      </w:r>
    </w:p>
    <w:p w14:paraId="492EDB23">
      <w:pPr>
        <w:pStyle w:val="16"/>
        <w:spacing w:after="40" w:line="300" w:lineRule="auto"/>
      </w:pPr>
      <w:r>
        <w:rPr>
          <w:rFonts w:ascii="宋体" w:hAnsi="宋体" w:eastAsia="宋体"/>
          <w:b w:val="0"/>
          <w:sz w:val="22"/>
        </w:rPr>
        <w:t>Ａ1组：4个月方案 2HP1200MZ/2HPM（含利福喷丁1200mg）；</w:t>
      </w:r>
    </w:p>
    <w:p w14:paraId="7AA07F1F">
      <w:pPr>
        <w:pStyle w:val="16"/>
        <w:spacing w:after="40" w:line="300" w:lineRule="auto"/>
      </w:pPr>
      <w:r>
        <w:rPr>
          <w:rFonts w:ascii="宋体" w:hAnsi="宋体" w:eastAsia="宋体"/>
          <w:b w:val="0"/>
          <w:sz w:val="22"/>
        </w:rPr>
        <w:t>Ａ2组：4个月方案 2HP900MZ/2HPM（含利福喷丁900mg）；</w:t>
      </w:r>
    </w:p>
    <w:p w14:paraId="2A7DC3B5">
      <w:pPr>
        <w:pStyle w:val="16"/>
        <w:spacing w:after="40" w:line="300" w:lineRule="auto"/>
      </w:pPr>
      <w:r>
        <w:rPr>
          <w:rFonts w:ascii="宋体" w:hAnsi="宋体" w:eastAsia="宋体"/>
          <w:b w:val="0"/>
          <w:sz w:val="22"/>
        </w:rPr>
        <w:t>Ａ3组：6个月标准对照方案 2HRZE/4HR。</w:t>
      </w:r>
    </w:p>
    <w:p w14:paraId="0B20CE28">
      <w:pPr>
        <w:spacing w:after="120" w:line="300" w:lineRule="auto"/>
      </w:pPr>
      <w:r>
        <w:rPr>
          <w:rFonts w:ascii="宋体" w:hAnsi="宋体" w:eastAsia="宋体"/>
          <w:b w:val="0"/>
          <w:sz w:val="22"/>
        </w:rPr>
        <w:t>说明：H=异烟肼，R=利福平，Z=吡嗪酰胺，E=乙胺丁醇，P=利福喷丁，M=莫西沙星。具体剂量与用法由研究医生按方案和您的临床情况执行。</w:t>
      </w:r>
    </w:p>
    <w:p w14:paraId="7C758AA1">
      <w:pPr>
        <w:pStyle w:val="166"/>
      </w:pPr>
      <w:r>
        <w:rPr>
          <w:rFonts w:ascii="黑体" w:hAnsi="黑体" w:eastAsia="黑体"/>
          <w:b/>
          <w:sz w:val="24"/>
        </w:rPr>
        <w:t>3.4 队列Ｂ（基线中/高风险）：先治疗至6个月，再“门槛后随机”</w:t>
      </w:r>
    </w:p>
    <w:p w14:paraId="3F36663A">
      <w:pPr>
        <w:spacing w:after="120" w:line="300" w:lineRule="auto"/>
      </w:pPr>
      <w:r>
        <w:rPr>
          <w:rFonts w:ascii="宋体" w:hAnsi="宋体" w:eastAsia="宋体"/>
          <w:b w:val="0"/>
          <w:sz w:val="22"/>
        </w:rPr>
        <w:t>若您进入队列Ｂ，您将先按方案接受标准抗结核治疗至满6个月（通常为2HRZE/4HR）。</w:t>
      </w:r>
    </w:p>
    <w:p w14:paraId="69DF89D5">
      <w:pPr>
        <w:spacing w:after="120" w:line="300" w:lineRule="auto"/>
      </w:pPr>
      <w:r>
        <w:rPr>
          <w:rFonts w:ascii="宋体" w:hAnsi="宋体" w:eastAsia="宋体"/>
          <w:b w:val="0"/>
          <w:sz w:val="22"/>
        </w:rPr>
        <w:t>在治疗第6个月（M6）时，研究团队将依据预设“微生物学安全门槛（Hard Gate）”判断您是否具备随机化资格。Hard Gate 的核心要求为：在M6访视前4个月内至少2次结核分枝杆菌培养阴性、两次阴性间隔至少7天，且之后至随机化前无培养再阳。</w:t>
      </w:r>
    </w:p>
    <w:p w14:paraId="68F2D246">
      <w:pPr>
        <w:spacing w:after="120" w:line="300" w:lineRule="auto"/>
      </w:pPr>
      <w:r>
        <w:rPr>
          <w:rFonts w:ascii="宋体" w:hAnsi="宋体" w:eastAsia="宋体"/>
          <w:b w:val="0"/>
          <w:sz w:val="22"/>
        </w:rPr>
        <w:t>若您满足Hard Gate：您将在M6通过计算机随机分配到以下两组之一（1:1）：</w:t>
      </w:r>
    </w:p>
    <w:p w14:paraId="6A8CAC06">
      <w:pPr>
        <w:pStyle w:val="16"/>
        <w:spacing w:after="40" w:line="300" w:lineRule="auto"/>
      </w:pPr>
      <w:r>
        <w:rPr>
          <w:rFonts w:ascii="宋体" w:hAnsi="宋体" w:eastAsia="宋体"/>
          <w:b w:val="0"/>
          <w:sz w:val="22"/>
        </w:rPr>
        <w:t>停药组：在M6停止抗结核治疗（总疗程6个月）；</w:t>
      </w:r>
    </w:p>
    <w:p w14:paraId="1460842C">
      <w:pPr>
        <w:pStyle w:val="16"/>
        <w:spacing w:after="40" w:line="300" w:lineRule="auto"/>
      </w:pPr>
      <w:r>
        <w:rPr>
          <w:rFonts w:ascii="宋体" w:hAnsi="宋体" w:eastAsia="宋体"/>
          <w:b w:val="0"/>
          <w:sz w:val="22"/>
        </w:rPr>
        <w:t>继续治疗组：继续给予巩固治疗至总疗程9个月（2HRZE/7HR）。</w:t>
      </w:r>
    </w:p>
    <w:p w14:paraId="26166FCB">
      <w:pPr>
        <w:spacing w:after="120" w:line="300" w:lineRule="auto"/>
      </w:pPr>
      <w:r>
        <w:rPr>
          <w:rFonts w:ascii="宋体" w:hAnsi="宋体" w:eastAsia="宋体"/>
          <w:b w:val="0"/>
          <w:sz w:val="22"/>
        </w:rPr>
        <w:t>若您不满足Hard Gate：您将不进入随机化；后续治疗将由研究医生依据指南与您的临床情况制定并记录。研究团队仍会尽最大努力继续随访，以评估长期结局。</w:t>
      </w:r>
    </w:p>
    <w:p w14:paraId="6D362BDD">
      <w:pPr>
        <w:pStyle w:val="166"/>
      </w:pPr>
      <w:r>
        <w:t>3.5 访视与随访安排</w:t>
      </w:r>
    </w:p>
    <w:p w14:paraId="660BB31B">
      <w:pPr>
        <w:spacing w:after="120" w:line="300" w:lineRule="auto"/>
      </w:pPr>
      <w:r>
        <w:rPr>
          <w:rFonts w:ascii="宋体" w:hAnsi="宋体" w:eastAsia="宋体"/>
          <w:b w:val="0"/>
          <w:sz w:val="22"/>
        </w:rPr>
        <w:t>无论您在队列Ａ或队列Ｂ，研究均会在治疗期与停药后进行随访，以评估疗效是否持久、是否复发及安全性。</w:t>
      </w:r>
    </w:p>
    <w:p w14:paraId="4F9E3469">
      <w:pPr>
        <w:pStyle w:val="16"/>
        <w:spacing w:after="40" w:line="300" w:lineRule="auto"/>
      </w:pPr>
      <w:r>
        <w:rPr>
          <w:rFonts w:ascii="宋体" w:hAnsi="宋体" w:eastAsia="宋体"/>
          <w:b w:val="0"/>
          <w:sz w:val="22"/>
        </w:rPr>
        <w:t>治疗期关键节点通常包括：基线、治疗第2周（W2）、第</w:t>
      </w:r>
      <w:r>
        <w:rPr>
          <w:rFonts w:hint="eastAsia"/>
          <w:b w:val="0"/>
          <w:sz w:val="22"/>
          <w:lang w:val="en-US" w:eastAsia="zh-CN"/>
        </w:rPr>
        <w:t>4</w:t>
      </w:r>
      <w:r>
        <w:rPr>
          <w:rFonts w:ascii="宋体" w:hAnsi="宋体" w:eastAsia="宋体"/>
          <w:b w:val="0"/>
          <w:sz w:val="22"/>
        </w:rPr>
        <w:t>周（W</w:t>
      </w:r>
      <w:r>
        <w:rPr>
          <w:rFonts w:hint="eastAsia"/>
          <w:b w:val="0"/>
          <w:sz w:val="22"/>
          <w:lang w:val="en-US" w:eastAsia="zh-CN"/>
        </w:rPr>
        <w:t>4</w:t>
      </w:r>
      <w:r>
        <w:rPr>
          <w:rFonts w:ascii="宋体" w:hAnsi="宋体" w:eastAsia="宋体"/>
          <w:b w:val="0"/>
          <w:sz w:val="22"/>
        </w:rPr>
        <w:t>）</w:t>
      </w:r>
      <w:r>
        <w:rPr>
          <w:rFonts w:hint="eastAsia"/>
          <w:b w:val="0"/>
          <w:sz w:val="22"/>
          <w:lang w:eastAsia="zh-CN"/>
        </w:rPr>
        <w:t>、</w:t>
      </w:r>
      <w:r>
        <w:rPr>
          <w:rFonts w:ascii="宋体" w:hAnsi="宋体" w:eastAsia="宋体"/>
          <w:b w:val="0"/>
          <w:sz w:val="22"/>
        </w:rPr>
        <w:t>第8周（M2/W8）、第</w:t>
      </w:r>
      <w:r>
        <w:rPr>
          <w:rFonts w:hint="eastAsia"/>
          <w:b w:val="0"/>
          <w:sz w:val="22"/>
          <w:lang w:val="en-US" w:eastAsia="zh-CN"/>
        </w:rPr>
        <w:t>12</w:t>
      </w:r>
      <w:r>
        <w:rPr>
          <w:rFonts w:ascii="宋体" w:hAnsi="宋体" w:eastAsia="宋体"/>
          <w:b w:val="0"/>
          <w:sz w:val="22"/>
        </w:rPr>
        <w:t>周（M</w:t>
      </w:r>
      <w:r>
        <w:rPr>
          <w:rFonts w:hint="eastAsia"/>
          <w:b w:val="0"/>
          <w:sz w:val="22"/>
          <w:lang w:val="en-US" w:eastAsia="zh-CN"/>
        </w:rPr>
        <w:t>3/</w:t>
      </w:r>
      <w:r>
        <w:rPr>
          <w:rFonts w:ascii="宋体" w:hAnsi="宋体" w:eastAsia="宋体"/>
          <w:b w:val="0"/>
          <w:sz w:val="22"/>
        </w:rPr>
        <w:t>W</w:t>
      </w:r>
      <w:r>
        <w:rPr>
          <w:rFonts w:hint="eastAsia"/>
          <w:b w:val="0"/>
          <w:sz w:val="22"/>
          <w:lang w:val="en-US" w:eastAsia="zh-CN"/>
        </w:rPr>
        <w:t>12</w:t>
      </w:r>
      <w:r>
        <w:rPr>
          <w:rFonts w:ascii="宋体" w:hAnsi="宋体" w:eastAsia="宋体"/>
          <w:b w:val="0"/>
          <w:sz w:val="22"/>
        </w:rPr>
        <w:t>）</w:t>
      </w:r>
      <w:r>
        <w:rPr>
          <w:rFonts w:hint="eastAsia"/>
          <w:b w:val="0"/>
          <w:sz w:val="22"/>
          <w:lang w:eastAsia="zh-CN"/>
        </w:rPr>
        <w:t>、</w:t>
      </w:r>
      <w:r>
        <w:rPr>
          <w:rFonts w:ascii="宋体" w:hAnsi="宋体" w:eastAsia="宋体"/>
          <w:b w:val="0"/>
          <w:sz w:val="22"/>
        </w:rPr>
        <w:t>第16周（M4，队列Ａ治疗结束节点）、</w:t>
      </w:r>
      <w:r>
        <w:rPr>
          <w:rFonts w:hint="eastAsia"/>
          <w:b w:val="0"/>
          <w:sz w:val="22"/>
          <w:lang w:val="en-US" w:eastAsia="zh-CN"/>
        </w:rPr>
        <w:t>第20周（</w:t>
      </w:r>
      <w:r>
        <w:rPr>
          <w:rFonts w:ascii="宋体" w:hAnsi="宋体" w:eastAsia="宋体"/>
          <w:b w:val="0"/>
          <w:sz w:val="22"/>
        </w:rPr>
        <w:t>M</w:t>
      </w:r>
      <w:r>
        <w:rPr>
          <w:rFonts w:hint="eastAsia"/>
          <w:b w:val="0"/>
          <w:sz w:val="22"/>
          <w:lang w:val="en-US" w:eastAsia="zh-CN"/>
        </w:rPr>
        <w:t>5/</w:t>
      </w:r>
      <w:r>
        <w:rPr>
          <w:rFonts w:ascii="宋体" w:hAnsi="宋体" w:eastAsia="宋体"/>
          <w:b w:val="0"/>
          <w:sz w:val="22"/>
        </w:rPr>
        <w:t>W</w:t>
      </w:r>
      <w:r>
        <w:rPr>
          <w:rFonts w:hint="eastAsia"/>
          <w:b w:val="0"/>
          <w:sz w:val="22"/>
          <w:lang w:val="en-US" w:eastAsia="zh-CN"/>
        </w:rPr>
        <w:t>20）、</w:t>
      </w:r>
      <w:r>
        <w:rPr>
          <w:rFonts w:ascii="宋体" w:hAnsi="宋体" w:eastAsia="宋体"/>
          <w:b w:val="0"/>
          <w:sz w:val="22"/>
        </w:rPr>
        <w:t>第6个月（M6，队列Ｂ门槛与随机化节点）、</w:t>
      </w:r>
      <w:r>
        <w:rPr>
          <w:rFonts w:hint="eastAsia"/>
          <w:b w:val="0"/>
          <w:sz w:val="22"/>
          <w:lang w:val="en-US" w:eastAsia="zh-CN"/>
        </w:rPr>
        <w:t>第28周（</w:t>
      </w:r>
      <w:r>
        <w:rPr>
          <w:rFonts w:ascii="宋体" w:hAnsi="宋体" w:eastAsia="宋体"/>
          <w:b w:val="0"/>
          <w:sz w:val="22"/>
        </w:rPr>
        <w:t>M</w:t>
      </w:r>
      <w:r>
        <w:rPr>
          <w:rFonts w:hint="eastAsia"/>
          <w:b w:val="0"/>
          <w:sz w:val="22"/>
          <w:lang w:val="en-US" w:eastAsia="zh-CN"/>
        </w:rPr>
        <w:t>7/W28）、第32周（</w:t>
      </w:r>
      <w:r>
        <w:rPr>
          <w:rFonts w:ascii="宋体" w:hAnsi="宋体" w:eastAsia="宋体"/>
          <w:b w:val="0"/>
          <w:sz w:val="22"/>
        </w:rPr>
        <w:t>M</w:t>
      </w:r>
      <w:r>
        <w:rPr>
          <w:rFonts w:hint="eastAsia"/>
          <w:b w:val="0"/>
          <w:sz w:val="22"/>
          <w:lang w:val="en-US" w:eastAsia="zh-CN"/>
        </w:rPr>
        <w:t>8/W32）、</w:t>
      </w:r>
      <w:r>
        <w:rPr>
          <w:rFonts w:ascii="宋体" w:hAnsi="宋体" w:eastAsia="宋体"/>
          <w:b w:val="0"/>
          <w:sz w:val="22"/>
        </w:rPr>
        <w:t>第9个月（如适用，继续治疗结束节点）；</w:t>
      </w:r>
    </w:p>
    <w:p w14:paraId="516F3122">
      <w:pPr>
        <w:pStyle w:val="16"/>
        <w:spacing w:after="40" w:line="300" w:lineRule="auto"/>
      </w:pPr>
      <w:r>
        <w:rPr>
          <w:rFonts w:ascii="宋体" w:hAnsi="宋体" w:eastAsia="宋体"/>
          <w:b w:val="0"/>
          <w:sz w:val="22"/>
        </w:rPr>
        <w:t>停药后随访至24个月：关键随访节点包括停药</w:t>
      </w:r>
      <w:r>
        <w:rPr>
          <w:rFonts w:hint="eastAsia"/>
          <w:b w:val="0"/>
          <w:sz w:val="22"/>
          <w:lang w:val="en-US" w:eastAsia="zh-CN"/>
        </w:rPr>
        <w:t>后3个月、6个月、9个月、12个月、</w:t>
      </w:r>
      <w:r>
        <w:rPr>
          <w:rFonts w:ascii="宋体" w:hAnsi="宋体" w:eastAsia="宋体"/>
          <w:b w:val="0"/>
          <w:sz w:val="22"/>
        </w:rPr>
        <w:t>1</w:t>
      </w:r>
      <w:r>
        <w:rPr>
          <w:rFonts w:hint="eastAsia"/>
          <w:b w:val="0"/>
          <w:sz w:val="22"/>
          <w:lang w:val="en-US" w:eastAsia="zh-CN"/>
        </w:rPr>
        <w:t>8</w:t>
      </w:r>
      <w:r>
        <w:rPr>
          <w:rFonts w:ascii="宋体" w:hAnsi="宋体" w:eastAsia="宋体"/>
          <w:b w:val="0"/>
          <w:sz w:val="22"/>
        </w:rPr>
        <w:t>个月（主要终点评估）与停药后24个月。随访可通过门诊复诊、电话随访等方式完成；必要时进行痰学检查与影像学复查。</w:t>
      </w:r>
    </w:p>
    <w:p w14:paraId="2D33BAB5">
      <w:pPr>
        <w:pStyle w:val="166"/>
      </w:pPr>
      <w:r>
        <w:t>3.6 需要采集的样本/数据（含探索性标志物）</w:t>
      </w:r>
    </w:p>
    <w:p w14:paraId="58BEBE73">
      <w:pPr>
        <w:spacing w:after="120" w:line="300" w:lineRule="auto"/>
      </w:pPr>
      <w:r>
        <w:rPr>
          <w:rFonts w:ascii="宋体" w:hAnsi="宋体" w:eastAsia="宋体"/>
          <w:b w:val="0"/>
          <w:sz w:val="22"/>
        </w:rPr>
        <w:t>为回答研究问题并保障安全，研究将采集常规临床数据及部分研究相关样本。样本采集遵循“与关键临床节点对齐、尽量减负”的原则，尽量与常规采血或常规检查同步完成。</w:t>
      </w:r>
    </w:p>
    <w:p w14:paraId="04065DA1">
      <w:pPr>
        <w:spacing w:after="120" w:line="300" w:lineRule="auto"/>
      </w:pPr>
      <w:r>
        <w:rPr>
          <w:rFonts w:ascii="宋体" w:hAnsi="宋体" w:eastAsia="宋体"/>
          <w:b w:val="0"/>
          <w:sz w:val="22"/>
        </w:rPr>
        <w:t>可能采集的样本与数据包括（以各中心能力与伦理批准范围为准）：</w:t>
      </w:r>
    </w:p>
    <w:p w14:paraId="6C813496">
      <w:pPr>
        <w:pStyle w:val="16"/>
        <w:spacing w:after="40" w:line="300" w:lineRule="auto"/>
      </w:pPr>
      <w:r>
        <w:rPr>
          <w:rFonts w:ascii="宋体" w:hAnsi="宋体" w:eastAsia="宋体"/>
          <w:b w:val="0"/>
          <w:sz w:val="22"/>
        </w:rPr>
        <w:t>血液/尿液：用于常规安全性检查及部分宿主标志物、代谢相关探索性分析；</w:t>
      </w:r>
    </w:p>
    <w:p w14:paraId="6C5A7330">
      <w:pPr>
        <w:pStyle w:val="16"/>
        <w:spacing w:after="40" w:line="300" w:lineRule="auto"/>
      </w:pPr>
      <w:r>
        <w:rPr>
          <w:rFonts w:ascii="宋体" w:hAnsi="宋体" w:eastAsia="宋体"/>
          <w:b w:val="0"/>
          <w:sz w:val="22"/>
        </w:rPr>
        <w:t>痰标本：用于微生物学检查（如培养/药敏/分子检测）以及复发时区分复发与再感染所需的病原学分析（如菌株分型或全基因组测序等）；</w:t>
      </w:r>
    </w:p>
    <w:p w14:paraId="3BEEC241">
      <w:pPr>
        <w:pStyle w:val="16"/>
        <w:spacing w:after="40" w:line="300" w:lineRule="auto"/>
      </w:pPr>
      <w:r>
        <w:rPr>
          <w:rFonts w:ascii="宋体" w:hAnsi="宋体" w:eastAsia="宋体"/>
          <w:b w:val="0"/>
          <w:sz w:val="22"/>
        </w:rPr>
        <w:t>影像学资料：胸片为主，必要时CT作为补充；</w:t>
      </w:r>
    </w:p>
    <w:p w14:paraId="357CED2E">
      <w:pPr>
        <w:pStyle w:val="16"/>
        <w:spacing w:after="40" w:line="300" w:lineRule="auto"/>
      </w:pPr>
      <w:r>
        <w:rPr>
          <w:rFonts w:ascii="宋体" w:hAnsi="宋体" w:eastAsia="宋体"/>
          <w:b w:val="0"/>
          <w:sz w:val="22"/>
        </w:rPr>
        <w:t>可选无创标志物：部分中心可能采集无创样本（例如呼气等）用于探索性研究。</w:t>
      </w:r>
    </w:p>
    <w:p w14:paraId="448743EC">
      <w:pPr>
        <w:spacing w:after="120" w:line="300" w:lineRule="auto"/>
      </w:pPr>
      <w:r>
        <w:rPr>
          <w:rFonts w:ascii="宋体" w:hAnsi="宋体" w:eastAsia="宋体"/>
          <w:b w:val="0"/>
          <w:sz w:val="22"/>
        </w:rPr>
        <w:t>探索性标志物与模型研究（例如TB22转录组评分、CRISPR TB-DNA、呼气组学、AI评分等）仅用于预设验证/探索性分析，不用于决定您是否停药或改变治疗方案。</w:t>
      </w:r>
    </w:p>
    <w:p w14:paraId="35A5C764">
      <w:pPr>
        <w:spacing w:after="120" w:line="300" w:lineRule="auto"/>
      </w:pPr>
      <w:r>
        <w:rPr>
          <w:rFonts w:ascii="宋体" w:hAnsi="宋体" w:eastAsia="宋体"/>
          <w:b w:val="0"/>
          <w:sz w:val="22"/>
        </w:rPr>
        <w:t>如研究过程中出现可能对您健康具有直接意义的“意外发现”，研究团队将按预设流程评估其临床可解释性与告知必要性，并在伦理批准框架内与您沟通。</w:t>
      </w:r>
    </w:p>
    <w:p w14:paraId="07E5CEF7">
      <w:pPr>
        <w:pStyle w:val="166"/>
      </w:pPr>
      <w:r>
        <w:t>3.7 安全性监测与不良事件（AE）管理</w:t>
      </w:r>
    </w:p>
    <w:p w14:paraId="55A645E3">
      <w:pPr>
        <w:spacing w:after="120" w:line="300" w:lineRule="auto"/>
      </w:pPr>
      <w:r>
        <w:rPr>
          <w:rFonts w:ascii="宋体" w:hAnsi="宋体" w:eastAsia="宋体"/>
          <w:b w:val="0"/>
          <w:sz w:val="22"/>
        </w:rPr>
        <w:t>研究期间将重点监测药物相关不良反应与糖尿病相关急症，包括药物性肝损伤（DILI）、QTcF延长、过敏反应、血液学异常，以及低血糖、酮症酸中毒（DKA）/高渗高血糖状态（HHS）等。</w:t>
      </w:r>
    </w:p>
    <w:p w14:paraId="61DA2EF2">
      <w:pPr>
        <w:spacing w:after="120" w:line="300" w:lineRule="auto"/>
      </w:pPr>
      <w:r>
        <w:rPr>
          <w:rFonts w:ascii="宋体" w:hAnsi="宋体" w:eastAsia="宋体"/>
          <w:b w:val="0"/>
          <w:sz w:val="22"/>
        </w:rPr>
        <w:t>不良事件严重程度将按DAIDS分级体系评估；除研究者问诊外，研究可能使用PRO-CTCAE等工具收集您自报的症状性不适，以更全面评估耐受性。</w:t>
      </w:r>
    </w:p>
    <w:p w14:paraId="4DE88E32">
      <w:pPr>
        <w:spacing w:after="120" w:line="300" w:lineRule="auto"/>
      </w:pPr>
      <w:r>
        <w:rPr>
          <w:rFonts w:ascii="宋体" w:hAnsi="宋体" w:eastAsia="宋体"/>
          <w:b w:val="0"/>
          <w:sz w:val="22"/>
        </w:rPr>
        <w:t>乙胺丁醇（E）相关视神经毒性：在使用E期间（尤其强化期）建议至少每月检测视力（可含色觉/视野）。如出现视力下降、视野缺损或色觉异常等，应立即告知研究医生，研究团队将按流程处理。</w:t>
      </w:r>
    </w:p>
    <w:p w14:paraId="006504B1">
      <w:pPr>
        <w:pStyle w:val="165"/>
      </w:pPr>
      <w:r>
        <w:t>4. 我可能面临哪些风险和不适？</w:t>
      </w:r>
    </w:p>
    <w:p w14:paraId="433B7D92">
      <w:pPr>
        <w:spacing w:after="120" w:line="300" w:lineRule="auto"/>
      </w:pPr>
      <w:r>
        <w:rPr>
          <w:rFonts w:ascii="宋体" w:hAnsi="宋体" w:eastAsia="宋体"/>
          <w:b w:val="0"/>
          <w:sz w:val="22"/>
        </w:rPr>
        <w:t>参加本研究可能存在以下风险与不适（包括但不限于）：</w:t>
      </w:r>
    </w:p>
    <w:p w14:paraId="69619FD4">
      <w:pPr>
        <w:pStyle w:val="16"/>
        <w:spacing w:after="40" w:line="300" w:lineRule="auto"/>
      </w:pPr>
      <w:r>
        <w:rPr>
          <w:rFonts w:ascii="宋体" w:hAnsi="宋体" w:eastAsia="宋体"/>
          <w:b w:val="0"/>
          <w:sz w:val="22"/>
        </w:rPr>
        <w:t>治疗方案风险：4个月含利福喷丁方案为研究比较方案，可能存在疗效不足或复发风险增加等不确定性；不同剂量利福喷丁的不良反应风险可能不同。</w:t>
      </w:r>
    </w:p>
    <w:p w14:paraId="046EFF4D">
      <w:pPr>
        <w:pStyle w:val="16"/>
        <w:spacing w:after="40" w:line="300" w:lineRule="auto"/>
      </w:pPr>
      <w:r>
        <w:rPr>
          <w:rFonts w:ascii="宋体" w:hAnsi="宋体" w:eastAsia="宋体"/>
          <w:b w:val="0"/>
          <w:sz w:val="22"/>
        </w:rPr>
        <w:t>抗结核药物不良反应：可能出现肝功能损伤、胃肠道反应、皮疹/过敏、关节疼痛、血液学异常等；含莫西沙星方案可能导致QTcF延长等心电风险；乙胺丁醇（E）可能导致视神经毒性。</w:t>
      </w:r>
    </w:p>
    <w:p w14:paraId="21016BA8">
      <w:pPr>
        <w:pStyle w:val="16"/>
        <w:spacing w:after="40" w:line="300" w:lineRule="auto"/>
      </w:pPr>
      <w:r>
        <w:rPr>
          <w:rFonts w:ascii="宋体" w:hAnsi="宋体" w:eastAsia="宋体"/>
          <w:b w:val="0"/>
          <w:sz w:val="22"/>
        </w:rPr>
        <w:t>糖尿病相关风险：感染及用药可能影响血糖波动，存在低血糖或高血糖急症风险；研究将加强监测并与常规诊疗结合处理。</w:t>
      </w:r>
    </w:p>
    <w:p w14:paraId="5A3A5F77">
      <w:pPr>
        <w:pStyle w:val="16"/>
        <w:spacing w:after="40" w:line="300" w:lineRule="auto"/>
      </w:pPr>
      <w:r>
        <w:rPr>
          <w:rFonts w:ascii="宋体" w:hAnsi="宋体" w:eastAsia="宋体"/>
          <w:b w:val="0"/>
          <w:sz w:val="22"/>
        </w:rPr>
        <w:t>检查与采样不适：抽血可能引起疼痛、青紫、肿胀，少数可出现感染；留取痰标本可能引起不适；胸片/CT检查存在一定辐射暴露；心电图检查一般无创但可能引起轻微不适。</w:t>
      </w:r>
    </w:p>
    <w:p w14:paraId="2609CFA7">
      <w:pPr>
        <w:pStyle w:val="16"/>
        <w:spacing w:after="40" w:line="300" w:lineRule="auto"/>
      </w:pPr>
      <w:r>
        <w:rPr>
          <w:rFonts w:ascii="宋体" w:hAnsi="宋体" w:eastAsia="宋体"/>
          <w:b w:val="0"/>
          <w:sz w:val="22"/>
        </w:rPr>
        <w:t>隐私风险：研究将收集您的医疗信息与检查结果，存在隐私泄露的潜在风险（研究将采取多重措施保护）。</w:t>
      </w:r>
    </w:p>
    <w:p w14:paraId="54F2A5A3">
      <w:pPr>
        <w:pStyle w:val="16"/>
        <w:spacing w:after="40" w:line="300" w:lineRule="auto"/>
      </w:pPr>
      <w:r>
        <w:rPr>
          <w:rFonts w:ascii="宋体" w:hAnsi="宋体" w:eastAsia="宋体"/>
          <w:b w:val="0"/>
          <w:sz w:val="22"/>
        </w:rPr>
        <w:t>未知风险：任何临床研究都可能存在目前无法预见的风险。</w:t>
      </w:r>
    </w:p>
    <w:p w14:paraId="106DC691">
      <w:pPr>
        <w:spacing w:after="120" w:line="300" w:lineRule="auto"/>
      </w:pPr>
      <w:r>
        <w:rPr>
          <w:rFonts w:ascii="宋体" w:hAnsi="宋体" w:eastAsia="宋体"/>
          <w:b w:val="0"/>
          <w:sz w:val="22"/>
        </w:rPr>
        <w:t>如您在研究中出现任何不适或疑虑，请及时联系研究医生。研究团队将对您进行评估并给予必要的医疗处理。若发生与研究相关的损伤，将按伦理批准的补偿与保险方案提供支持。</w:t>
      </w:r>
    </w:p>
    <w:p w14:paraId="16C2809A">
      <w:pPr>
        <w:pStyle w:val="165"/>
      </w:pPr>
      <w:r>
        <w:t>5. 我可能获得哪些益处？</w:t>
      </w:r>
    </w:p>
    <w:p w14:paraId="3CE46F55">
      <w:pPr>
        <w:spacing w:after="120" w:line="300" w:lineRule="auto"/>
      </w:pPr>
      <w:r>
        <w:rPr>
          <w:rFonts w:ascii="宋体" w:hAnsi="宋体" w:eastAsia="宋体"/>
          <w:b w:val="0"/>
          <w:sz w:val="22"/>
        </w:rPr>
        <w:t>我们不能保证您个人一定能从研究中获益，但您可能获得以下潜在益处：</w:t>
      </w:r>
    </w:p>
    <w:p w14:paraId="2370BB82">
      <w:pPr>
        <w:pStyle w:val="16"/>
        <w:spacing w:after="40" w:line="300" w:lineRule="auto"/>
      </w:pPr>
      <w:r>
        <w:rPr>
          <w:rFonts w:ascii="宋体" w:hAnsi="宋体" w:eastAsia="宋体"/>
          <w:b w:val="0"/>
          <w:sz w:val="22"/>
        </w:rPr>
        <w:t>若您进入队列Ａ并分配至4个月方案且方案有效，您的结核病治疗时间可能从6个月缩短至4个月，降低治疗负担；</w:t>
      </w:r>
    </w:p>
    <w:p w14:paraId="57FC0508">
      <w:pPr>
        <w:pStyle w:val="16"/>
        <w:spacing w:after="40" w:line="300" w:lineRule="auto"/>
      </w:pPr>
      <w:r>
        <w:rPr>
          <w:rFonts w:ascii="宋体" w:hAnsi="宋体" w:eastAsia="宋体"/>
          <w:b w:val="0"/>
          <w:sz w:val="22"/>
        </w:rPr>
        <w:t>若您进入队列Ｂ且在M6满足门槛并随机至停药组，您的治疗时间可能从9个月缩短至6个月；</w:t>
      </w:r>
    </w:p>
    <w:p w14:paraId="5E24A367">
      <w:pPr>
        <w:pStyle w:val="16"/>
        <w:spacing w:after="40" w:line="300" w:lineRule="auto"/>
      </w:pPr>
      <w:r>
        <w:rPr>
          <w:rFonts w:ascii="宋体" w:hAnsi="宋体" w:eastAsia="宋体"/>
          <w:b w:val="0"/>
          <w:sz w:val="22"/>
        </w:rPr>
        <w:t>研究期间您将获得更规范的随访与安全监测（如肝功能、心电、痰学与影像学评估、血糖管理等），有助于及时发现并处理问题；</w:t>
      </w:r>
    </w:p>
    <w:p w14:paraId="7D7BC287">
      <w:pPr>
        <w:pStyle w:val="16"/>
        <w:spacing w:after="40" w:line="300" w:lineRule="auto"/>
      </w:pPr>
      <w:r>
        <w:rPr>
          <w:rFonts w:ascii="宋体" w:hAnsi="宋体" w:eastAsia="宋体"/>
          <w:b w:val="0"/>
          <w:sz w:val="22"/>
        </w:rPr>
        <w:t>您的参与将为未来TB-DM患者提供更有依据的疗程决策证据，具有社会价值。</w:t>
      </w:r>
    </w:p>
    <w:p w14:paraId="64DE1755">
      <w:pPr>
        <w:pStyle w:val="165"/>
      </w:pPr>
      <w:r>
        <w:t>6. 如果我不参加，还有其他选择吗？</w:t>
      </w:r>
    </w:p>
    <w:p w14:paraId="42E7876B">
      <w:pPr>
        <w:spacing w:after="120" w:line="300" w:lineRule="auto"/>
      </w:pPr>
      <w:r>
        <w:rPr>
          <w:rFonts w:ascii="宋体" w:hAnsi="宋体" w:eastAsia="宋体"/>
          <w:b w:val="0"/>
          <w:sz w:val="22"/>
        </w:rPr>
        <w:t>参加本研究完全自愿。如果您不参加，您仍可接受常规临床治疗。药敏肺结核的标准治疗通常为6个月方案（2HRZE/4HR）；在部分复发高风险情形下，医生也可能建议延长疗程（例如至9</w:t>
      </w:r>
      <w:r>
        <w:rPr>
          <w:rFonts w:hint="eastAsia"/>
          <w:b w:val="0"/>
          <w:sz w:val="22"/>
          <w:lang w:val="en-US" w:eastAsia="zh-CN"/>
        </w:rPr>
        <w:t>-12</w:t>
      </w:r>
      <w:r>
        <w:rPr>
          <w:rFonts w:ascii="宋体" w:hAnsi="宋体" w:eastAsia="宋体"/>
          <w:b w:val="0"/>
          <w:sz w:val="22"/>
        </w:rPr>
        <w:t>个月）。您的选择不会影响您获得应有的医疗服务。</w:t>
      </w:r>
    </w:p>
    <w:p w14:paraId="57F27D1E">
      <w:pPr>
        <w:pStyle w:val="165"/>
      </w:pPr>
      <w:r>
        <w:t>7. 我的隐私如何得到保护？（资料与样本的使用）</w:t>
      </w:r>
    </w:p>
    <w:p w14:paraId="4877B5DF">
      <w:pPr>
        <w:spacing w:after="120" w:line="300" w:lineRule="auto"/>
      </w:pPr>
      <w:r>
        <w:rPr>
          <w:rFonts w:ascii="宋体" w:hAnsi="宋体" w:eastAsia="宋体"/>
          <w:b w:val="0"/>
          <w:sz w:val="22"/>
        </w:rPr>
        <w:t>研究团队将严格保护您的隐私和个人信息：</w:t>
      </w:r>
    </w:p>
    <w:p w14:paraId="2AA76CA1">
      <w:pPr>
        <w:pStyle w:val="16"/>
        <w:spacing w:after="40" w:line="300" w:lineRule="auto"/>
      </w:pPr>
      <w:r>
        <w:rPr>
          <w:rFonts w:ascii="宋体" w:hAnsi="宋体" w:eastAsia="宋体"/>
          <w:b w:val="0"/>
          <w:sz w:val="22"/>
        </w:rPr>
        <w:t>研究资料将采用受试者编号进行去标识化管理；您的姓名、身份证号、电话等直接身份信息不会出现在研究报告或公开发表材料中。</w:t>
      </w:r>
    </w:p>
    <w:p w14:paraId="59CB483A">
      <w:pPr>
        <w:pStyle w:val="16"/>
        <w:spacing w:after="40" w:line="300" w:lineRule="auto"/>
      </w:pPr>
      <w:r>
        <w:rPr>
          <w:rFonts w:ascii="宋体" w:hAnsi="宋体" w:eastAsia="宋体"/>
          <w:b w:val="0"/>
          <w:sz w:val="22"/>
        </w:rPr>
        <w:t>研究数据将采用最小权限访问原则，数据传输与存储采取加密措施，并保留审计追踪记录。</w:t>
      </w:r>
    </w:p>
    <w:p w14:paraId="35B09F57">
      <w:pPr>
        <w:pStyle w:val="16"/>
        <w:spacing w:after="40" w:line="300" w:lineRule="auto"/>
      </w:pPr>
      <w:r>
        <w:rPr>
          <w:rFonts w:ascii="宋体" w:hAnsi="宋体" w:eastAsia="宋体"/>
          <w:b w:val="0"/>
          <w:sz w:val="22"/>
        </w:rPr>
        <w:t>伦理委员会及政府监管部门在需要时可查阅您的原始病历以核对研究数据真实性，但同样负有保密义务。</w:t>
      </w:r>
    </w:p>
    <w:p w14:paraId="33877F7B">
      <w:pPr>
        <w:spacing w:after="120" w:line="300" w:lineRule="auto"/>
      </w:pPr>
      <w:r>
        <w:rPr>
          <w:rFonts w:ascii="宋体" w:hAnsi="宋体" w:eastAsia="宋体"/>
          <w:b w:val="0"/>
          <w:sz w:val="22"/>
        </w:rPr>
        <w:t>去标识化数据在满足伦理批准与合规要求的前提下，可能用于本研究相关的进一步科学分析，或在审批后与其他研究者共享（签署数据使用协议、禁止再识别、仅限科研用途）。涉及跨境数据或人体遗传资源/重要数据等情形，将严格按国家与机构规定履行审批/备案。</w:t>
      </w:r>
    </w:p>
    <w:p w14:paraId="1C76015E">
      <w:pPr>
        <w:pStyle w:val="165"/>
      </w:pPr>
      <w:r>
        <w:t>8. 参加研究的费用、补偿与保险</w:t>
      </w:r>
    </w:p>
    <w:p w14:paraId="11A22283">
      <w:pPr>
        <w:spacing w:after="120" w:line="300" w:lineRule="auto"/>
      </w:pPr>
      <w:r>
        <w:rPr>
          <w:rFonts w:ascii="宋体" w:hAnsi="宋体" w:eastAsia="宋体"/>
          <w:b w:val="0"/>
          <w:sz w:val="22"/>
        </w:rPr>
        <w:t>费用：</w:t>
      </w:r>
      <w:r>
        <w:rPr>
          <w:rFonts w:hint="eastAsia"/>
          <w:b w:val="0"/>
          <w:sz w:val="22"/>
          <w:lang w:val="en-US" w:eastAsia="zh-CN"/>
        </w:rPr>
        <w:t>本</w:t>
      </w:r>
      <w:r>
        <w:rPr>
          <w:rFonts w:ascii="宋体" w:hAnsi="宋体" w:eastAsia="宋体"/>
          <w:b w:val="0"/>
          <w:sz w:val="22"/>
        </w:rPr>
        <w:t>研究</w:t>
      </w:r>
      <w:r>
        <w:rPr>
          <w:rFonts w:hint="eastAsia"/>
          <w:b w:val="0"/>
          <w:sz w:val="22"/>
          <w:lang w:val="en-US" w:eastAsia="zh-CN"/>
        </w:rPr>
        <w:t>基本不增加常规复诊次数</w:t>
      </w:r>
      <w:r>
        <w:rPr>
          <w:rFonts w:ascii="宋体" w:hAnsi="宋体" w:eastAsia="宋体"/>
          <w:b w:val="0"/>
          <w:sz w:val="22"/>
        </w:rPr>
        <w:t>。与您常规疾病诊疗相关且不属于研究额外部分的费用（如常规降糖药、合并疾病治疗等）仍按医保/自费政策执行。具体费用口径以各中心的伦理批准版本为准。</w:t>
      </w:r>
    </w:p>
    <w:p w14:paraId="506BE7E9">
      <w:pPr>
        <w:spacing w:after="120" w:line="300" w:lineRule="auto"/>
      </w:pPr>
      <w:r>
        <w:rPr>
          <w:rFonts w:ascii="宋体" w:hAnsi="宋体" w:eastAsia="宋体"/>
          <w:b w:val="0"/>
          <w:sz w:val="22"/>
        </w:rPr>
        <w:t>补偿：为补偿您因研究访视产生的额外交通与时间成本，研究</w:t>
      </w:r>
      <w:r>
        <w:rPr>
          <w:rFonts w:hint="eastAsia"/>
          <w:b w:val="0"/>
          <w:sz w:val="22"/>
          <w:lang w:val="en-US" w:eastAsia="zh-CN"/>
        </w:rPr>
        <w:t>会</w:t>
      </w:r>
      <w:r>
        <w:rPr>
          <w:rFonts w:ascii="宋体" w:hAnsi="宋体" w:eastAsia="宋体"/>
          <w:b w:val="0"/>
          <w:sz w:val="22"/>
        </w:rPr>
        <w:t>提供补贴（金额与发放方式以伦理批准版本为准）</w:t>
      </w:r>
      <w:r>
        <w:rPr>
          <w:rFonts w:hint="eastAsia"/>
          <w:b w:val="0"/>
          <w:sz w:val="22"/>
          <w:lang w:val="en-US" w:eastAsia="zh-CN"/>
        </w:rPr>
        <w:t>3000元，分次发放，治疗开始时、结束治疗、停药后6月、9月、1年、2年随访完成，每次补贴500（交通补贴、营养补贴、误工费、随访激励）</w:t>
      </w:r>
      <w:r>
        <w:rPr>
          <w:rFonts w:ascii="宋体" w:hAnsi="宋体" w:eastAsia="宋体"/>
          <w:b w:val="0"/>
          <w:sz w:val="22"/>
        </w:rPr>
        <w:t>。</w:t>
      </w:r>
    </w:p>
    <w:p w14:paraId="0327D957">
      <w:pPr>
        <w:spacing w:after="120" w:line="300" w:lineRule="auto"/>
      </w:pPr>
      <w:r>
        <w:rPr>
          <w:rFonts w:ascii="宋体" w:hAnsi="宋体" w:eastAsia="宋体"/>
          <w:b w:val="0"/>
          <w:sz w:val="22"/>
        </w:rPr>
        <w:t>保险与补偿：研究将按伦理批准要求购买或落实临床试验相关保险/保障措施。如确认发生与研究相关的伤害，将按机构政策与保险条款提供医疗救治与补偿支持。</w:t>
      </w:r>
    </w:p>
    <w:p w14:paraId="35AB0056">
      <w:pPr>
        <w:pStyle w:val="165"/>
      </w:pPr>
      <w:r>
        <w:t>9. 我可以中途退出吗？</w:t>
      </w:r>
    </w:p>
    <w:p w14:paraId="6B15FAC5">
      <w:pPr>
        <w:spacing w:after="120" w:line="300" w:lineRule="auto"/>
      </w:pPr>
      <w:r>
        <w:rPr>
          <w:rFonts w:ascii="宋体" w:hAnsi="宋体" w:eastAsia="宋体"/>
          <w:b w:val="0"/>
          <w:sz w:val="22"/>
        </w:rPr>
        <w:t>可以。您可在研究期间任何时间、以任何理由退出研究，无需解释，这不会影响您后续获得常规医疗服务。</w:t>
      </w:r>
    </w:p>
    <w:p w14:paraId="01A77A9B">
      <w:pPr>
        <w:spacing w:after="120" w:line="300" w:lineRule="auto"/>
      </w:pPr>
      <w:r>
        <w:rPr>
          <w:rFonts w:ascii="宋体" w:hAnsi="宋体" w:eastAsia="宋体"/>
          <w:b w:val="0"/>
          <w:sz w:val="22"/>
        </w:rPr>
        <w:t>若您决定退出，请尽量通知研究医生。为您的安全，医生可能建议完成一次终末评估。</w:t>
      </w:r>
    </w:p>
    <w:p w14:paraId="06A1F293">
      <w:pPr>
        <w:spacing w:after="120" w:line="300" w:lineRule="auto"/>
      </w:pPr>
      <w:r>
        <w:rPr>
          <w:rFonts w:ascii="宋体" w:hAnsi="宋体" w:eastAsia="宋体"/>
          <w:b w:val="0"/>
          <w:sz w:val="22"/>
        </w:rPr>
        <w:t>在您退出前已收集的去标识化数据，可能仍会用于研究分析；如您不同意继续使用，请与研究医生沟通，研究团队将按伦理批准范围处理。</w:t>
      </w:r>
    </w:p>
    <w:p w14:paraId="36BDF13C">
      <w:pPr>
        <w:pStyle w:val="165"/>
      </w:pPr>
      <w:r>
        <w:t>10. 我有疑问可以联系谁？</w:t>
      </w:r>
    </w:p>
    <w:p w14:paraId="6894C342">
      <w:pPr>
        <w:spacing w:after="120" w:line="300" w:lineRule="auto"/>
      </w:pPr>
      <w:r>
        <w:rPr>
          <w:rFonts w:ascii="宋体" w:hAnsi="宋体" w:eastAsia="宋体"/>
          <w:b w:val="0"/>
          <w:sz w:val="22"/>
        </w:rPr>
        <w:t>如您对研究有任何疑问、担忧，或在研究过程中出现不适/伤害，请联系：</w:t>
      </w:r>
    </w:p>
    <w:p w14:paraId="419440E5">
      <w:pPr>
        <w:pStyle w:val="16"/>
        <w:spacing w:after="40" w:line="300" w:lineRule="auto"/>
      </w:pPr>
      <w:r>
        <w:rPr>
          <w:rFonts w:ascii="宋体" w:hAnsi="宋体" w:eastAsia="宋体"/>
          <w:b w:val="0"/>
          <w:sz w:val="22"/>
        </w:rPr>
        <w:t>研究医生/研究团队：电话：____________；（工作时间：____________）</w:t>
      </w:r>
    </w:p>
    <w:p w14:paraId="46FE558A">
      <w:pPr>
        <w:pStyle w:val="16"/>
        <w:spacing w:after="40" w:line="300" w:lineRule="auto"/>
      </w:pPr>
      <w:r>
        <w:rPr>
          <w:rFonts w:ascii="宋体" w:hAnsi="宋体" w:eastAsia="宋体"/>
          <w:b w:val="0"/>
          <w:sz w:val="22"/>
        </w:rPr>
        <w:t>伦理委员会（受试者权益咨询）：电话：____________；</w:t>
      </w:r>
    </w:p>
    <w:p w14:paraId="7E5D4F3C">
      <w:r>
        <w:br w:type="page"/>
      </w:r>
    </w:p>
    <w:p w14:paraId="11071F9A">
      <w:pPr>
        <w:pStyle w:val="165"/>
      </w:pPr>
      <w:r>
        <w:t>受试者知情同意声明（签字页）</w:t>
      </w:r>
    </w:p>
    <w:p w14:paraId="67BFC3E5">
      <w:pPr>
        <w:spacing w:after="120" w:line="300" w:lineRule="auto"/>
      </w:pPr>
      <w:r>
        <w:rPr>
          <w:rFonts w:ascii="宋体" w:hAnsi="宋体" w:eastAsia="宋体"/>
          <w:b w:val="0"/>
          <w:sz w:val="22"/>
        </w:rPr>
        <w:t>研究项目名称：糖尿病人群结核病短程治疗方案研究（TDSC）</w:t>
      </w:r>
    </w:p>
    <w:p w14:paraId="5EB9FA44">
      <w:pPr>
        <w:spacing w:after="120" w:line="300" w:lineRule="auto"/>
      </w:pPr>
      <w:r>
        <w:rPr>
          <w:rFonts w:ascii="宋体" w:hAnsi="宋体" w:eastAsia="宋体"/>
          <w:b w:val="0"/>
          <w:sz w:val="22"/>
        </w:rPr>
        <w:t>请您在签字前确认：研究人员已向您充分解释本研究内容，您已得到足够时间阅读并提问，且已理解并自愿参加。</w:t>
      </w:r>
    </w:p>
    <w:p w14:paraId="37CA93BF">
      <w:pPr>
        <w:spacing w:after="120" w:line="300" w:lineRule="auto"/>
      </w:pPr>
      <w:r>
        <w:rPr>
          <w:rFonts w:ascii="宋体" w:hAnsi="宋体" w:eastAsia="宋体"/>
          <w:b w:val="0"/>
          <w:sz w:val="22"/>
        </w:rPr>
        <w:t>【可选条款】如适用，请在相应方框内打“√”：</w:t>
      </w:r>
    </w:p>
    <w:p w14:paraId="7CD7F9B0">
      <w:pPr>
        <w:spacing w:after="40" w:line="300" w:lineRule="auto"/>
      </w:pPr>
      <w:r>
        <w:rPr>
          <w:rFonts w:ascii="宋体" w:hAnsi="宋体" w:eastAsia="宋体"/>
          <w:b w:val="0"/>
          <w:sz w:val="22"/>
        </w:rPr>
        <w:t>□ 我同意在本研究中采集并保存研究相关样本（如血/尿/痰及可选无创样本），用于本研究规定的检测与探索性标志物分析。</w:t>
      </w:r>
    </w:p>
    <w:p w14:paraId="35F520E0">
      <w:pPr>
        <w:spacing w:after="40" w:line="300" w:lineRule="auto"/>
      </w:pPr>
      <w:r>
        <w:rPr>
          <w:rFonts w:ascii="宋体" w:hAnsi="宋体" w:eastAsia="宋体"/>
          <w:b w:val="0"/>
          <w:sz w:val="22"/>
        </w:rPr>
        <w:t>□ 我同意研究团队在伦理批准范围内，使用我的去标识化数据开展与TB-DM相关的后续科学研究。</w:t>
      </w:r>
    </w:p>
    <w:p w14:paraId="403771F5">
      <w:pPr>
        <w:spacing w:after="40" w:line="300" w:lineRule="auto"/>
      </w:pPr>
      <w:r>
        <w:rPr>
          <w:rFonts w:ascii="宋体" w:hAnsi="宋体" w:eastAsia="宋体"/>
          <w:b w:val="0"/>
          <w:sz w:val="22"/>
        </w:rPr>
        <w:t>□ 我同意在审批后将我的去标识化数据与其他研究者共享（仅限科研用途，签署数据使用协议并禁止再识别）。</w:t>
      </w:r>
    </w:p>
    <w:p w14:paraId="6FD75F7E">
      <w:pPr>
        <w:spacing w:after="120" w:line="300" w:lineRule="auto"/>
      </w:pPr>
    </w:p>
    <w:p w14:paraId="7438ED25">
      <w:pPr>
        <w:spacing w:after="80" w:line="300" w:lineRule="auto"/>
      </w:pPr>
      <w:r>
        <w:rPr>
          <w:rFonts w:hint="eastAsia"/>
          <w:b w:val="0"/>
          <w:sz w:val="22"/>
          <w:lang w:val="en-US" w:eastAsia="zh-CN"/>
        </w:rPr>
        <w:t>1.</w:t>
      </w:r>
      <w:r>
        <w:rPr>
          <w:rFonts w:ascii="宋体" w:hAnsi="宋体" w:eastAsia="宋体"/>
          <w:b w:val="0"/>
          <w:sz w:val="22"/>
        </w:rPr>
        <w:t>受试者（本人）签字：______________________    日期：_______年____月____日</w:t>
      </w:r>
    </w:p>
    <w:p w14:paraId="62616840">
      <w:pPr>
        <w:spacing w:after="80" w:line="300" w:lineRule="auto"/>
      </w:pPr>
      <w:r>
        <w:rPr>
          <w:rFonts w:hint="eastAsia"/>
          <w:b w:val="0"/>
          <w:sz w:val="22"/>
          <w:lang w:val="en-US" w:eastAsia="zh-CN"/>
        </w:rPr>
        <w:t>2.</w:t>
      </w:r>
      <w:r>
        <w:rPr>
          <w:rFonts w:ascii="宋体" w:hAnsi="宋体" w:eastAsia="宋体"/>
          <w:b w:val="0"/>
          <w:sz w:val="22"/>
        </w:rPr>
        <w:t>（如适用）受试者法定监护人/代理人签字：______________________</w:t>
      </w:r>
    </w:p>
    <w:p w14:paraId="7FCD2C74">
      <w:pPr>
        <w:spacing w:after="80" w:line="300" w:lineRule="auto"/>
      </w:pPr>
      <w:r>
        <w:rPr>
          <w:rFonts w:ascii="宋体" w:hAnsi="宋体" w:eastAsia="宋体"/>
          <w:b w:val="0"/>
          <w:sz w:val="22"/>
        </w:rPr>
        <w:t>与受试者关系：______________________    日期：_______年____月____日</w:t>
      </w:r>
    </w:p>
    <w:p w14:paraId="772FCEE9">
      <w:pPr>
        <w:spacing w:after="80" w:line="300" w:lineRule="auto"/>
      </w:pPr>
      <w:r>
        <w:rPr>
          <w:rFonts w:hint="eastAsia"/>
          <w:b w:val="0"/>
          <w:sz w:val="22"/>
          <w:lang w:val="en-US" w:eastAsia="zh-CN"/>
        </w:rPr>
        <w:t>3.</w:t>
      </w:r>
      <w:r>
        <w:rPr>
          <w:rFonts w:ascii="宋体" w:hAnsi="宋体" w:eastAsia="宋体"/>
          <w:b w:val="0"/>
          <w:sz w:val="22"/>
        </w:rPr>
        <w:t>（如适用）见证人签字：______________________    日期：_______年____月____日</w:t>
      </w:r>
    </w:p>
    <w:p w14:paraId="5F860D2E">
      <w:pPr>
        <w:spacing w:after="80" w:line="300" w:lineRule="auto"/>
      </w:pPr>
    </w:p>
    <w:p w14:paraId="29457933">
      <w:pPr>
        <w:spacing w:after="80" w:line="300" w:lineRule="auto"/>
      </w:pPr>
      <w:r>
        <w:rPr>
          <w:rFonts w:ascii="宋体" w:hAnsi="宋体" w:eastAsia="宋体"/>
          <w:b w:val="0"/>
          <w:sz w:val="22"/>
        </w:rPr>
        <w:t>执行知情同意的研究者/授权人员声明：</w:t>
      </w:r>
    </w:p>
    <w:p w14:paraId="31514AFF">
      <w:pPr>
        <w:spacing w:after="80" w:line="300" w:lineRule="auto"/>
      </w:pPr>
      <w:r>
        <w:rPr>
          <w:rFonts w:ascii="宋体" w:hAnsi="宋体" w:eastAsia="宋体"/>
          <w:b w:val="0"/>
          <w:sz w:val="22"/>
        </w:rPr>
        <w:t>我已向上述受试者（或其监护人）解释本研究目的、流程、风险与可能获益，并解答其疑问。我认为其已充分理解并自愿同意参加。</w:t>
      </w:r>
    </w:p>
    <w:p w14:paraId="3CA084F9">
      <w:pPr>
        <w:spacing w:after="80" w:line="300" w:lineRule="auto"/>
      </w:pPr>
      <w:r>
        <w:rPr>
          <w:rFonts w:ascii="宋体" w:hAnsi="宋体" w:eastAsia="宋体"/>
          <w:b w:val="0"/>
          <w:sz w:val="22"/>
        </w:rPr>
        <w:t>研究者/授权人员签字：______________________    日期：_______年____月____日</w:t>
      </w:r>
    </w:p>
    <w:sectPr>
      <w:headerReference r:id="rId5" w:type="default"/>
      <w:footerReference r:id="rId6" w:type="default"/>
      <w:pgSz w:w="11906" w:h="16838"/>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B5B94">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1AA3F">
    <w:pPr>
      <w:pStyle w:val="25"/>
      <w:rPr>
        <w:rFonts w:hint="default" w:eastAsia="宋体"/>
        <w:lang w:val="en-US" w:eastAsia="zh-CN"/>
      </w:rPr>
    </w:pPr>
    <w:r>
      <w:rPr>
        <w:rFonts w:hint="eastAsia" w:ascii="Times New Roman" w:hAnsi="Times New Roman" w:cs="Times New Roman"/>
        <w:sz w:val="24"/>
        <w:szCs w:val="24"/>
        <w:lang w:val="en-US" w:eastAsia="zh-CN"/>
      </w:rPr>
      <w:t>知情同意书</w:t>
    </w:r>
    <w:r>
      <w:rPr>
        <w:rFonts w:hint="eastAsia" w:ascii="Times New Roman" w:hAnsi="Times New Roman" w:eastAsia="宋体" w:cs="Times New Roman"/>
        <w:sz w:val="24"/>
        <w:szCs w:val="24"/>
        <w:lang w:val="en-US" w:eastAsia="zh-CN"/>
      </w:rPr>
      <w:t>版本：2.</w:t>
    </w:r>
    <w:r>
      <w:rPr>
        <w:rFonts w:hint="eastAsia" w:ascii="Times New Roman" w:hAnsi="Times New Roman" w:cs="Times New Roman"/>
        <w:sz w:val="24"/>
        <w:szCs w:val="24"/>
        <w:lang w:val="en-US" w:eastAsia="zh-CN"/>
      </w:rPr>
      <w:t>1</w:t>
    </w:r>
    <w:bookmarkStart w:id="0" w:name="_GoBack"/>
    <w:bookmarkEnd w:id="0"/>
    <w:r>
      <w:rPr>
        <w:rFonts w:hint="eastAsia" w:ascii="Times New Roman" w:hAnsi="Times New Roman" w:eastAsia="宋体" w:cs="Times New Roman"/>
        <w:sz w:val="24"/>
        <w:szCs w:val="24"/>
        <w:lang w:val="en-US" w:eastAsia="zh-CN"/>
      </w:rPr>
      <w:t xml:space="preserve">                                                                                  日期：</w:t>
    </w:r>
    <w:r>
      <w:rPr>
        <w:rFonts w:hint="default" w:ascii="Times New Roman" w:hAnsi="Times New Roman" w:eastAsia="宋体" w:cs="Times New Roman"/>
        <w:sz w:val="24"/>
        <w:szCs w:val="24"/>
      </w:rPr>
      <w:t>2026-0</w:t>
    </w:r>
    <w:r>
      <w:rPr>
        <w:rFonts w:hint="eastAsia" w:ascii="Times New Roman" w:hAnsi="Times New Roman" w:cs="Times New Roman"/>
        <w:sz w:val="24"/>
        <w:szCs w:val="24"/>
        <w:lang w:val="en-US" w:eastAsia="zh-CN"/>
      </w:rPr>
      <w:t>3</w:t>
    </w: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A71B81"/>
    <w:rsid w:val="172F4AF3"/>
    <w:rsid w:val="2524556B"/>
    <w:rsid w:val="25C12DBA"/>
    <w:rsid w:val="26375D85"/>
    <w:rsid w:val="2B096D17"/>
    <w:rsid w:val="2FEF537A"/>
    <w:rsid w:val="489678BE"/>
    <w:rsid w:val="4C97554E"/>
    <w:rsid w:val="4D9626D8"/>
    <w:rsid w:val="55FF4A03"/>
    <w:rsid w:val="5A9A35FE"/>
    <w:rsid w:val="5DFC4AD4"/>
    <w:rsid w:val="645D1FCF"/>
    <w:rsid w:val="6D68758C"/>
    <w:rsid w:val="70B2124A"/>
    <w:rsid w:val="72212622"/>
    <w:rsid w:val="7C2747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DSC_Title"/>
    <w:qFormat/>
    <w:uiPriority w:val="0"/>
    <w:pPr>
      <w:spacing w:after="200" w:line="276" w:lineRule="auto"/>
    </w:pPr>
    <w:rPr>
      <w:rFonts w:ascii="黑体" w:hAnsi="黑体" w:eastAsia="黑体" w:cstheme="minorBidi"/>
      <w:b/>
      <w:sz w:val="36"/>
      <w:szCs w:val="22"/>
      <w:lang w:val="en-US" w:eastAsia="en-US" w:bidi="ar-SA"/>
    </w:rPr>
  </w:style>
  <w:style w:type="paragraph" w:customStyle="1" w:styleId="165">
    <w:name w:val="TDSC_H1"/>
    <w:qFormat/>
    <w:uiPriority w:val="0"/>
    <w:pPr>
      <w:spacing w:after="200" w:line="276" w:lineRule="auto"/>
    </w:pPr>
    <w:rPr>
      <w:rFonts w:ascii="黑体" w:hAnsi="黑体" w:eastAsia="黑体" w:cstheme="minorBidi"/>
      <w:b/>
      <w:sz w:val="28"/>
      <w:szCs w:val="22"/>
      <w:lang w:val="en-US" w:eastAsia="en-US" w:bidi="ar-SA"/>
    </w:rPr>
  </w:style>
  <w:style w:type="paragraph" w:customStyle="1" w:styleId="166">
    <w:name w:val="TDSC_H2"/>
    <w:qFormat/>
    <w:uiPriority w:val="0"/>
    <w:pPr>
      <w:spacing w:after="200" w:line="276" w:lineRule="auto"/>
    </w:pPr>
    <w:rPr>
      <w:rFonts w:ascii="黑体" w:hAnsi="黑体" w:eastAsia="黑体" w:cstheme="minorBidi"/>
      <w:b/>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4607</Words>
  <Characters>5117</Characters>
  <Lines>0</Lines>
  <Paragraphs>0</Paragraphs>
  <TotalTime>14</TotalTime>
  <ScaleCrop>false</ScaleCrop>
  <LinksUpToDate>false</LinksUpToDate>
  <CharactersWithSpaces>5184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任坦坦</cp:lastModifiedBy>
  <dcterms:modified xsi:type="dcterms:W3CDTF">2026-03-19T07:24:20Z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eyJoZGlkIjoiMDMyZjEyMjdiYzk5MGYwOGM0ZTYwODZjYzI4ODdjNzYiLCJ1c2VySWQiOiI5NjExNDM1MzcifQ==</vt:lpwstr>
  </property>
  <property fmtid="{D5CDD505-2E9C-101B-9397-08002B2CF9AE}" pid="3" name="KSOProductBuildVer">
    <vt:lpwstr>2052-12.1.0.21171</vt:lpwstr>
  </property>
  <property fmtid="{D5CDD505-2E9C-101B-9397-08002B2CF9AE}" pid="4" name="ICV">
    <vt:lpwstr>38192F1D94D147AFA1322DA37A2D8092_13</vt:lpwstr>
  </property>
</Properties>
</file>