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346AF">
      <w:bookmarkStart w:id="0" w:name="_GoBack"/>
      <w:bookmarkEnd w:id="0"/>
    </w:p>
    <w:p w14:paraId="3F37E3A3">
      <w:pPr>
        <w:ind w:left="0" w:firstLine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TDSC研究操作手册文件总索引</w:t>
      </w:r>
    </w:p>
    <w:p w14:paraId="416834E7">
      <w:pPr>
        <w:ind w:left="0" w:firstLine="0"/>
        <w:rPr>
          <w:rFonts w:hint="eastAsia"/>
          <w:b/>
          <w:sz w:val="32"/>
          <w:lang w:eastAsia="zh-CN"/>
        </w:rPr>
      </w:pPr>
    </w:p>
    <w:p w14:paraId="329FC45E">
      <w:pPr>
        <w:ind w:left="0" w:firstLine="0"/>
        <w:rPr>
          <w:rFonts w:hint="eastAsia"/>
          <w:b/>
          <w:sz w:val="32"/>
          <w:lang w:eastAsia="zh-CN"/>
        </w:rPr>
      </w:pPr>
    </w:p>
    <w:p w14:paraId="56474B8A">
      <w:pPr>
        <w:ind w:left="0" w:firstLine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文档名称：TDSC研究操作手册文件包</w:t>
      </w:r>
    </w:p>
    <w:p w14:paraId="404E5663">
      <w:pPr>
        <w:ind w:left="0" w:firstLine="0"/>
        <w:rPr>
          <w:rFonts w:hint="eastAsia"/>
          <w:b w:val="0"/>
          <w:sz w:val="22"/>
          <w:lang w:eastAsia="zh-CN"/>
        </w:rPr>
      </w:pPr>
    </w:p>
    <w:p w14:paraId="2F62988D">
      <w:pPr>
        <w:ind w:left="0" w:firstLine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正式参考资料目录：`D:\Codex\TDSC项目 研究方案和SOPs`</w:t>
      </w:r>
    </w:p>
    <w:p w14:paraId="3F128D83">
      <w:pPr>
        <w:ind w:left="0" w:firstLine="0"/>
        <w:rPr>
          <w:rFonts w:hint="eastAsia"/>
          <w:b w:val="0"/>
          <w:sz w:val="22"/>
          <w:lang w:eastAsia="zh-CN"/>
        </w:rPr>
      </w:pPr>
    </w:p>
    <w:p w14:paraId="61E44D39">
      <w:pPr>
        <w:ind w:left="0" w:firstLine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对应核心上位文件：`TDSC_研究方案 V2.0 2026-02-28.docx`</w:t>
      </w:r>
    </w:p>
    <w:p w14:paraId="469988D7">
      <w:pPr>
        <w:ind w:left="0" w:firstLine="0"/>
        <w:rPr>
          <w:rFonts w:hint="eastAsia"/>
          <w:b w:val="0"/>
          <w:sz w:val="22"/>
          <w:lang w:eastAsia="zh-CN"/>
        </w:rPr>
      </w:pPr>
    </w:p>
    <w:p w14:paraId="49AB560C">
      <w:pPr>
        <w:ind w:left="0" w:firstLine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文件包版本：Draft v0.2</w:t>
      </w:r>
    </w:p>
    <w:p w14:paraId="72EA8678">
      <w:pPr>
        <w:ind w:left="0" w:firstLine="0"/>
        <w:rPr>
          <w:rFonts w:hint="eastAsia"/>
          <w:b w:val="0"/>
          <w:sz w:val="22"/>
          <w:lang w:eastAsia="zh-CN"/>
        </w:rPr>
      </w:pPr>
    </w:p>
    <w:p w14:paraId="1101D97C">
      <w:pPr>
        <w:ind w:left="0" w:firstLine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起草日期：2026-03-25</w:t>
      </w:r>
    </w:p>
    <w:p w14:paraId="09B408D1">
      <w:pPr>
        <w:ind w:left="0" w:firstLine="0"/>
        <w:rPr>
          <w:rFonts w:hint="eastAsia"/>
          <w:b w:val="0"/>
          <w:sz w:val="22"/>
          <w:lang w:eastAsia="zh-CN"/>
        </w:rPr>
      </w:pPr>
    </w:p>
    <w:p w14:paraId="2861B0DA">
      <w:pPr>
        <w:ind w:left="0" w:firstLine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状态：供项目团队内部审阅</w:t>
      </w:r>
    </w:p>
    <w:p w14:paraId="5786BAF3">
      <w:pPr>
        <w:ind w:left="0" w:firstLine="0"/>
        <w:rPr>
          <w:rFonts w:hint="eastAsia"/>
          <w:b w:val="0"/>
          <w:sz w:val="22"/>
          <w:lang w:eastAsia="zh-CN"/>
        </w:rPr>
      </w:pPr>
    </w:p>
    <w:p w14:paraId="4E1D6848">
      <w:pPr>
        <w:ind w:left="0" w:firstLine="0"/>
        <w:rPr>
          <w:rFonts w:hint="eastAsia"/>
          <w:b w:val="0"/>
          <w:sz w:val="22"/>
          <w:lang w:eastAsia="zh-CN"/>
        </w:rPr>
      </w:pPr>
    </w:p>
    <w:p w14:paraId="3B62EBA3">
      <w:pPr>
        <w:ind w:left="0" w:firstLine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1. 文件包目的</w:t>
      </w:r>
    </w:p>
    <w:p w14:paraId="4FB07D5B">
      <w:pPr>
        <w:ind w:left="0" w:firstLine="0"/>
        <w:rPr>
          <w:rFonts w:hint="eastAsia"/>
          <w:b/>
          <w:sz w:val="28"/>
          <w:lang w:eastAsia="zh-CN"/>
        </w:rPr>
      </w:pPr>
    </w:p>
    <w:p w14:paraId="64629F7A">
      <w:pPr>
        <w:ind w:left="0" w:firstLine="0"/>
        <w:rPr>
          <w:rFonts w:hint="eastAsia"/>
          <w:b/>
          <w:sz w:val="28"/>
          <w:lang w:eastAsia="zh-CN"/>
        </w:rPr>
      </w:pPr>
    </w:p>
    <w:p w14:paraId="42D9A185">
      <w:pPr>
        <w:ind w:left="0" w:firstLine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本文件包用于将TDSC研究方案及其配套SOP转化为多中心研究现场可直接执行、可培训、可监查、可版本化管理的研究操作手册体系。</w:t>
      </w:r>
    </w:p>
    <w:p w14:paraId="7B692D87">
      <w:pPr>
        <w:ind w:left="0" w:firstLine="0"/>
        <w:rPr>
          <w:rFonts w:hint="eastAsia"/>
          <w:b w:val="0"/>
          <w:sz w:val="22"/>
          <w:lang w:eastAsia="zh-CN"/>
        </w:rPr>
      </w:pPr>
    </w:p>
    <w:p w14:paraId="2E55C0CA">
      <w:pPr>
        <w:ind w:left="0" w:firstLine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所有手册均以研究方案、正式SOP、伦理批件、SAP、EDC建库说明和中心实验室/影像学要求为上位文件；如存在冲突，按上述文件的受控版本执行。</w:t>
      </w:r>
    </w:p>
    <w:p w14:paraId="662245D8">
      <w:pPr>
        <w:ind w:left="0" w:firstLine="0"/>
        <w:rPr>
          <w:rFonts w:hint="eastAsia"/>
          <w:b w:val="0"/>
          <w:sz w:val="22"/>
          <w:lang w:eastAsia="zh-CN"/>
        </w:rPr>
      </w:pPr>
    </w:p>
    <w:p w14:paraId="05287A00">
      <w:pPr>
        <w:ind w:left="0" w:firstLine="0"/>
        <w:rPr>
          <w:rFonts w:hint="eastAsia"/>
          <w:b w:val="0"/>
          <w:sz w:val="22"/>
          <w:lang w:eastAsia="zh-CN"/>
        </w:rPr>
      </w:pPr>
    </w:p>
    <w:p w14:paraId="6FF84F29">
      <w:pPr>
        <w:ind w:left="0" w:firstLine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2. 本次已对齐的本地资料</w:t>
      </w:r>
    </w:p>
    <w:p w14:paraId="3C630ABC">
      <w:pPr>
        <w:ind w:left="0" w:firstLine="0"/>
        <w:rPr>
          <w:rFonts w:hint="eastAsia"/>
          <w:b/>
          <w:sz w:val="28"/>
          <w:lang w:eastAsia="zh-CN"/>
        </w:rPr>
      </w:pPr>
    </w:p>
    <w:p w14:paraId="523A9FC6">
      <w:pPr>
        <w:ind w:left="0" w:firstLine="0"/>
        <w:rPr>
          <w:rFonts w:hint="eastAsia"/>
          <w:b/>
          <w:sz w:val="28"/>
          <w:lang w:eastAsia="zh-CN"/>
        </w:rPr>
      </w:pPr>
    </w:p>
    <w:p w14:paraId="02F3D43A">
      <w:pPr>
        <w:numPr>
          <w:ilvl w:val="0"/>
          <w:numId w:val="1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`TDSC_研究方案 V2.0 2026-02-28.docx`</w:t>
      </w:r>
    </w:p>
    <w:p w14:paraId="17D55653">
      <w:pPr>
        <w:numPr>
          <w:ilvl w:val="0"/>
          <w:numId w:val="1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06FB1D6D">
      <w:pPr>
        <w:numPr>
          <w:ilvl w:val="0"/>
          <w:numId w:val="2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`TDSC_知情同意书_V2.1_2026-03-18.docx.docx`</w:t>
      </w:r>
    </w:p>
    <w:p w14:paraId="1AC644A7">
      <w:pPr>
        <w:numPr>
          <w:ilvl w:val="0"/>
          <w:numId w:val="2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6812323E">
      <w:pPr>
        <w:numPr>
          <w:ilvl w:val="0"/>
          <w:numId w:val="3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`TDSC_SOP01_患者分层工具包_V1.4_审阅修订版.docx`</w:t>
      </w:r>
    </w:p>
    <w:p w14:paraId="077609F9">
      <w:pPr>
        <w:numPr>
          <w:ilvl w:val="0"/>
          <w:numId w:val="3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6591AAB9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`TDSC_SOP02_安全门槛_M6随机化资格_V1.1_中文(1).docx`</w:t>
      </w:r>
    </w:p>
    <w:p w14:paraId="3A5F69E3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48CEB3D0">
      <w:pPr>
        <w:numPr>
          <w:ilvl w:val="0"/>
          <w:numId w:val="5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`TDSC_SOP05_随机与分配实施_V1.1_CN(1).docx`</w:t>
      </w:r>
    </w:p>
    <w:p w14:paraId="1AE739E4">
      <w:pPr>
        <w:numPr>
          <w:ilvl w:val="0"/>
          <w:numId w:val="5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73020CC0">
      <w:pPr>
        <w:numPr>
          <w:ilvl w:val="0"/>
          <w:numId w:val="6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`TDSC_SOP07_研究药物_药物组合与药物剂量表_V1.1_CN(1).docx`</w:t>
      </w:r>
    </w:p>
    <w:p w14:paraId="17D178BE">
      <w:pPr>
        <w:numPr>
          <w:ilvl w:val="0"/>
          <w:numId w:val="6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7CB7A55F">
      <w:pPr>
        <w:numPr>
          <w:ilvl w:val="0"/>
          <w:numId w:val="7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`TDSC_SOP08_研究药物_服药方法与依从性管理_V1.1_CN(1).docx`</w:t>
      </w:r>
    </w:p>
    <w:p w14:paraId="3C2ECFFA">
      <w:pPr>
        <w:numPr>
          <w:ilvl w:val="0"/>
          <w:numId w:val="7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7FE86EAF">
      <w:pPr>
        <w:numPr>
          <w:ilvl w:val="0"/>
          <w:numId w:val="8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`TDSC_SOP09_研究药物不良反应处理方法_V1.1_CN(1).docx`</w:t>
      </w:r>
    </w:p>
    <w:p w14:paraId="6E8AEE4B">
      <w:pPr>
        <w:numPr>
          <w:ilvl w:val="0"/>
          <w:numId w:val="8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52EAAB33">
      <w:pPr>
        <w:numPr>
          <w:ilvl w:val="0"/>
          <w:numId w:val="9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`TDSC_SOP13_随访计划主表（EDC-ready）_V2.2_CN(1).docx`</w:t>
      </w:r>
    </w:p>
    <w:p w14:paraId="29FE8216">
      <w:pPr>
        <w:numPr>
          <w:ilvl w:val="0"/>
          <w:numId w:val="9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6EF1CAB8">
      <w:pPr>
        <w:numPr>
          <w:ilvl w:val="0"/>
          <w:numId w:val="10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`TDSC_SOP15_随访与失访管理_V1.0_CN(1).docx`</w:t>
      </w:r>
    </w:p>
    <w:p w14:paraId="76D3161E">
      <w:pPr>
        <w:numPr>
          <w:ilvl w:val="0"/>
          <w:numId w:val="10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198BB75C">
      <w:pPr>
        <w:numPr>
          <w:ilvl w:val="0"/>
          <w:numId w:val="11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`TDSC_SOP17_微生物学流程_污染NTM_DST_WGS接口_V1.1_CN.docx`</w:t>
      </w:r>
    </w:p>
    <w:p w14:paraId="1F40F40F">
      <w:pPr>
        <w:numPr>
          <w:ilvl w:val="0"/>
          <w:numId w:val="11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382EE574">
      <w:pPr>
        <w:numPr>
          <w:ilvl w:val="0"/>
          <w:numId w:val="12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`TDSC_SOP19_生物样本_运输_保存_V1.1_CN.docx`</w:t>
      </w:r>
    </w:p>
    <w:p w14:paraId="09AE6AEC">
      <w:pPr>
        <w:numPr>
          <w:ilvl w:val="0"/>
          <w:numId w:val="12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2B5C4ED9">
      <w:pPr>
        <w:numPr>
          <w:ilvl w:val="0"/>
          <w:numId w:val="13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`TDSC_SOP23_数据管理与质量控制_EDC_Query_冻结锁库_稽查_V1.1_CN.docx`</w:t>
      </w:r>
    </w:p>
    <w:p w14:paraId="74A8E59A">
      <w:pPr>
        <w:numPr>
          <w:ilvl w:val="0"/>
          <w:numId w:val="13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</w:p>
    <w:p w14:paraId="37781496">
      <w:pPr>
        <w:numPr>
          <w:ilvl w:val="0"/>
          <w:numId w:val="14"/>
        </w:numPr>
        <w:ind w:left="420" w:leftChars="0" w:hanging="420" w:firstLineChars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`TDSC_SAP_V1.0_2026-03-02.docx`</w:t>
      </w:r>
    </w:p>
    <w:p w14:paraId="179BED1C">
      <w:pPr>
        <w:widowControl w:val="0"/>
        <w:numPr>
          <w:numId w:val="0"/>
        </w:numPr>
        <w:jc w:val="both"/>
        <w:rPr>
          <w:rFonts w:hint="eastAsia"/>
          <w:b w:val="0"/>
          <w:sz w:val="22"/>
          <w:lang w:eastAsia="zh-CN"/>
        </w:rPr>
      </w:pPr>
    </w:p>
    <w:p w14:paraId="0DB577DD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 文件体系</w:t>
      </w:r>
    </w:p>
    <w:p w14:paraId="665CD7AF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</w:p>
    <w:p w14:paraId="6D03F89C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</w:p>
    <w:p w14:paraId="21A80F2D">
      <w:pPr>
        <w:widowControl w:val="0"/>
        <w:numPr>
          <w:ilvl w:val="0"/>
          <w:numId w:val="15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1. `00_Study_Manual_Index.md`</w:t>
      </w:r>
    </w:p>
    <w:p w14:paraId="297ED2EF">
      <w:pPr>
        <w:widowControl w:val="0"/>
        <w:numPr>
          <w:ilvl w:val="0"/>
          <w:numId w:val="15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</w:p>
    <w:p w14:paraId="1DCB8E59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用于说明整套文件包结构、适用范围和文件关系。</w:t>
      </w:r>
    </w:p>
    <w:p w14:paraId="574C28AC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77DB3C79">
      <w:pPr>
        <w:widowControl w:val="0"/>
        <w:numPr>
          <w:ilvl w:val="0"/>
          <w:numId w:val="16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2. `01_Main_MOP_or_Site_Manual.md`</w:t>
      </w:r>
    </w:p>
    <w:p w14:paraId="318D1220">
      <w:pPr>
        <w:widowControl w:val="0"/>
        <w:numPr>
          <w:ilvl w:val="0"/>
          <w:numId w:val="16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</w:p>
    <w:p w14:paraId="12ABCF17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适用于PI、Co-I、研究护士、CRC、访视执行团队、项目管理和监查团队。</w:t>
      </w:r>
    </w:p>
    <w:p w14:paraId="58F213A7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6BF02083">
      <w:pPr>
        <w:widowControl w:val="0"/>
        <w:numPr>
          <w:ilvl w:val="0"/>
          <w:numId w:val="17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3. `02_Pharmacy_Manual.md`</w:t>
      </w:r>
    </w:p>
    <w:p w14:paraId="49F5F66F">
      <w:pPr>
        <w:widowControl w:val="0"/>
        <w:numPr>
          <w:ilvl w:val="0"/>
          <w:numId w:val="17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</w:p>
    <w:p w14:paraId="2E0D4094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适用于药师、研究护士、研究医生和药物发放相关人员。</w:t>
      </w:r>
    </w:p>
    <w:p w14:paraId="7E00A4A9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74CE6C1A">
      <w:pPr>
        <w:widowControl w:val="0"/>
        <w:numPr>
          <w:ilvl w:val="0"/>
          <w:numId w:val="18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4. `03_Lab_Manual.md`</w:t>
      </w:r>
    </w:p>
    <w:p w14:paraId="7C69C61F">
      <w:pPr>
        <w:widowControl w:val="0"/>
        <w:numPr>
          <w:ilvl w:val="0"/>
          <w:numId w:val="18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</w:p>
    <w:p w14:paraId="74D0C15B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适用于样本采集、处理、运输、中心实验室接口及结果回传相关人员。</w:t>
      </w:r>
    </w:p>
    <w:p w14:paraId="344A090B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6B02093A">
      <w:pPr>
        <w:widowControl w:val="0"/>
        <w:numPr>
          <w:ilvl w:val="0"/>
          <w:numId w:val="19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5. `04_Templates_and_Checklists.md`</w:t>
      </w:r>
    </w:p>
    <w:p w14:paraId="4AE8B92A">
      <w:pPr>
        <w:widowControl w:val="0"/>
        <w:numPr>
          <w:ilvl w:val="0"/>
          <w:numId w:val="19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</w:p>
    <w:p w14:paraId="3E21BB03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用于培训、现场执行、监查和稽查时的清单与模板框架。</w:t>
      </w:r>
    </w:p>
    <w:p w14:paraId="352D5462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05F03ACC">
      <w:pPr>
        <w:widowControl w:val="0"/>
        <w:numPr>
          <w:ilvl w:val="0"/>
          <w:numId w:val="20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6. `05_Open_Issues_and_Clarification_Log.md`</w:t>
      </w:r>
    </w:p>
    <w:p w14:paraId="1FB2B5D1">
      <w:pPr>
        <w:widowControl w:val="0"/>
        <w:numPr>
          <w:ilvl w:val="0"/>
          <w:numId w:val="20"/>
        </w:numPr>
        <w:ind w:left="0" w:leftChars="0" w:firstLine="420" w:firstLineChars="0"/>
        <w:jc w:val="both"/>
        <w:rPr>
          <w:rFonts w:hint="eastAsia"/>
          <w:b w:val="0"/>
          <w:sz w:val="22"/>
          <w:lang w:eastAsia="zh-CN"/>
        </w:rPr>
      </w:pPr>
    </w:p>
    <w:p w14:paraId="0333F27C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用于记录需上位文件澄清、启动会锁定或由EDC/SAP/SOP进一步定义的内容。</w:t>
      </w:r>
    </w:p>
    <w:p w14:paraId="3D91A629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605AB897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37FE3B3D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4. 建议的文件层级关系</w:t>
      </w:r>
    </w:p>
    <w:p w14:paraId="194D7842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/>
          <w:sz w:val="28"/>
          <w:lang w:eastAsia="zh-CN"/>
        </w:rPr>
      </w:pPr>
    </w:p>
    <w:p w14:paraId="7FF60D81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/>
          <w:sz w:val="28"/>
          <w:lang w:eastAsia="zh-CN"/>
        </w:rPr>
      </w:pPr>
    </w:p>
    <w:p w14:paraId="50E0C54C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Protocol</w:t>
      </w:r>
    </w:p>
    <w:p w14:paraId="7827B425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50B60266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-&gt; ICF / eCRF / SAP / EDC Logic / Randomization Specification</w:t>
      </w:r>
    </w:p>
    <w:p w14:paraId="15277298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55ACC2EE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-&gt; Main MOP / Site Manual</w:t>
      </w:r>
    </w:p>
    <w:p w14:paraId="675EE231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125B069C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-&gt; Pharmacy Manual / Lab Manual</w:t>
      </w:r>
    </w:p>
    <w:p w14:paraId="080013AD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2D46F902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-&gt; Checklists / Logs / Worksheets / Training Materials</w:t>
      </w:r>
    </w:p>
    <w:p w14:paraId="7D0FDC51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6805BF9D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-&gt; Clarification Log / Change Log</w:t>
      </w:r>
    </w:p>
    <w:p w14:paraId="0C506451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2C3D486D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57B3FF76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5. 分册结论</w:t>
      </w:r>
    </w:p>
    <w:p w14:paraId="569A5E3A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/>
          <w:sz w:val="28"/>
          <w:lang w:eastAsia="zh-CN"/>
        </w:rPr>
      </w:pPr>
    </w:p>
    <w:p w14:paraId="105DD748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/>
          <w:sz w:val="28"/>
          <w:lang w:eastAsia="zh-CN"/>
        </w:rPr>
      </w:pPr>
    </w:p>
    <w:p w14:paraId="75F5CB4F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基于TDSC protocol与本地资料夹，本研究不宜仅采用一本总手册，原因如下：</w:t>
      </w:r>
    </w:p>
    <w:p w14:paraId="36879BC6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2167FD45">
      <w:pPr>
        <w:widowControl w:val="0"/>
        <w:numPr>
          <w:numId w:val="0"/>
        </w:numPr>
        <w:ind w:left="0" w:leftChars="0" w:firstLine="0"/>
        <w:jc w:val="both"/>
        <w:rPr>
          <w:rFonts w:hint="eastAsia"/>
          <w:b w:val="0"/>
          <w:sz w:val="22"/>
          <w:lang w:eastAsia="zh-CN"/>
        </w:rPr>
      </w:pPr>
    </w:p>
    <w:p w14:paraId="55BEE45C">
      <w:pPr>
        <w:widowControl w:val="0"/>
        <w:numPr>
          <w:ilvl w:val="0"/>
          <w:numId w:val="21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为多中心、开放标签、分层后随机对照试验，且存在队列A与队列B两条执行路径。</w:t>
      </w:r>
    </w:p>
    <w:p w14:paraId="1B5A1DE0">
      <w:pPr>
        <w:widowControl w:val="0"/>
        <w:numPr>
          <w:ilvl w:val="0"/>
          <w:numId w:val="21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p w14:paraId="00B74F70">
      <w:pPr>
        <w:widowControl w:val="0"/>
        <w:numPr>
          <w:ilvl w:val="0"/>
          <w:numId w:val="22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已拆分形成筛选随机化、Hard Gate、药物剂量、依从性、AE、随访、微生物学、样本运输、EDC质控等专门SOP。</w:t>
      </w:r>
    </w:p>
    <w:p w14:paraId="1C23654A">
      <w:pPr>
        <w:widowControl w:val="0"/>
        <w:numPr>
          <w:ilvl w:val="0"/>
          <w:numId w:val="22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p w14:paraId="6581BF2C">
      <w:pPr>
        <w:widowControl w:val="0"/>
        <w:numPr>
          <w:ilvl w:val="0"/>
          <w:numId w:val="23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涉及研究药物发放、DDI筛查、药房台账、Hard Gate微生物学证据链、CEC资料包和中心化数据质控。</w:t>
      </w:r>
    </w:p>
    <w:p w14:paraId="748B2E9E">
      <w:pPr>
        <w:widowControl w:val="0"/>
        <w:numPr>
          <w:ilvl w:val="0"/>
          <w:numId w:val="23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p w14:paraId="5E2EA96C">
      <w:pPr>
        <w:widowControl w:val="0"/>
        <w:numPr>
          <w:ilvl w:val="0"/>
          <w:numId w:val="24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不同岗位培训内容差异大，且更新频率不同。</w:t>
      </w:r>
    </w:p>
    <w:p w14:paraId="6CE12FA8">
      <w:pPr>
        <w:widowControl w:val="0"/>
        <w:numPr>
          <w:numId w:val="0"/>
        </w:numPr>
        <w:jc w:val="both"/>
        <w:rPr>
          <w:rFonts w:hint="eastAsia"/>
          <w:b w:val="0"/>
          <w:sz w:val="22"/>
          <w:lang w:eastAsia="zh-CN"/>
        </w:rPr>
      </w:pPr>
    </w:p>
    <w:p w14:paraId="5E8CCB5B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6. 统一执行原则</w:t>
      </w:r>
    </w:p>
    <w:p w14:paraId="6E502DA1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</w:p>
    <w:p w14:paraId="18E1014A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</w:p>
    <w:p w14:paraId="4AB4B860"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所有关键流程均应写明责任岗位、触发时点、前置条件、操作步骤、记录位置、异常处理和升级路径。</w:t>
      </w:r>
    </w:p>
    <w:p w14:paraId="7E2915BC"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p w14:paraId="40DC6201">
      <w:pPr>
        <w:widowControl w:val="0"/>
        <w:numPr>
          <w:ilvl w:val="0"/>
          <w:numId w:val="26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与随机化、Hard Gate、主要终点、SAE/AESI、药物发放、样本链路有关的流程均按关键流程管理。</w:t>
      </w:r>
    </w:p>
    <w:p w14:paraId="7EA5531D">
      <w:pPr>
        <w:widowControl w:val="0"/>
        <w:numPr>
          <w:ilvl w:val="0"/>
          <w:numId w:val="26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p w14:paraId="648C797C">
      <w:pPr>
        <w:widowControl w:val="0"/>
        <w:numPr>
          <w:ilvl w:val="0"/>
          <w:numId w:val="27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手册中未被研究方案或正式SOP明确量化的阈值，不得自行发明；应转入待澄清问题清单。</w:t>
      </w:r>
    </w:p>
    <w:p w14:paraId="1BDFFE15">
      <w:pPr>
        <w:widowControl w:val="0"/>
        <w:numPr>
          <w:ilvl w:val="0"/>
          <w:numId w:val="27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p w14:paraId="7F1DEBCD">
      <w:pPr>
        <w:widowControl w:val="0"/>
        <w:numPr>
          <w:ilvl w:val="0"/>
          <w:numId w:val="28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替代随访、远程随访和被动追溯可用于补齐最小随访数据集，但必须留痕。</w:t>
      </w:r>
    </w:p>
    <w:p w14:paraId="4B0270AE">
      <w:pPr>
        <w:widowControl w:val="0"/>
        <w:numPr>
          <w:numId w:val="0"/>
        </w:numPr>
        <w:jc w:val="both"/>
        <w:rPr>
          <w:rFonts w:hint="eastAsia"/>
          <w:b w:val="0"/>
          <w:sz w:val="22"/>
          <w:lang w:eastAsia="zh-CN"/>
        </w:rPr>
      </w:pPr>
    </w:p>
    <w:p w14:paraId="2AC2C3DD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7. 培训与版本控制要求</w:t>
      </w:r>
    </w:p>
    <w:p w14:paraId="5AB280C6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</w:p>
    <w:p w14:paraId="686A205B">
      <w:pPr>
        <w:widowControl w:val="0"/>
        <w:numPr>
          <w:numId w:val="0"/>
        </w:numPr>
        <w:ind w:left="0" w:firstLine="0"/>
        <w:jc w:val="both"/>
        <w:rPr>
          <w:rFonts w:hint="eastAsia"/>
          <w:b/>
          <w:sz w:val="28"/>
          <w:lang w:eastAsia="zh-CN"/>
        </w:rPr>
      </w:pPr>
    </w:p>
    <w:p w14:paraId="45775083">
      <w:pPr>
        <w:widowControl w:val="0"/>
        <w:numPr>
          <w:ilvl w:val="0"/>
          <w:numId w:val="29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本文件包首次生效前，应完成研究者、CRC、研究护士、药师、实验室和数据录入人员培训。</w:t>
      </w:r>
    </w:p>
    <w:p w14:paraId="51CE955B">
      <w:pPr>
        <w:widowControl w:val="0"/>
        <w:numPr>
          <w:ilvl w:val="0"/>
          <w:numId w:val="29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p w14:paraId="76CB2CC9">
      <w:pPr>
        <w:widowControl w:val="0"/>
        <w:numPr>
          <w:ilvl w:val="0"/>
          <w:numId w:val="30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若后续发生研究方案修订、随机化规则调整、EDC字段调整、Hard Gate判定逻辑更新、样本处理版本变更或禁忌合并用药清单更新，应同步修订相应手册并触发再培训。</w:t>
      </w:r>
    </w:p>
    <w:p w14:paraId="3D703106">
      <w:pPr>
        <w:widowControl w:val="0"/>
        <w:numPr>
          <w:ilvl w:val="0"/>
          <w:numId w:val="30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p w14:paraId="716C32BC">
      <w:pPr>
        <w:widowControl w:val="0"/>
        <w:numPr>
          <w:ilvl w:val="0"/>
          <w:numId w:val="31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所有旧版文件应回收或标记作废，避免混用。</w:t>
      </w:r>
    </w:p>
    <w:p w14:paraId="020C2F06">
      <w:pPr>
        <w:widowControl w:val="0"/>
        <w:numPr>
          <w:ilvl w:val="0"/>
          <w:numId w:val="31"/>
        </w:numPr>
        <w:ind w:left="420" w:leftChars="0" w:hanging="420" w:firstLineChars="0"/>
        <w:jc w:val="both"/>
        <w:rPr>
          <w:rFonts w:hint="eastAsia"/>
          <w:b w:val="0"/>
          <w:sz w:val="2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62D7B"/>
    <w:multiLevelType w:val="singleLevel"/>
    <w:tmpl w:val="80A62D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F883D01"/>
    <w:multiLevelType w:val="singleLevel"/>
    <w:tmpl w:val="8F883D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2AA7F3C"/>
    <w:multiLevelType w:val="singleLevel"/>
    <w:tmpl w:val="92AA7F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97B7CA2"/>
    <w:multiLevelType w:val="singleLevel"/>
    <w:tmpl w:val="997B7C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DA483DB"/>
    <w:multiLevelType w:val="singleLevel"/>
    <w:tmpl w:val="9DA483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9EBA0EB9"/>
    <w:multiLevelType w:val="singleLevel"/>
    <w:tmpl w:val="9EBA0E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BE324CD3"/>
    <w:multiLevelType w:val="singleLevel"/>
    <w:tmpl w:val="BE324C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00473B9"/>
    <w:multiLevelType w:val="singleLevel"/>
    <w:tmpl w:val="C00473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2971DAB"/>
    <w:multiLevelType w:val="singleLevel"/>
    <w:tmpl w:val="D2971D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D6DA9D81"/>
    <w:multiLevelType w:val="singleLevel"/>
    <w:tmpl w:val="D6DA9D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D8C93061"/>
    <w:multiLevelType w:val="singleLevel"/>
    <w:tmpl w:val="D8C930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DD654951"/>
    <w:multiLevelType w:val="singleLevel"/>
    <w:tmpl w:val="DD65495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2">
    <w:nsid w:val="E84C431F"/>
    <w:multiLevelType w:val="singleLevel"/>
    <w:tmpl w:val="E84C431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3">
    <w:nsid w:val="E9A9D928"/>
    <w:multiLevelType w:val="singleLevel"/>
    <w:tmpl w:val="E9A9D92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4">
    <w:nsid w:val="F7000079"/>
    <w:multiLevelType w:val="singleLevel"/>
    <w:tmpl w:val="F70000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F797F1B2"/>
    <w:multiLevelType w:val="singleLevel"/>
    <w:tmpl w:val="F797F1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FFD8F774"/>
    <w:multiLevelType w:val="singleLevel"/>
    <w:tmpl w:val="FFD8F7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04732875"/>
    <w:multiLevelType w:val="singleLevel"/>
    <w:tmpl w:val="0473287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8">
    <w:nsid w:val="06732AE9"/>
    <w:multiLevelType w:val="singleLevel"/>
    <w:tmpl w:val="06732AE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9">
    <w:nsid w:val="2EBCDAE4"/>
    <w:multiLevelType w:val="singleLevel"/>
    <w:tmpl w:val="2EBCDA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32B5FC8E"/>
    <w:multiLevelType w:val="singleLevel"/>
    <w:tmpl w:val="32B5FC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339AE65A"/>
    <w:multiLevelType w:val="singleLevel"/>
    <w:tmpl w:val="339AE6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41E7B30B"/>
    <w:multiLevelType w:val="singleLevel"/>
    <w:tmpl w:val="41E7B3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470E20BC"/>
    <w:multiLevelType w:val="singleLevel"/>
    <w:tmpl w:val="470E20B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478DCEBC"/>
    <w:multiLevelType w:val="singleLevel"/>
    <w:tmpl w:val="478DCEB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575DA0A3"/>
    <w:multiLevelType w:val="singleLevel"/>
    <w:tmpl w:val="575DA0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5B974185"/>
    <w:multiLevelType w:val="singleLevel"/>
    <w:tmpl w:val="5B9741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62029819"/>
    <w:multiLevelType w:val="singleLevel"/>
    <w:tmpl w:val="620298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64233719"/>
    <w:multiLevelType w:val="singleLevel"/>
    <w:tmpl w:val="642337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665621A8"/>
    <w:multiLevelType w:val="singleLevel"/>
    <w:tmpl w:val="665621A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0">
    <w:nsid w:val="70646720"/>
    <w:multiLevelType w:val="singleLevel"/>
    <w:tmpl w:val="706467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5"/>
  </w:num>
  <w:num w:numId="2">
    <w:abstractNumId w:val="23"/>
  </w:num>
  <w:num w:numId="3">
    <w:abstractNumId w:val="30"/>
  </w:num>
  <w:num w:numId="4">
    <w:abstractNumId w:val="3"/>
  </w:num>
  <w:num w:numId="5">
    <w:abstractNumId w:val="6"/>
  </w:num>
  <w:num w:numId="6">
    <w:abstractNumId w:val="20"/>
  </w:num>
  <w:num w:numId="7">
    <w:abstractNumId w:val="24"/>
  </w:num>
  <w:num w:numId="8">
    <w:abstractNumId w:val="9"/>
  </w:num>
  <w:num w:numId="9">
    <w:abstractNumId w:val="8"/>
  </w:num>
  <w:num w:numId="10">
    <w:abstractNumId w:val="21"/>
  </w:num>
  <w:num w:numId="11">
    <w:abstractNumId w:val="19"/>
  </w:num>
  <w:num w:numId="12">
    <w:abstractNumId w:val="26"/>
  </w:num>
  <w:num w:numId="13">
    <w:abstractNumId w:val="14"/>
  </w:num>
  <w:num w:numId="14">
    <w:abstractNumId w:val="0"/>
  </w:num>
  <w:num w:numId="15">
    <w:abstractNumId w:val="13"/>
  </w:num>
  <w:num w:numId="16">
    <w:abstractNumId w:val="18"/>
  </w:num>
  <w:num w:numId="17">
    <w:abstractNumId w:val="29"/>
  </w:num>
  <w:num w:numId="18">
    <w:abstractNumId w:val="11"/>
  </w:num>
  <w:num w:numId="19">
    <w:abstractNumId w:val="17"/>
  </w:num>
  <w:num w:numId="20">
    <w:abstractNumId w:val="12"/>
  </w:num>
  <w:num w:numId="21">
    <w:abstractNumId w:val="16"/>
  </w:num>
  <w:num w:numId="22">
    <w:abstractNumId w:val="4"/>
  </w:num>
  <w:num w:numId="23">
    <w:abstractNumId w:val="2"/>
  </w:num>
  <w:num w:numId="24">
    <w:abstractNumId w:val="7"/>
  </w:num>
  <w:num w:numId="25">
    <w:abstractNumId w:val="25"/>
  </w:num>
  <w:num w:numId="26">
    <w:abstractNumId w:val="1"/>
  </w:num>
  <w:num w:numId="27">
    <w:abstractNumId w:val="5"/>
  </w:num>
  <w:num w:numId="28">
    <w:abstractNumId w:val="10"/>
  </w:num>
  <w:num w:numId="29">
    <w:abstractNumId w:val="27"/>
  </w:num>
  <w:num w:numId="30">
    <w:abstractNumId w:val="28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D63BF"/>
    <w:rsid w:val="467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2026-03-25T05:16:00Z</dcterms:created>
  <dc:creator>付亮</dc:creator>
  <cp:lastModifiedBy>付亮</cp:lastModifiedBy>
  <dcterms:modified xsi:type="dcterms:W3CDTF">2026-03-25T05:16:49Z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F7FC719CB0EE4591BA0EAE8BF082CD61_11</vt:lpwstr>
  </property>
</Properties>
</file>