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7D59B">
      <w:pPr>
        <w:jc w:val="center"/>
      </w:pPr>
    </w:p>
    <w:p w14:paraId="41CA92AB">
      <w:pPr>
        <w:jc w:val="center"/>
      </w:pPr>
    </w:p>
    <w:p w14:paraId="13699186">
      <w:pPr>
        <w:jc w:val="center"/>
      </w:pPr>
    </w:p>
    <w:p w14:paraId="54008EA1">
      <w:pPr>
        <w:jc w:val="center"/>
      </w:pPr>
    </w:p>
    <w:p w14:paraId="346CA53C">
      <w:pPr>
        <w:jc w:val="center"/>
      </w:pPr>
    </w:p>
    <w:p w14:paraId="470BB41B">
      <w:pPr>
        <w:jc w:val="center"/>
      </w:pPr>
    </w:p>
    <w:p w14:paraId="27094A53">
      <w:pPr>
        <w:jc w:val="center"/>
      </w:pPr>
    </w:p>
    <w:p w14:paraId="2A7515D0">
      <w:pPr>
        <w:jc w:val="center"/>
        <w:rPr>
          <w:rFonts w:ascii="华文中宋" w:hAnsi="华文中宋" w:eastAsia="华文中宋"/>
          <w:b/>
          <w:sz w:val="52"/>
          <w:szCs w:val="72"/>
        </w:rPr>
      </w:pPr>
      <w:r>
        <w:rPr>
          <w:rFonts w:hint="eastAsia" w:ascii="华文中宋" w:hAnsi="华文中宋" w:eastAsia="华文中宋"/>
          <w:b/>
          <w:sz w:val="52"/>
          <w:szCs w:val="72"/>
        </w:rPr>
        <w:t>首都医科大学研究生培养手册</w:t>
      </w:r>
    </w:p>
    <w:p w14:paraId="68D2A739"/>
    <w:p w14:paraId="74662DAA"/>
    <w:p w14:paraId="0EF2CB8C"/>
    <w:p w14:paraId="137765D8">
      <w:pPr>
        <w:ind w:firstLine="600"/>
        <w:rPr>
          <w:sz w:val="32"/>
        </w:rPr>
      </w:pP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9"/>
        <w:gridCol w:w="4056"/>
      </w:tblGrid>
      <w:tr w14:paraId="61003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668ADAD8">
            <w:pPr>
              <w:snapToGrid w:val="0"/>
              <w:spacing w:line="380" w:lineRule="exact"/>
              <w:rPr>
                <w:rFonts w:ascii="楷体" w:hAnsi="楷体" w:eastAsia="楷体"/>
                <w:sz w:val="28"/>
                <w:szCs w:val="28"/>
              </w:rPr>
            </w:pPr>
            <w:r>
              <w:rPr>
                <w:rFonts w:hint="eastAsia" w:ascii="楷体" w:hAnsi="楷体" w:eastAsia="楷体"/>
                <w:sz w:val="28"/>
                <w:szCs w:val="28"/>
              </w:rPr>
              <w:t>姓    名</w:t>
            </w:r>
          </w:p>
        </w:tc>
        <w:tc>
          <w:tcPr>
            <w:tcW w:w="4056" w:type="dxa"/>
            <w:tcBorders>
              <w:bottom w:val="single" w:color="auto" w:sz="4" w:space="0"/>
            </w:tcBorders>
            <w:vAlign w:val="bottom"/>
          </w:tcPr>
          <w:p w14:paraId="77FA8654">
            <w:pPr>
              <w:snapToGrid w:val="0"/>
              <w:spacing w:line="380" w:lineRule="exact"/>
              <w:rPr>
                <w:rFonts w:hint="eastAsia" w:ascii="楷体" w:hAnsi="楷体" w:eastAsia="楷体"/>
                <w:sz w:val="28"/>
                <w:szCs w:val="28"/>
                <w:u w:val="single"/>
                <w:lang w:val="en-US" w:eastAsia="zh-CN"/>
              </w:rPr>
            </w:pPr>
            <w:r>
              <w:rPr>
                <w:rFonts w:hint="eastAsia" w:ascii="Times New Roman" w:hAnsi="Times New Roman" w:eastAsia="宋体" w:cs="Times New Roman"/>
                <w:sz w:val="24"/>
                <w:szCs w:val="24"/>
                <w:lang w:val="en-US" w:eastAsia="zh-CN"/>
              </w:rPr>
              <w:t>付亮</w:t>
            </w:r>
          </w:p>
        </w:tc>
      </w:tr>
      <w:tr w14:paraId="5CE58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60BE0B02">
            <w:pPr>
              <w:snapToGrid w:val="0"/>
              <w:spacing w:line="380" w:lineRule="exact"/>
              <w:rPr>
                <w:rFonts w:ascii="楷体" w:hAnsi="楷体" w:eastAsia="楷体"/>
                <w:sz w:val="28"/>
                <w:szCs w:val="28"/>
              </w:rPr>
            </w:pPr>
            <w:r>
              <w:rPr>
                <w:rFonts w:hint="eastAsia" w:ascii="楷体" w:hAnsi="楷体" w:eastAsia="楷体"/>
                <w:sz w:val="28"/>
                <w:szCs w:val="28"/>
              </w:rPr>
              <w:t>学    号</w:t>
            </w:r>
          </w:p>
        </w:tc>
        <w:tc>
          <w:tcPr>
            <w:tcW w:w="4056" w:type="dxa"/>
            <w:tcBorders>
              <w:top w:val="single" w:color="auto" w:sz="4" w:space="0"/>
              <w:bottom w:val="single" w:color="auto" w:sz="4" w:space="0"/>
            </w:tcBorders>
            <w:vAlign w:val="bottom"/>
          </w:tcPr>
          <w:p w14:paraId="75B932FA">
            <w:pPr>
              <w:snapToGrid w:val="0"/>
              <w:spacing w:line="380" w:lineRule="exact"/>
              <w:rPr>
                <w:rFonts w:ascii="楷体" w:hAnsi="楷体" w:eastAsia="楷体"/>
                <w:sz w:val="28"/>
                <w:szCs w:val="28"/>
                <w:u w:val="single"/>
              </w:rPr>
            </w:pPr>
            <w:r>
              <w:rPr>
                <w:rFonts w:hint="default" w:ascii="Times New Roman" w:hAnsi="Times New Roman" w:eastAsia="宋体" w:cs="Times New Roman"/>
                <w:sz w:val="24"/>
                <w:szCs w:val="24"/>
              </w:rPr>
              <w:t>132017100062</w:t>
            </w:r>
          </w:p>
        </w:tc>
      </w:tr>
      <w:tr w14:paraId="5DF65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6C5A2339">
            <w:pPr>
              <w:snapToGrid w:val="0"/>
              <w:spacing w:line="380" w:lineRule="exact"/>
              <w:rPr>
                <w:rFonts w:ascii="楷体" w:hAnsi="楷体" w:eastAsia="楷体"/>
                <w:sz w:val="28"/>
                <w:szCs w:val="28"/>
              </w:rPr>
            </w:pPr>
            <w:r>
              <w:rPr>
                <w:rFonts w:hint="eastAsia" w:ascii="楷体" w:hAnsi="楷体" w:eastAsia="楷体"/>
                <w:sz w:val="28"/>
                <w:szCs w:val="28"/>
              </w:rPr>
              <w:t>学科专业</w:t>
            </w:r>
          </w:p>
        </w:tc>
        <w:tc>
          <w:tcPr>
            <w:tcW w:w="4056" w:type="dxa"/>
            <w:tcBorders>
              <w:top w:val="single" w:color="auto" w:sz="4" w:space="0"/>
              <w:bottom w:val="single" w:color="auto" w:sz="4" w:space="0"/>
            </w:tcBorders>
            <w:vAlign w:val="bottom"/>
          </w:tcPr>
          <w:p w14:paraId="59063399">
            <w:pPr>
              <w:snapToGrid w:val="0"/>
              <w:spacing w:line="380" w:lineRule="exact"/>
              <w:rPr>
                <w:rFonts w:ascii="楷体" w:hAnsi="楷体" w:eastAsia="楷体"/>
                <w:sz w:val="28"/>
                <w:szCs w:val="28"/>
                <w:u w:val="single"/>
              </w:rPr>
            </w:pPr>
            <w:r>
              <w:rPr>
                <w:rFonts w:hint="default" w:ascii="Times New Roman" w:hAnsi="Times New Roman" w:eastAsia="仿宋" w:cs="Times New Roman"/>
                <w:lang w:eastAsia="zh-CN"/>
              </w:rPr>
              <w:t>内科学（传染病）</w:t>
            </w:r>
          </w:p>
        </w:tc>
      </w:tr>
      <w:tr w14:paraId="6A942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4DB550B3">
            <w:pPr>
              <w:snapToGrid w:val="0"/>
              <w:spacing w:line="380" w:lineRule="exact"/>
              <w:rPr>
                <w:rFonts w:ascii="楷体" w:hAnsi="楷体" w:eastAsia="楷体"/>
                <w:sz w:val="28"/>
                <w:szCs w:val="28"/>
              </w:rPr>
            </w:pPr>
            <w:r>
              <w:rPr>
                <w:rFonts w:hint="eastAsia" w:ascii="楷体" w:hAnsi="楷体" w:eastAsia="楷体"/>
                <w:sz w:val="28"/>
                <w:szCs w:val="28"/>
              </w:rPr>
              <w:t>导师姓名</w:t>
            </w:r>
          </w:p>
        </w:tc>
        <w:tc>
          <w:tcPr>
            <w:tcW w:w="4056" w:type="dxa"/>
            <w:tcBorders>
              <w:top w:val="single" w:color="auto" w:sz="4" w:space="0"/>
              <w:bottom w:val="single" w:color="auto" w:sz="4" w:space="0"/>
            </w:tcBorders>
            <w:vAlign w:val="bottom"/>
          </w:tcPr>
          <w:p w14:paraId="3FE5B66C">
            <w:pPr>
              <w:snapToGrid w:val="0"/>
              <w:spacing w:line="380" w:lineRule="exact"/>
              <w:rPr>
                <w:rFonts w:ascii="楷体" w:hAnsi="楷体" w:eastAsia="楷体"/>
                <w:sz w:val="28"/>
                <w:szCs w:val="28"/>
                <w:u w:val="single"/>
              </w:rPr>
            </w:pPr>
            <w:r>
              <w:rPr>
                <w:rFonts w:hint="eastAsia" w:ascii="仿宋" w:hAnsi="仿宋" w:eastAsia="仿宋" w:cs="仿宋"/>
                <w:lang w:eastAsia="zh-CN"/>
              </w:rPr>
              <w:t>唐神结</w:t>
            </w:r>
          </w:p>
        </w:tc>
      </w:tr>
      <w:tr w14:paraId="5A987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51A02A95">
            <w:pPr>
              <w:snapToGrid w:val="0"/>
              <w:spacing w:line="380" w:lineRule="exact"/>
              <w:rPr>
                <w:rFonts w:ascii="楷体" w:hAnsi="楷体" w:eastAsia="楷体"/>
                <w:sz w:val="28"/>
                <w:szCs w:val="28"/>
              </w:rPr>
            </w:pPr>
            <w:r>
              <w:rPr>
                <w:rFonts w:hint="eastAsia" w:ascii="楷体" w:hAnsi="楷体" w:eastAsia="楷体"/>
                <w:sz w:val="28"/>
                <w:szCs w:val="28"/>
              </w:rPr>
              <w:t>培养单位</w:t>
            </w:r>
          </w:p>
        </w:tc>
        <w:tc>
          <w:tcPr>
            <w:tcW w:w="4056" w:type="dxa"/>
            <w:tcBorders>
              <w:top w:val="single" w:color="auto" w:sz="4" w:space="0"/>
              <w:bottom w:val="single" w:color="auto" w:sz="4" w:space="0"/>
            </w:tcBorders>
            <w:vAlign w:val="bottom"/>
          </w:tcPr>
          <w:p w14:paraId="088E6A80">
            <w:pPr>
              <w:snapToGrid w:val="0"/>
              <w:spacing w:line="380" w:lineRule="exact"/>
              <w:rPr>
                <w:rFonts w:ascii="楷体" w:hAnsi="楷体" w:eastAsia="楷体"/>
                <w:sz w:val="28"/>
                <w:szCs w:val="28"/>
                <w:u w:val="single"/>
              </w:rPr>
            </w:pPr>
            <w:r>
              <w:rPr>
                <w:rFonts w:hint="default" w:ascii="Times New Roman" w:hAnsi="Times New Roman" w:eastAsia="仿宋" w:cs="Times New Roman"/>
                <w:lang w:eastAsia="zh-CN"/>
              </w:rPr>
              <w:t>首都医科大学附属北京胸科医院（第十临床医学院）</w:t>
            </w:r>
          </w:p>
        </w:tc>
      </w:tr>
      <w:tr w14:paraId="4EB49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50DAA96D">
            <w:pPr>
              <w:snapToGrid w:val="0"/>
              <w:spacing w:line="380" w:lineRule="exact"/>
              <w:rPr>
                <w:rFonts w:ascii="楷体" w:hAnsi="楷体" w:eastAsia="楷体"/>
                <w:sz w:val="28"/>
                <w:szCs w:val="28"/>
              </w:rPr>
            </w:pPr>
            <w:r>
              <w:rPr>
                <w:rFonts w:hint="eastAsia" w:ascii="楷体" w:hAnsi="楷体" w:eastAsia="楷体"/>
                <w:sz w:val="28"/>
                <w:szCs w:val="28"/>
              </w:rPr>
              <w:t>学位类型</w:t>
            </w:r>
          </w:p>
        </w:tc>
        <w:tc>
          <w:tcPr>
            <w:tcW w:w="4056" w:type="dxa"/>
            <w:tcBorders>
              <w:top w:val="single" w:color="auto" w:sz="4" w:space="0"/>
              <w:bottom w:val="single" w:color="auto" w:sz="4" w:space="0"/>
            </w:tcBorders>
            <w:vAlign w:val="bottom"/>
          </w:tcPr>
          <w:p w14:paraId="6FA2AC30">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lang w:eastAsia="zh-CN"/>
              </w:rPr>
              <w:t>☑</w:t>
            </w:r>
            <w:r>
              <w:rPr>
                <w:rFonts w:hint="eastAsia" w:ascii="楷体" w:hAnsi="楷体" w:eastAsia="楷体"/>
                <w:sz w:val="28"/>
                <w:szCs w:val="28"/>
              </w:rPr>
              <w:t xml:space="preserve">专业型     </w:t>
            </w:r>
            <w:r>
              <w:rPr>
                <w:rFonts w:ascii="楷体" w:hAnsi="楷体" w:eastAsia="楷体"/>
                <w:sz w:val="28"/>
                <w:szCs w:val="28"/>
              </w:rPr>
              <w:t xml:space="preserve"> </w:t>
            </w:r>
            <w:r>
              <w:rPr>
                <w:rFonts w:hint="eastAsia" w:ascii="楷体" w:hAnsi="楷体" w:eastAsia="楷体"/>
                <w:sz w:val="28"/>
                <w:szCs w:val="28"/>
              </w:rPr>
              <w:t>□学术型</w:t>
            </w:r>
          </w:p>
        </w:tc>
      </w:tr>
      <w:tr w14:paraId="32383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4C7AA1A3">
            <w:pPr>
              <w:snapToGrid w:val="0"/>
              <w:spacing w:line="380" w:lineRule="exact"/>
              <w:rPr>
                <w:rFonts w:ascii="楷体" w:hAnsi="楷体" w:eastAsia="楷体"/>
                <w:sz w:val="28"/>
                <w:szCs w:val="28"/>
              </w:rPr>
            </w:pPr>
            <w:r>
              <w:rPr>
                <w:rFonts w:hint="eastAsia" w:ascii="楷体" w:hAnsi="楷体" w:eastAsia="楷体"/>
                <w:sz w:val="28"/>
                <w:szCs w:val="28"/>
              </w:rPr>
              <w:t>培养类型</w:t>
            </w:r>
          </w:p>
        </w:tc>
        <w:tc>
          <w:tcPr>
            <w:tcW w:w="4056" w:type="dxa"/>
            <w:tcBorders>
              <w:top w:val="single" w:color="auto" w:sz="4" w:space="0"/>
              <w:bottom w:val="single" w:color="auto" w:sz="4" w:space="0"/>
            </w:tcBorders>
            <w:vAlign w:val="bottom"/>
          </w:tcPr>
          <w:p w14:paraId="1797B645">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rPr>
              <w:t xml:space="preserve">□统招硕士  </w:t>
            </w:r>
            <w:r>
              <w:rPr>
                <w:rFonts w:ascii="楷体" w:hAnsi="楷体" w:eastAsia="楷体"/>
                <w:sz w:val="28"/>
                <w:szCs w:val="28"/>
              </w:rPr>
              <w:t xml:space="preserve"> </w:t>
            </w:r>
            <w:r>
              <w:rPr>
                <w:rFonts w:hint="eastAsia" w:ascii="楷体" w:hAnsi="楷体" w:eastAsia="楷体"/>
                <w:sz w:val="28"/>
                <w:szCs w:val="28"/>
              </w:rPr>
              <w:t xml:space="preserve"> □统招博士</w:t>
            </w:r>
          </w:p>
        </w:tc>
      </w:tr>
      <w:tr w14:paraId="2A049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554C7131">
            <w:pPr>
              <w:snapToGrid w:val="0"/>
              <w:spacing w:line="380" w:lineRule="exact"/>
              <w:rPr>
                <w:rFonts w:ascii="楷体" w:hAnsi="楷体" w:eastAsia="楷体"/>
                <w:sz w:val="28"/>
                <w:szCs w:val="28"/>
              </w:rPr>
            </w:pPr>
          </w:p>
        </w:tc>
        <w:tc>
          <w:tcPr>
            <w:tcW w:w="4056" w:type="dxa"/>
            <w:tcBorders>
              <w:top w:val="single" w:color="auto" w:sz="4" w:space="0"/>
              <w:bottom w:val="single" w:color="auto" w:sz="4" w:space="0"/>
            </w:tcBorders>
            <w:vAlign w:val="bottom"/>
          </w:tcPr>
          <w:p w14:paraId="709F4AC7">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rPr>
              <w:t>□硕博连读博士生</w:t>
            </w:r>
          </w:p>
        </w:tc>
      </w:tr>
      <w:tr w14:paraId="28982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52DFD451">
            <w:pPr>
              <w:snapToGrid w:val="0"/>
              <w:spacing w:line="380" w:lineRule="exact"/>
              <w:rPr>
                <w:rFonts w:ascii="楷体" w:hAnsi="楷体" w:eastAsia="楷体"/>
                <w:sz w:val="28"/>
                <w:szCs w:val="28"/>
              </w:rPr>
            </w:pPr>
          </w:p>
        </w:tc>
        <w:tc>
          <w:tcPr>
            <w:tcW w:w="4056" w:type="dxa"/>
            <w:tcBorders>
              <w:top w:val="single" w:color="auto" w:sz="4" w:space="0"/>
              <w:bottom w:val="single" w:color="auto" w:sz="4" w:space="0"/>
            </w:tcBorders>
            <w:vAlign w:val="bottom"/>
          </w:tcPr>
          <w:p w14:paraId="6FE112B8">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rPr>
              <w:t>□本科直博研究生</w:t>
            </w:r>
          </w:p>
        </w:tc>
      </w:tr>
      <w:tr w14:paraId="2C9AF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5CD2B85D">
            <w:pPr>
              <w:snapToGrid w:val="0"/>
              <w:spacing w:line="380" w:lineRule="exact"/>
              <w:rPr>
                <w:rFonts w:ascii="楷体" w:hAnsi="楷体" w:eastAsia="楷体"/>
                <w:sz w:val="28"/>
                <w:szCs w:val="28"/>
              </w:rPr>
            </w:pPr>
          </w:p>
        </w:tc>
        <w:tc>
          <w:tcPr>
            <w:tcW w:w="4056" w:type="dxa"/>
            <w:tcBorders>
              <w:top w:val="single" w:color="auto" w:sz="4" w:space="0"/>
              <w:bottom w:val="single" w:color="auto" w:sz="4" w:space="0"/>
            </w:tcBorders>
            <w:vAlign w:val="bottom"/>
          </w:tcPr>
          <w:p w14:paraId="1AF7B9AE">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rPr>
              <w:t>□同等学力硕士</w:t>
            </w:r>
          </w:p>
        </w:tc>
      </w:tr>
      <w:tr w14:paraId="4E78C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5" w:hRule="atLeast"/>
          <w:jc w:val="center"/>
        </w:trPr>
        <w:tc>
          <w:tcPr>
            <w:tcW w:w="1559" w:type="dxa"/>
            <w:vAlign w:val="bottom"/>
          </w:tcPr>
          <w:p w14:paraId="1A34AFC6">
            <w:pPr>
              <w:snapToGrid w:val="0"/>
              <w:spacing w:line="380" w:lineRule="exact"/>
              <w:rPr>
                <w:rFonts w:ascii="楷体" w:hAnsi="楷体" w:eastAsia="楷体"/>
                <w:sz w:val="28"/>
                <w:szCs w:val="28"/>
              </w:rPr>
            </w:pPr>
          </w:p>
        </w:tc>
        <w:tc>
          <w:tcPr>
            <w:tcW w:w="4056" w:type="dxa"/>
            <w:tcBorders>
              <w:top w:val="single" w:color="auto" w:sz="4" w:space="0"/>
              <w:bottom w:val="single" w:color="auto" w:sz="4" w:space="0"/>
            </w:tcBorders>
            <w:vAlign w:val="bottom"/>
          </w:tcPr>
          <w:p w14:paraId="7247FB18">
            <w:pPr>
              <w:snapToGrid w:val="0"/>
              <w:spacing w:line="380" w:lineRule="exact"/>
              <w:ind w:firstLine="140" w:firstLineChars="50"/>
              <w:rPr>
                <w:rFonts w:ascii="楷体" w:hAnsi="楷体" w:eastAsia="楷体"/>
                <w:sz w:val="28"/>
                <w:szCs w:val="28"/>
              </w:rPr>
            </w:pPr>
            <w:r>
              <w:rPr>
                <w:rFonts w:hint="eastAsia" w:ascii="楷体" w:hAnsi="楷体" w:eastAsia="楷体"/>
                <w:sz w:val="28"/>
                <w:szCs w:val="28"/>
                <w:lang w:eastAsia="zh-CN"/>
              </w:rPr>
              <w:t>☑</w:t>
            </w:r>
            <w:r>
              <w:rPr>
                <w:rFonts w:hint="eastAsia" w:ascii="楷体" w:hAnsi="楷体" w:eastAsia="楷体"/>
                <w:sz w:val="28"/>
                <w:szCs w:val="28"/>
              </w:rPr>
              <w:t>同等学力博士</w:t>
            </w:r>
          </w:p>
        </w:tc>
      </w:tr>
    </w:tbl>
    <w:p w14:paraId="00D2E83B">
      <w:pPr>
        <w:jc w:val="center"/>
        <w:rPr>
          <w:sz w:val="24"/>
        </w:rPr>
      </w:pPr>
    </w:p>
    <w:p w14:paraId="19EED5B4">
      <w:pPr>
        <w:jc w:val="center"/>
        <w:rPr>
          <w:b/>
          <w:sz w:val="28"/>
        </w:rPr>
      </w:pPr>
      <w:r>
        <w:rPr>
          <w:rFonts w:hint="eastAsia"/>
          <w:b/>
          <w:sz w:val="28"/>
        </w:rPr>
        <w:t>首都医科大学研究生院制</w:t>
      </w:r>
    </w:p>
    <w:p w14:paraId="7A891BBA">
      <w:pPr>
        <w:jc w:val="center"/>
        <w:rPr>
          <w:b/>
          <w:sz w:val="28"/>
        </w:rPr>
      </w:pPr>
      <w:r>
        <w:rPr>
          <w:rFonts w:hint="eastAsia"/>
          <w:b/>
          <w:sz w:val="28"/>
          <w:lang w:val="en-US" w:eastAsia="zh-CN"/>
        </w:rPr>
        <w:t>2025</w:t>
      </w:r>
      <w:r>
        <w:rPr>
          <w:rFonts w:hint="eastAsia"/>
          <w:b/>
          <w:sz w:val="28"/>
        </w:rPr>
        <w:t xml:space="preserve">年 </w:t>
      </w:r>
      <w:r>
        <w:rPr>
          <w:rFonts w:hint="eastAsia"/>
          <w:b/>
          <w:sz w:val="28"/>
          <w:lang w:val="en-US" w:eastAsia="zh-CN"/>
        </w:rPr>
        <w:t>02</w:t>
      </w:r>
      <w:r>
        <w:rPr>
          <w:rFonts w:hint="eastAsia"/>
          <w:b/>
          <w:sz w:val="28"/>
        </w:rPr>
        <w:t xml:space="preserve">月 </w:t>
      </w:r>
      <w:r>
        <w:rPr>
          <w:rFonts w:hint="eastAsia"/>
          <w:b/>
          <w:sz w:val="28"/>
          <w:lang w:val="en-US" w:eastAsia="zh-CN"/>
        </w:rPr>
        <w:t>10</w:t>
      </w:r>
      <w:r>
        <w:rPr>
          <w:rFonts w:hint="eastAsia"/>
          <w:b/>
          <w:sz w:val="28"/>
        </w:rPr>
        <w:t>日</w:t>
      </w:r>
    </w:p>
    <w:p w14:paraId="78F99764">
      <w:pPr>
        <w:widowControl/>
        <w:jc w:val="left"/>
        <w:rPr>
          <w:b/>
          <w:sz w:val="32"/>
        </w:rPr>
      </w:pPr>
      <w:r>
        <w:rPr>
          <w:b/>
          <w:sz w:val="32"/>
        </w:rPr>
        <w:br w:type="page"/>
      </w:r>
    </w:p>
    <w:p w14:paraId="1A31DC07">
      <w:pPr>
        <w:widowControl/>
        <w:jc w:val="center"/>
        <w:rPr>
          <w:rFonts w:ascii="仿宋" w:hAnsi="仿宋" w:eastAsia="仿宋"/>
          <w:b/>
          <w:sz w:val="32"/>
        </w:rPr>
      </w:pPr>
      <w:r>
        <w:rPr>
          <w:rFonts w:hint="eastAsia" w:ascii="仿宋" w:hAnsi="仿宋" w:eastAsia="仿宋"/>
          <w:b/>
          <w:sz w:val="32"/>
        </w:rPr>
        <w:t>填表说明</w:t>
      </w:r>
    </w:p>
    <w:p w14:paraId="05D2C666">
      <w:pPr>
        <w:ind w:left="-630"/>
        <w:jc w:val="center"/>
        <w:rPr>
          <w:rFonts w:ascii="仿宋" w:hAnsi="仿宋" w:eastAsia="仿宋"/>
          <w:b/>
          <w:sz w:val="32"/>
        </w:rPr>
      </w:pPr>
    </w:p>
    <w:p w14:paraId="0211DFF8">
      <w:pPr>
        <w:spacing w:line="360" w:lineRule="auto"/>
        <w:ind w:firstLine="484" w:firstLineChars="202"/>
        <w:rPr>
          <w:rFonts w:ascii="仿宋" w:hAnsi="仿宋" w:eastAsia="仿宋"/>
          <w:sz w:val="24"/>
        </w:rPr>
      </w:pPr>
      <w:r>
        <w:rPr>
          <w:rFonts w:hint="eastAsia" w:ascii="仿宋" w:hAnsi="仿宋" w:eastAsia="仿宋"/>
          <w:sz w:val="24"/>
        </w:rPr>
        <w:t>1.本表格填写完成后用A4纸打印。</w:t>
      </w:r>
    </w:p>
    <w:p w14:paraId="02C9E751">
      <w:pPr>
        <w:spacing w:line="360" w:lineRule="auto"/>
        <w:ind w:firstLine="484" w:firstLineChars="202"/>
        <w:rPr>
          <w:rFonts w:ascii="仿宋" w:hAnsi="仿宋" w:eastAsia="仿宋"/>
          <w:sz w:val="24"/>
        </w:rPr>
      </w:pPr>
      <w:r>
        <w:rPr>
          <w:rFonts w:hint="eastAsia" w:ascii="仿宋" w:hAnsi="仿宋" w:eastAsia="仿宋"/>
          <w:sz w:val="24"/>
        </w:rPr>
        <w:t>2.格式要求：正文用宋体小四号，1.5倍行间距，各栏空格不够时，可另加附页。</w:t>
      </w:r>
    </w:p>
    <w:p w14:paraId="16BBC714">
      <w:pPr>
        <w:spacing w:line="360" w:lineRule="auto"/>
        <w:ind w:firstLine="484" w:firstLineChars="202"/>
        <w:rPr>
          <w:rFonts w:ascii="仿宋" w:hAnsi="仿宋" w:eastAsia="仿宋"/>
          <w:sz w:val="24"/>
        </w:rPr>
      </w:pPr>
      <w:r>
        <w:rPr>
          <w:rFonts w:hint="eastAsia" w:ascii="仿宋" w:hAnsi="仿宋" w:eastAsia="仿宋"/>
          <w:sz w:val="24"/>
        </w:rPr>
        <w:t>3.本手册由研究生本人保管。研究生根据不同学习阶段的要求，完成相应的培养环节后，填写相应的内容，并及时请本学院主管研究生的老师或导师签字。</w:t>
      </w:r>
    </w:p>
    <w:p w14:paraId="3CD0FAAA">
      <w:pPr>
        <w:spacing w:line="360" w:lineRule="auto"/>
        <w:ind w:firstLine="565" w:firstLineChars="202"/>
        <w:rPr>
          <w:rFonts w:ascii="仿宋" w:hAnsi="仿宋" w:eastAsia="仿宋"/>
          <w:sz w:val="28"/>
        </w:rPr>
      </w:pPr>
    </w:p>
    <w:p w14:paraId="382D2B03">
      <w:pPr>
        <w:spacing w:line="360" w:lineRule="auto"/>
        <w:ind w:left="420"/>
        <w:rPr>
          <w:sz w:val="28"/>
        </w:rPr>
      </w:pPr>
    </w:p>
    <w:p w14:paraId="37D7DEE4">
      <w:pPr>
        <w:jc w:val="center"/>
        <w:rPr>
          <w:sz w:val="32"/>
        </w:rPr>
      </w:pPr>
    </w:p>
    <w:p w14:paraId="6F8EB1A2">
      <w:pPr>
        <w:jc w:val="center"/>
        <w:rPr>
          <w:sz w:val="32"/>
        </w:rPr>
      </w:pPr>
    </w:p>
    <w:p w14:paraId="504187C4">
      <w:pPr>
        <w:jc w:val="center"/>
        <w:rPr>
          <w:sz w:val="32"/>
        </w:rPr>
      </w:pPr>
    </w:p>
    <w:p w14:paraId="7D02440A">
      <w:pPr>
        <w:jc w:val="center"/>
        <w:rPr>
          <w:sz w:val="32"/>
        </w:rPr>
      </w:pPr>
    </w:p>
    <w:p w14:paraId="5AF92BAB">
      <w:pPr>
        <w:jc w:val="center"/>
        <w:rPr>
          <w:sz w:val="32"/>
        </w:rPr>
      </w:pPr>
    </w:p>
    <w:p w14:paraId="240D18AA">
      <w:pPr>
        <w:jc w:val="center"/>
        <w:rPr>
          <w:sz w:val="32"/>
        </w:rPr>
      </w:pPr>
    </w:p>
    <w:p w14:paraId="2577E78F">
      <w:pPr>
        <w:widowControl/>
        <w:jc w:val="left"/>
        <w:rPr>
          <w:b/>
          <w:sz w:val="36"/>
        </w:rPr>
      </w:pPr>
      <w:r>
        <w:rPr>
          <w:b/>
          <w:sz w:val="36"/>
        </w:rPr>
        <w:br w:type="page"/>
      </w:r>
    </w:p>
    <w:p w14:paraId="03FB1C77">
      <w:pPr>
        <w:jc w:val="center"/>
        <w:rPr>
          <w:b/>
          <w:sz w:val="36"/>
          <w:szCs w:val="32"/>
        </w:rPr>
      </w:pPr>
      <w:r>
        <w:rPr>
          <w:rFonts w:hint="eastAsia"/>
          <w:b/>
          <w:sz w:val="36"/>
          <w:szCs w:val="32"/>
        </w:rPr>
        <w:t xml:space="preserve">目 </w:t>
      </w:r>
      <w:r>
        <w:rPr>
          <w:b/>
          <w:sz w:val="36"/>
          <w:szCs w:val="32"/>
        </w:rPr>
        <w:t xml:space="preserve"> </w:t>
      </w:r>
      <w:r>
        <w:rPr>
          <w:rFonts w:hint="eastAsia"/>
          <w:b/>
          <w:sz w:val="36"/>
          <w:szCs w:val="32"/>
        </w:rPr>
        <w:t>录</w:t>
      </w:r>
    </w:p>
    <w:p w14:paraId="537FA798">
      <w:pPr>
        <w:tabs>
          <w:tab w:val="left" w:pos="860"/>
          <w:tab w:val="left" w:pos="4714"/>
          <w:tab w:val="left" w:pos="8850"/>
        </w:tabs>
        <w:spacing w:line="360" w:lineRule="auto"/>
        <w:jc w:val="left"/>
        <w:rPr>
          <w:sz w:val="28"/>
        </w:rPr>
      </w:pPr>
    </w:p>
    <w:p w14:paraId="634D4C0E">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研究生培养计划书…………………………………………第  </w:t>
      </w:r>
      <w:r>
        <w:rPr>
          <w:rFonts w:hint="eastAsia" w:ascii="仿宋" w:hAnsi="仿宋" w:eastAsia="仿宋"/>
          <w:sz w:val="24"/>
          <w:lang w:val="en-US" w:eastAsia="zh-CN"/>
        </w:rPr>
        <w:t>01</w:t>
      </w:r>
      <w:r>
        <w:rPr>
          <w:rFonts w:hint="eastAsia" w:ascii="仿宋" w:hAnsi="仿宋" w:eastAsia="仿宋"/>
          <w:sz w:val="24"/>
        </w:rPr>
        <w:t xml:space="preserve">  页</w:t>
      </w:r>
    </w:p>
    <w:p w14:paraId="276BAD1F">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学位论文开题报告…………………………………………第  </w:t>
      </w:r>
      <w:r>
        <w:rPr>
          <w:rFonts w:hint="eastAsia" w:ascii="仿宋" w:hAnsi="仿宋" w:eastAsia="仿宋"/>
          <w:sz w:val="24"/>
          <w:lang w:val="en-US" w:eastAsia="zh-CN"/>
        </w:rPr>
        <w:t>02</w:t>
      </w:r>
      <w:r>
        <w:rPr>
          <w:rFonts w:hint="eastAsia" w:ascii="仿宋" w:hAnsi="仿宋" w:eastAsia="仿宋"/>
          <w:sz w:val="24"/>
        </w:rPr>
        <w:t xml:space="preserve">  页</w:t>
      </w:r>
    </w:p>
    <w:p w14:paraId="68DD57A6">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学位论文开题报告考核记录………………………………第  </w:t>
      </w:r>
      <w:r>
        <w:rPr>
          <w:rFonts w:hint="eastAsia" w:ascii="仿宋" w:hAnsi="仿宋" w:eastAsia="仿宋"/>
          <w:sz w:val="24"/>
          <w:lang w:val="en-US" w:eastAsia="zh-CN"/>
        </w:rPr>
        <w:t>17</w:t>
      </w:r>
      <w:r>
        <w:rPr>
          <w:rFonts w:hint="eastAsia" w:ascii="仿宋" w:hAnsi="仿宋" w:eastAsia="仿宋"/>
          <w:sz w:val="24"/>
        </w:rPr>
        <w:t xml:space="preserve">  页</w:t>
      </w:r>
    </w:p>
    <w:p w14:paraId="0E786FE5">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学位论文开题报告考核评分表……………………………第  </w:t>
      </w:r>
      <w:r>
        <w:rPr>
          <w:rFonts w:hint="eastAsia" w:ascii="仿宋" w:hAnsi="仿宋" w:eastAsia="仿宋"/>
          <w:sz w:val="24"/>
          <w:lang w:val="en-US" w:eastAsia="zh-CN"/>
        </w:rPr>
        <w:t>18</w:t>
      </w:r>
      <w:r>
        <w:rPr>
          <w:rFonts w:hint="eastAsia" w:ascii="仿宋" w:hAnsi="仿宋" w:eastAsia="仿宋"/>
          <w:sz w:val="24"/>
        </w:rPr>
        <w:t xml:space="preserve">  页</w:t>
      </w:r>
    </w:p>
    <w:p w14:paraId="3D696FF2">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学位论文开题报告考核评分汇总表………………………第  </w:t>
      </w:r>
      <w:r>
        <w:rPr>
          <w:rFonts w:hint="eastAsia" w:ascii="仿宋" w:hAnsi="仿宋" w:eastAsia="仿宋"/>
          <w:sz w:val="24"/>
          <w:lang w:val="en-US" w:eastAsia="zh-CN"/>
        </w:rPr>
        <w:t>19</w:t>
      </w:r>
      <w:r>
        <w:rPr>
          <w:rFonts w:hint="eastAsia" w:ascii="仿宋" w:hAnsi="仿宋" w:eastAsia="仿宋"/>
          <w:sz w:val="24"/>
        </w:rPr>
        <w:t xml:space="preserve">  页</w:t>
      </w:r>
    </w:p>
    <w:p w14:paraId="10F862E5">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研究生思想品德考核表……………………………………第  </w:t>
      </w:r>
      <w:r>
        <w:rPr>
          <w:rFonts w:hint="eastAsia" w:ascii="仿宋" w:hAnsi="仿宋" w:eastAsia="仿宋"/>
          <w:sz w:val="24"/>
          <w:lang w:val="en-US" w:eastAsia="zh-CN"/>
        </w:rPr>
        <w:t>20</w:t>
      </w:r>
      <w:r>
        <w:rPr>
          <w:rFonts w:hint="eastAsia" w:ascii="仿宋" w:hAnsi="仿宋" w:eastAsia="仿宋"/>
          <w:sz w:val="24"/>
        </w:rPr>
        <w:t xml:space="preserve">  页</w:t>
      </w:r>
    </w:p>
    <w:p w14:paraId="30F29E60">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学位论文中期进展报告……………………………………第  </w:t>
      </w:r>
      <w:r>
        <w:rPr>
          <w:rFonts w:hint="eastAsia" w:ascii="仿宋" w:hAnsi="仿宋" w:eastAsia="仿宋"/>
          <w:sz w:val="24"/>
          <w:lang w:val="en-US" w:eastAsia="zh-CN"/>
        </w:rPr>
        <w:t>21</w:t>
      </w:r>
      <w:r>
        <w:rPr>
          <w:rFonts w:hint="eastAsia" w:ascii="仿宋" w:hAnsi="仿宋" w:eastAsia="仿宋"/>
          <w:sz w:val="24"/>
        </w:rPr>
        <w:t xml:space="preserve">  页</w:t>
      </w:r>
    </w:p>
    <w:p w14:paraId="08385910">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学位论文中期考核记录……………………………………第  </w:t>
      </w:r>
      <w:r>
        <w:rPr>
          <w:rFonts w:hint="eastAsia" w:ascii="仿宋" w:hAnsi="仿宋" w:eastAsia="仿宋"/>
          <w:sz w:val="24"/>
          <w:lang w:val="en-US" w:eastAsia="zh-CN"/>
        </w:rPr>
        <w:t>35</w:t>
      </w:r>
      <w:r>
        <w:rPr>
          <w:rFonts w:hint="eastAsia" w:ascii="仿宋" w:hAnsi="仿宋" w:eastAsia="仿宋"/>
          <w:sz w:val="24"/>
        </w:rPr>
        <w:t xml:space="preserve">  页</w:t>
      </w:r>
    </w:p>
    <w:p w14:paraId="23F6A5B6">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学位论文中期考核评分表…………………………………第  </w:t>
      </w:r>
      <w:r>
        <w:rPr>
          <w:rFonts w:hint="eastAsia" w:ascii="仿宋" w:hAnsi="仿宋" w:eastAsia="仿宋"/>
          <w:sz w:val="24"/>
          <w:lang w:val="en-US" w:eastAsia="zh-CN"/>
        </w:rPr>
        <w:t>38</w:t>
      </w:r>
      <w:r>
        <w:rPr>
          <w:rFonts w:hint="eastAsia" w:ascii="仿宋" w:hAnsi="仿宋" w:eastAsia="仿宋"/>
          <w:sz w:val="24"/>
        </w:rPr>
        <w:t xml:space="preserve">  页</w:t>
      </w:r>
    </w:p>
    <w:p w14:paraId="36EA6000">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学位论文结题报告…………………………………………第  </w:t>
      </w:r>
      <w:r>
        <w:rPr>
          <w:rFonts w:hint="eastAsia" w:ascii="仿宋" w:hAnsi="仿宋" w:eastAsia="仿宋"/>
          <w:sz w:val="24"/>
          <w:lang w:val="en-US" w:eastAsia="zh-CN"/>
        </w:rPr>
        <w:t>39</w:t>
      </w:r>
      <w:r>
        <w:rPr>
          <w:rFonts w:hint="eastAsia" w:ascii="仿宋" w:hAnsi="仿宋" w:eastAsia="仿宋"/>
          <w:sz w:val="24"/>
        </w:rPr>
        <w:t xml:space="preserve">  页</w:t>
      </w:r>
    </w:p>
    <w:p w14:paraId="5871B9FD">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学位论文结题报告记录……………………………………第  </w:t>
      </w:r>
      <w:r>
        <w:rPr>
          <w:rFonts w:hint="eastAsia" w:ascii="仿宋" w:hAnsi="仿宋" w:eastAsia="仿宋"/>
          <w:sz w:val="24"/>
          <w:lang w:val="en-US" w:eastAsia="zh-CN"/>
        </w:rPr>
        <w:t>45</w:t>
      </w:r>
      <w:r>
        <w:rPr>
          <w:rFonts w:hint="eastAsia" w:ascii="仿宋" w:hAnsi="仿宋" w:eastAsia="仿宋"/>
          <w:sz w:val="24"/>
        </w:rPr>
        <w:t xml:space="preserve">  页</w:t>
      </w:r>
    </w:p>
    <w:p w14:paraId="1DF8FE85">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研究生参加学术活动学分登记表…………………………第  </w:t>
      </w:r>
      <w:r>
        <w:rPr>
          <w:rFonts w:hint="eastAsia" w:ascii="仿宋" w:hAnsi="仿宋" w:eastAsia="仿宋"/>
          <w:sz w:val="24"/>
          <w:lang w:val="en-US" w:eastAsia="zh-CN"/>
        </w:rPr>
        <w:t>47</w:t>
      </w:r>
      <w:r>
        <w:rPr>
          <w:rFonts w:hint="eastAsia" w:ascii="仿宋" w:hAnsi="仿宋" w:eastAsia="仿宋"/>
          <w:sz w:val="24"/>
        </w:rPr>
        <w:t xml:space="preserve">  页</w:t>
      </w:r>
    </w:p>
    <w:p w14:paraId="74490576">
      <w:pPr>
        <w:pStyle w:val="14"/>
        <w:numPr>
          <w:ilvl w:val="0"/>
          <w:numId w:val="1"/>
        </w:numPr>
        <w:tabs>
          <w:tab w:val="left" w:pos="860"/>
          <w:tab w:val="left" w:pos="4714"/>
          <w:tab w:val="left" w:pos="8850"/>
        </w:tabs>
        <w:spacing w:line="360" w:lineRule="auto"/>
        <w:ind w:firstLineChars="0"/>
        <w:jc w:val="center"/>
        <w:rPr>
          <w:rFonts w:ascii="仿宋" w:hAnsi="仿宋" w:eastAsia="仿宋"/>
          <w:sz w:val="24"/>
        </w:rPr>
      </w:pPr>
      <w:r>
        <w:rPr>
          <w:rFonts w:hint="eastAsia" w:ascii="仿宋" w:hAnsi="仿宋" w:eastAsia="仿宋"/>
          <w:sz w:val="24"/>
        </w:rPr>
        <w:t xml:space="preserve">研究生答辩资格审核表……………………………………第  </w:t>
      </w:r>
      <w:r>
        <w:rPr>
          <w:rFonts w:hint="eastAsia" w:ascii="仿宋" w:hAnsi="仿宋" w:eastAsia="仿宋"/>
          <w:sz w:val="24"/>
          <w:lang w:val="en-US" w:eastAsia="zh-CN"/>
        </w:rPr>
        <w:t>48</w:t>
      </w:r>
      <w:r>
        <w:rPr>
          <w:rFonts w:hint="eastAsia" w:ascii="仿宋" w:hAnsi="仿宋" w:eastAsia="仿宋"/>
          <w:sz w:val="24"/>
        </w:rPr>
        <w:t xml:space="preserve">  页</w:t>
      </w:r>
    </w:p>
    <w:p w14:paraId="30637535">
      <w:pPr>
        <w:widowControl/>
        <w:jc w:val="center"/>
        <w:rPr>
          <w:rFonts w:ascii="仿宋" w:hAnsi="仿宋" w:eastAsia="仿宋"/>
          <w:sz w:val="44"/>
          <w:szCs w:val="44"/>
        </w:rPr>
      </w:pPr>
    </w:p>
    <w:p w14:paraId="7B5D15AB">
      <w:pPr>
        <w:widowControl/>
        <w:jc w:val="center"/>
        <w:rPr>
          <w:rFonts w:ascii="华文中宋" w:hAnsi="华文中宋" w:eastAsia="华文中宋"/>
          <w:sz w:val="44"/>
          <w:szCs w:val="44"/>
        </w:rPr>
        <w:sectPr>
          <w:footerReference r:id="rId5" w:type="first"/>
          <w:footerReference r:id="rId3" w:type="default"/>
          <w:footerReference r:id="rId4" w:type="even"/>
          <w:pgSz w:w="11906" w:h="16838"/>
          <w:pgMar w:top="1440" w:right="1800" w:bottom="1440" w:left="1800" w:header="851" w:footer="992" w:gutter="0"/>
          <w:cols w:space="425" w:num="1"/>
          <w:docGrid w:type="lines" w:linePitch="312" w:charSpace="0"/>
        </w:sectPr>
      </w:pPr>
    </w:p>
    <w:p w14:paraId="3B132A9A">
      <w:pPr>
        <w:widowControl/>
        <w:jc w:val="center"/>
        <w:rPr>
          <w:rFonts w:ascii="华文中宋" w:hAnsi="华文中宋" w:eastAsia="华文中宋"/>
          <w:sz w:val="36"/>
          <w:szCs w:val="44"/>
        </w:rPr>
      </w:pPr>
      <w:r>
        <w:rPr>
          <w:rFonts w:hint="eastAsia" w:ascii="华文中宋" w:hAnsi="华文中宋" w:eastAsia="华文中宋"/>
          <w:sz w:val="36"/>
          <w:szCs w:val="44"/>
        </w:rPr>
        <w:t>首都医科大学研究生培养计划书</w:t>
      </w:r>
    </w:p>
    <w:tbl>
      <w:tblPr>
        <w:tblStyle w:val="7"/>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555"/>
        <w:gridCol w:w="1265"/>
        <w:gridCol w:w="3983"/>
      </w:tblGrid>
      <w:tr w14:paraId="71297A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12" w:space="0"/>
              <w:left w:val="single" w:color="auto" w:sz="12" w:space="0"/>
              <w:bottom w:val="single" w:color="auto" w:sz="4" w:space="0"/>
            </w:tcBorders>
            <w:vAlign w:val="center"/>
          </w:tcPr>
          <w:p w14:paraId="6956327B">
            <w:pPr>
              <w:pStyle w:val="16"/>
              <w:framePr w:wrap="auto" w:vAnchor="margin" w:hAnchor="text" w:yAlign="inline"/>
              <w:jc w:val="center"/>
              <w:rPr>
                <w:rFonts w:ascii="仿宋" w:hAnsi="仿宋" w:eastAsia="仿宋"/>
                <w:color w:val="000000"/>
                <w:sz w:val="24"/>
                <w:szCs w:val="24"/>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555" w:type="dxa"/>
            <w:tcBorders>
              <w:top w:val="single" w:color="auto" w:sz="12" w:space="0"/>
              <w:bottom w:val="single" w:color="auto" w:sz="4" w:space="0"/>
            </w:tcBorders>
            <w:vAlign w:val="center"/>
          </w:tcPr>
          <w:p w14:paraId="2ADB7F0A">
            <w:pPr>
              <w:rPr>
                <w:rFonts w:ascii="仿宋" w:hAnsi="仿宋" w:eastAsia="仿宋"/>
                <w:color w:val="000000"/>
                <w:sz w:val="24"/>
                <w:szCs w:val="24"/>
              </w:rPr>
            </w:pPr>
            <w:r>
              <w:rPr>
                <w:rFonts w:hint="eastAsia" w:ascii="仿宋" w:hAnsi="仿宋" w:eastAsia="仿宋" w:cs="仿宋"/>
                <w:lang w:eastAsia="zh-CN"/>
              </w:rPr>
              <w:t>付亮</w:t>
            </w:r>
          </w:p>
        </w:tc>
        <w:tc>
          <w:tcPr>
            <w:tcW w:w="1265" w:type="dxa"/>
            <w:tcBorders>
              <w:top w:val="single" w:color="auto" w:sz="12" w:space="0"/>
              <w:bottom w:val="single" w:color="auto" w:sz="4" w:space="0"/>
            </w:tcBorders>
            <w:vAlign w:val="center"/>
          </w:tcPr>
          <w:p w14:paraId="41A55AC1">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学号</w:t>
            </w:r>
          </w:p>
        </w:tc>
        <w:tc>
          <w:tcPr>
            <w:tcW w:w="3983" w:type="dxa"/>
            <w:tcBorders>
              <w:top w:val="single" w:color="auto" w:sz="12" w:space="0"/>
              <w:bottom w:val="single" w:color="auto" w:sz="4" w:space="0"/>
              <w:right w:val="single" w:color="auto" w:sz="12" w:space="0"/>
            </w:tcBorders>
            <w:vAlign w:val="center"/>
          </w:tcPr>
          <w:p w14:paraId="7F9779D2">
            <w:pPr>
              <w:rPr>
                <w:rFonts w:ascii="仿宋" w:hAnsi="仿宋" w:eastAsia="仿宋"/>
                <w:sz w:val="24"/>
                <w:szCs w:val="24"/>
              </w:rPr>
            </w:pPr>
            <w:r>
              <w:rPr>
                <w:rFonts w:hint="default" w:ascii="Times New Roman" w:hAnsi="Times New Roman" w:eastAsia="宋体" w:cs="Times New Roman"/>
                <w:sz w:val="24"/>
                <w:szCs w:val="24"/>
              </w:rPr>
              <w:t>132017100062</w:t>
            </w:r>
          </w:p>
        </w:tc>
      </w:tr>
      <w:tr w14:paraId="03CBEA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1701" w:type="dxa"/>
            <w:tcBorders>
              <w:top w:val="single" w:color="auto" w:sz="4" w:space="0"/>
              <w:left w:val="single" w:color="auto" w:sz="12" w:space="0"/>
              <w:bottom w:val="single" w:color="auto" w:sz="4" w:space="0"/>
            </w:tcBorders>
            <w:vAlign w:val="center"/>
          </w:tcPr>
          <w:p w14:paraId="5F3D36CB">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学科专业</w:t>
            </w:r>
          </w:p>
        </w:tc>
        <w:tc>
          <w:tcPr>
            <w:tcW w:w="1555" w:type="dxa"/>
            <w:tcBorders>
              <w:top w:val="single" w:color="auto" w:sz="4" w:space="0"/>
              <w:bottom w:val="single" w:color="auto" w:sz="4" w:space="0"/>
            </w:tcBorders>
            <w:vAlign w:val="center"/>
          </w:tcPr>
          <w:p w14:paraId="4A6BE861">
            <w:pPr>
              <w:rPr>
                <w:rFonts w:ascii="仿宋" w:hAnsi="仿宋" w:eastAsia="仿宋"/>
                <w:color w:val="000000"/>
                <w:sz w:val="24"/>
                <w:szCs w:val="24"/>
              </w:rPr>
            </w:pPr>
            <w:r>
              <w:rPr>
                <w:rFonts w:hint="default" w:ascii="Times New Roman" w:hAnsi="Times New Roman" w:eastAsia="仿宋" w:cs="Times New Roman"/>
                <w:lang w:eastAsia="zh-CN"/>
              </w:rPr>
              <w:t>内科学（传染病）</w:t>
            </w:r>
          </w:p>
        </w:tc>
        <w:tc>
          <w:tcPr>
            <w:tcW w:w="1265" w:type="dxa"/>
            <w:tcBorders>
              <w:top w:val="single" w:color="auto" w:sz="4" w:space="0"/>
              <w:bottom w:val="single" w:color="auto" w:sz="4" w:space="0"/>
            </w:tcBorders>
            <w:vAlign w:val="center"/>
          </w:tcPr>
          <w:p w14:paraId="28BEBAE4">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学位类型</w:t>
            </w:r>
          </w:p>
        </w:tc>
        <w:tc>
          <w:tcPr>
            <w:tcW w:w="3983" w:type="dxa"/>
            <w:tcBorders>
              <w:top w:val="single" w:color="auto" w:sz="4" w:space="0"/>
              <w:bottom w:val="single" w:color="auto" w:sz="4" w:space="0"/>
              <w:right w:val="single" w:color="auto" w:sz="12" w:space="0"/>
            </w:tcBorders>
            <w:vAlign w:val="center"/>
          </w:tcPr>
          <w:p w14:paraId="381474A7">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244AE8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4" w:space="0"/>
              <w:left w:val="single" w:color="auto" w:sz="12" w:space="0"/>
              <w:bottom w:val="single" w:color="auto" w:sz="12" w:space="0"/>
            </w:tcBorders>
            <w:vAlign w:val="center"/>
          </w:tcPr>
          <w:p w14:paraId="40F04DC6">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导师姓名</w:t>
            </w:r>
          </w:p>
        </w:tc>
        <w:tc>
          <w:tcPr>
            <w:tcW w:w="1555" w:type="dxa"/>
            <w:tcBorders>
              <w:top w:val="single" w:color="auto" w:sz="4" w:space="0"/>
              <w:bottom w:val="single" w:color="auto" w:sz="12" w:space="0"/>
            </w:tcBorders>
            <w:vAlign w:val="center"/>
          </w:tcPr>
          <w:p w14:paraId="5DE488E2">
            <w:pPr>
              <w:rPr>
                <w:rFonts w:ascii="仿宋" w:hAnsi="仿宋" w:eastAsia="仿宋"/>
                <w:color w:val="000000"/>
                <w:sz w:val="24"/>
                <w:szCs w:val="24"/>
              </w:rPr>
            </w:pPr>
            <w:r>
              <w:rPr>
                <w:rFonts w:hint="eastAsia" w:ascii="仿宋" w:hAnsi="仿宋" w:eastAsia="仿宋" w:cs="仿宋"/>
                <w:lang w:eastAsia="zh-CN"/>
              </w:rPr>
              <w:t>唐神结</w:t>
            </w:r>
          </w:p>
        </w:tc>
        <w:tc>
          <w:tcPr>
            <w:tcW w:w="1265" w:type="dxa"/>
            <w:tcBorders>
              <w:top w:val="single" w:color="auto" w:sz="4" w:space="0"/>
              <w:bottom w:val="single" w:color="auto" w:sz="12" w:space="0"/>
            </w:tcBorders>
            <w:vAlign w:val="center"/>
          </w:tcPr>
          <w:p w14:paraId="23642BC8">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培养单位</w:t>
            </w:r>
          </w:p>
        </w:tc>
        <w:tc>
          <w:tcPr>
            <w:tcW w:w="3983" w:type="dxa"/>
            <w:tcBorders>
              <w:top w:val="single" w:color="auto" w:sz="4" w:space="0"/>
              <w:bottom w:val="single" w:color="auto" w:sz="12" w:space="0"/>
              <w:right w:val="single" w:color="auto" w:sz="12" w:space="0"/>
            </w:tcBorders>
            <w:vAlign w:val="center"/>
          </w:tcPr>
          <w:p w14:paraId="54F05DCA">
            <w:pPr>
              <w:rPr>
                <w:rFonts w:ascii="仿宋" w:hAnsi="仿宋" w:eastAsia="仿宋"/>
                <w:sz w:val="24"/>
                <w:szCs w:val="24"/>
              </w:rPr>
            </w:pPr>
            <w:r>
              <w:rPr>
                <w:rFonts w:hint="default" w:ascii="Times New Roman" w:hAnsi="Times New Roman" w:eastAsia="仿宋" w:cs="Times New Roman"/>
                <w:lang w:eastAsia="zh-CN"/>
              </w:rPr>
              <w:t>首都医科大学附属北京胸科医院（第十临床医学院）</w:t>
            </w:r>
          </w:p>
        </w:tc>
      </w:tr>
      <w:tr w14:paraId="07BC38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06" w:hRule="atLeast"/>
          <w:jc w:val="center"/>
        </w:trPr>
        <w:tc>
          <w:tcPr>
            <w:tcW w:w="8504" w:type="dxa"/>
            <w:gridSpan w:val="4"/>
            <w:tcBorders>
              <w:top w:val="single" w:color="auto" w:sz="12" w:space="0"/>
              <w:left w:val="single" w:color="auto" w:sz="12" w:space="0"/>
              <w:right w:val="single" w:color="auto" w:sz="12" w:space="0"/>
            </w:tcBorders>
          </w:tcPr>
          <w:p w14:paraId="68D2A358">
            <w:pPr>
              <w:tabs>
                <w:tab w:val="left" w:pos="860"/>
                <w:tab w:val="left" w:pos="4714"/>
                <w:tab w:val="left" w:pos="8850"/>
              </w:tabs>
              <w:spacing w:line="360" w:lineRule="auto"/>
              <w:jc w:val="left"/>
              <w:rPr>
                <w:rFonts w:ascii="仿宋" w:hAnsi="仿宋" w:eastAsia="仿宋"/>
                <w:sz w:val="24"/>
                <w:szCs w:val="24"/>
              </w:rPr>
            </w:pPr>
            <w:r>
              <w:rPr>
                <w:rFonts w:hint="eastAsia" w:ascii="仿宋" w:hAnsi="仿宋" w:eastAsia="仿宋"/>
                <w:sz w:val="24"/>
                <w:szCs w:val="24"/>
              </w:rPr>
              <w:t>1、课程学习安排（课程名称、课程学时、课程学分）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431"/>
              <w:gridCol w:w="2205"/>
              <w:gridCol w:w="1144"/>
              <w:gridCol w:w="1372"/>
              <w:gridCol w:w="1372"/>
            </w:tblGrid>
            <w:tr w14:paraId="7A7B0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4BEDAD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ascii="宋体" w:hAnsi="宋体" w:eastAsia="宋体" w:cs="宋体"/>
                      <w:b/>
                      <w:bCs/>
                      <w:spacing w:val="-10"/>
                      <w:sz w:val="26"/>
                      <w:szCs w:val="26"/>
                      <w:vertAlign w:val="baseline"/>
                    </w:rPr>
                  </w:pPr>
                  <w:r>
                    <w:rPr>
                      <w:rFonts w:hint="eastAsia" w:ascii="微软雅黑" w:hAnsi="微软雅黑" w:eastAsia="微软雅黑" w:cs="微软雅黑"/>
                      <w:b/>
                      <w:bCs/>
                      <w:i w:val="0"/>
                      <w:iCs w:val="0"/>
                      <w:caps w:val="0"/>
                      <w:color w:val="333333"/>
                      <w:spacing w:val="0"/>
                      <w:kern w:val="0"/>
                      <w:sz w:val="18"/>
                      <w:szCs w:val="18"/>
                      <w:lang w:val="en-US" w:eastAsia="zh-CN" w:bidi="ar"/>
                    </w:rPr>
                    <w:t>序号</w:t>
                  </w:r>
                </w:p>
              </w:tc>
              <w:tc>
                <w:tcPr>
                  <w:tcW w:w="1431" w:type="dxa"/>
                  <w:vAlign w:val="center"/>
                </w:tcPr>
                <w:p w14:paraId="6056C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ascii="宋体" w:hAnsi="宋体" w:eastAsia="宋体" w:cs="宋体"/>
                      <w:b/>
                      <w:bCs/>
                      <w:spacing w:val="-10"/>
                      <w:sz w:val="26"/>
                      <w:szCs w:val="26"/>
                      <w:vertAlign w:val="baseline"/>
                    </w:rPr>
                  </w:pPr>
                  <w:r>
                    <w:rPr>
                      <w:rFonts w:hint="eastAsia" w:ascii="微软雅黑" w:hAnsi="微软雅黑" w:eastAsia="微软雅黑" w:cs="微软雅黑"/>
                      <w:b/>
                      <w:bCs/>
                      <w:i w:val="0"/>
                      <w:iCs w:val="0"/>
                      <w:caps w:val="0"/>
                      <w:color w:val="333333"/>
                      <w:spacing w:val="0"/>
                      <w:kern w:val="0"/>
                      <w:sz w:val="18"/>
                      <w:szCs w:val="18"/>
                      <w:lang w:val="en-US" w:eastAsia="zh-CN" w:bidi="ar"/>
                    </w:rPr>
                    <w:t>学年学期</w:t>
                  </w:r>
                </w:p>
              </w:tc>
              <w:tc>
                <w:tcPr>
                  <w:tcW w:w="2205" w:type="dxa"/>
                  <w:vAlign w:val="center"/>
                </w:tcPr>
                <w:p w14:paraId="42D094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ascii="宋体" w:hAnsi="宋体" w:eastAsia="宋体" w:cs="宋体"/>
                      <w:b/>
                      <w:bCs/>
                      <w:spacing w:val="-10"/>
                      <w:sz w:val="26"/>
                      <w:szCs w:val="26"/>
                      <w:vertAlign w:val="baseline"/>
                    </w:rPr>
                  </w:pPr>
                  <w:r>
                    <w:rPr>
                      <w:rFonts w:hint="eastAsia" w:ascii="微软雅黑" w:hAnsi="微软雅黑" w:eastAsia="微软雅黑" w:cs="微软雅黑"/>
                      <w:b/>
                      <w:bCs/>
                      <w:i w:val="0"/>
                      <w:iCs w:val="0"/>
                      <w:caps w:val="0"/>
                      <w:color w:val="333333"/>
                      <w:spacing w:val="0"/>
                      <w:kern w:val="0"/>
                      <w:sz w:val="18"/>
                      <w:szCs w:val="18"/>
                      <w:lang w:val="en-US" w:eastAsia="zh-CN" w:bidi="ar"/>
                    </w:rPr>
                    <w:t>课程名称</w:t>
                  </w:r>
                </w:p>
              </w:tc>
              <w:tc>
                <w:tcPr>
                  <w:tcW w:w="1144" w:type="dxa"/>
                  <w:vAlign w:val="center"/>
                </w:tcPr>
                <w:p w14:paraId="2F965D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ascii="宋体" w:hAnsi="宋体" w:eastAsia="宋体" w:cs="宋体"/>
                      <w:b/>
                      <w:bCs/>
                      <w:spacing w:val="-10"/>
                      <w:sz w:val="26"/>
                      <w:szCs w:val="26"/>
                      <w:vertAlign w:val="baseline"/>
                    </w:rPr>
                  </w:pPr>
                  <w:r>
                    <w:rPr>
                      <w:rFonts w:hint="eastAsia" w:ascii="微软雅黑" w:hAnsi="微软雅黑" w:eastAsia="微软雅黑" w:cs="微软雅黑"/>
                      <w:b/>
                      <w:bCs/>
                      <w:i w:val="0"/>
                      <w:iCs w:val="0"/>
                      <w:caps w:val="0"/>
                      <w:color w:val="333333"/>
                      <w:spacing w:val="0"/>
                      <w:kern w:val="0"/>
                      <w:sz w:val="18"/>
                      <w:szCs w:val="18"/>
                      <w:lang w:val="en-US" w:eastAsia="zh-CN" w:bidi="ar"/>
                    </w:rPr>
                    <w:t>课程学分</w:t>
                  </w:r>
                </w:p>
              </w:tc>
              <w:tc>
                <w:tcPr>
                  <w:tcW w:w="1372" w:type="dxa"/>
                  <w:vAlign w:val="center"/>
                </w:tcPr>
                <w:p w14:paraId="61067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ascii="宋体" w:hAnsi="宋体" w:eastAsia="宋体" w:cs="宋体"/>
                      <w:b/>
                      <w:bCs/>
                      <w:spacing w:val="-10"/>
                      <w:sz w:val="26"/>
                      <w:szCs w:val="26"/>
                      <w:vertAlign w:val="baseline"/>
                    </w:rPr>
                  </w:pPr>
                  <w:r>
                    <w:rPr>
                      <w:rFonts w:hint="eastAsia" w:ascii="微软雅黑" w:hAnsi="微软雅黑" w:eastAsia="微软雅黑" w:cs="微软雅黑"/>
                      <w:b/>
                      <w:bCs/>
                      <w:i w:val="0"/>
                      <w:iCs w:val="0"/>
                      <w:caps w:val="0"/>
                      <w:color w:val="333333"/>
                      <w:spacing w:val="0"/>
                      <w:kern w:val="0"/>
                      <w:sz w:val="18"/>
                      <w:szCs w:val="18"/>
                      <w:lang w:val="en-US" w:eastAsia="zh-CN" w:bidi="ar"/>
                    </w:rPr>
                    <w:t>课程属性</w:t>
                  </w:r>
                </w:p>
              </w:tc>
              <w:tc>
                <w:tcPr>
                  <w:tcW w:w="1372" w:type="dxa"/>
                  <w:vAlign w:val="center"/>
                </w:tcPr>
                <w:p w14:paraId="620366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textAlignment w:val="top"/>
                    <w:rPr>
                      <w:rFonts w:hint="default" w:ascii="微软雅黑" w:hAnsi="微软雅黑" w:eastAsia="微软雅黑" w:cs="微软雅黑"/>
                      <w:b/>
                      <w:bCs/>
                      <w:i w:val="0"/>
                      <w:iCs w:val="0"/>
                      <w:caps w:val="0"/>
                      <w:color w:val="333333"/>
                      <w:spacing w:val="0"/>
                      <w:kern w:val="0"/>
                      <w:sz w:val="18"/>
                      <w:szCs w:val="18"/>
                      <w:lang w:val="en-US" w:eastAsia="zh-CN" w:bidi="ar"/>
                    </w:rPr>
                  </w:pPr>
                  <w:r>
                    <w:rPr>
                      <w:rFonts w:hint="eastAsia" w:ascii="微软雅黑" w:hAnsi="微软雅黑" w:eastAsia="微软雅黑" w:cs="微软雅黑"/>
                      <w:b/>
                      <w:bCs/>
                      <w:i w:val="0"/>
                      <w:iCs w:val="0"/>
                      <w:caps w:val="0"/>
                      <w:color w:val="333333"/>
                      <w:spacing w:val="0"/>
                      <w:kern w:val="0"/>
                      <w:sz w:val="18"/>
                      <w:szCs w:val="18"/>
                      <w:lang w:val="en-US" w:eastAsia="zh-CN" w:bidi="ar"/>
                    </w:rPr>
                    <w:t>学时</w:t>
                  </w:r>
                </w:p>
              </w:tc>
            </w:tr>
            <w:tr w14:paraId="00C23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2BA29F5F">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431" w:type="dxa"/>
                  <w:vAlign w:val="center"/>
                </w:tcPr>
                <w:p w14:paraId="7F6050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5E47A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分子生物学研究进展</w:t>
                  </w:r>
                </w:p>
              </w:tc>
              <w:tc>
                <w:tcPr>
                  <w:tcW w:w="1144" w:type="dxa"/>
                  <w:vAlign w:val="center"/>
                </w:tcPr>
                <w:p w14:paraId="38932D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306FFE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必修</w:t>
                  </w:r>
                </w:p>
              </w:tc>
              <w:tc>
                <w:tcPr>
                  <w:tcW w:w="1372" w:type="dxa"/>
                  <w:vAlign w:val="center"/>
                </w:tcPr>
                <w:p w14:paraId="104C4E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18</w:t>
                  </w:r>
                </w:p>
              </w:tc>
            </w:tr>
            <w:tr w14:paraId="0A37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39F8814E">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w:t>
                  </w:r>
                </w:p>
              </w:tc>
              <w:tc>
                <w:tcPr>
                  <w:tcW w:w="1431" w:type="dxa"/>
                  <w:vAlign w:val="center"/>
                </w:tcPr>
                <w:p w14:paraId="31A3EE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0BB373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医学免疫学实验技术</w:t>
                  </w:r>
                </w:p>
              </w:tc>
              <w:tc>
                <w:tcPr>
                  <w:tcW w:w="1144" w:type="dxa"/>
                  <w:vAlign w:val="center"/>
                </w:tcPr>
                <w:p w14:paraId="66503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1.5</w:t>
                  </w:r>
                </w:p>
              </w:tc>
              <w:tc>
                <w:tcPr>
                  <w:tcW w:w="1372" w:type="dxa"/>
                  <w:vAlign w:val="center"/>
                </w:tcPr>
                <w:p w14:paraId="1CA306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必修</w:t>
                  </w:r>
                </w:p>
              </w:tc>
              <w:tc>
                <w:tcPr>
                  <w:tcW w:w="1372" w:type="dxa"/>
                  <w:vAlign w:val="center"/>
                </w:tcPr>
                <w:p w14:paraId="084F3A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30</w:t>
                  </w:r>
                </w:p>
              </w:tc>
            </w:tr>
            <w:tr w14:paraId="249B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6DA3979E">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3</w:t>
                  </w:r>
                </w:p>
              </w:tc>
              <w:tc>
                <w:tcPr>
                  <w:tcW w:w="1431" w:type="dxa"/>
                  <w:vAlign w:val="center"/>
                </w:tcPr>
                <w:p w14:paraId="58D889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6AA6AF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实验动物学（理论）</w:t>
                  </w:r>
                </w:p>
              </w:tc>
              <w:tc>
                <w:tcPr>
                  <w:tcW w:w="1144" w:type="dxa"/>
                  <w:vAlign w:val="center"/>
                </w:tcPr>
                <w:p w14:paraId="555330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39F8B9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必修</w:t>
                  </w:r>
                </w:p>
              </w:tc>
              <w:tc>
                <w:tcPr>
                  <w:tcW w:w="1372" w:type="dxa"/>
                  <w:vAlign w:val="center"/>
                </w:tcPr>
                <w:p w14:paraId="5EDC40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25</w:t>
                  </w:r>
                </w:p>
              </w:tc>
            </w:tr>
            <w:tr w14:paraId="68471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7B9158F0">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4</w:t>
                  </w:r>
                </w:p>
              </w:tc>
              <w:tc>
                <w:tcPr>
                  <w:tcW w:w="1431" w:type="dxa"/>
                  <w:vAlign w:val="center"/>
                </w:tcPr>
                <w:p w14:paraId="495D2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3F8C2B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临床研究方法学原理与实践</w:t>
                  </w:r>
                </w:p>
              </w:tc>
              <w:tc>
                <w:tcPr>
                  <w:tcW w:w="1144" w:type="dxa"/>
                  <w:vAlign w:val="center"/>
                </w:tcPr>
                <w:p w14:paraId="65902B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165EFA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选修</w:t>
                  </w:r>
                </w:p>
              </w:tc>
              <w:tc>
                <w:tcPr>
                  <w:tcW w:w="1372" w:type="dxa"/>
                  <w:vAlign w:val="center"/>
                </w:tcPr>
                <w:p w14:paraId="31C01E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20</w:t>
                  </w:r>
                </w:p>
              </w:tc>
            </w:tr>
            <w:tr w14:paraId="0B525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653A4BBC">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5</w:t>
                  </w:r>
                </w:p>
              </w:tc>
              <w:tc>
                <w:tcPr>
                  <w:tcW w:w="1431" w:type="dxa"/>
                  <w:vAlign w:val="center"/>
                </w:tcPr>
                <w:p w14:paraId="2B7C6D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5FBD51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高级流行病学</w:t>
                  </w:r>
                </w:p>
              </w:tc>
              <w:tc>
                <w:tcPr>
                  <w:tcW w:w="1144" w:type="dxa"/>
                  <w:vAlign w:val="center"/>
                </w:tcPr>
                <w:p w14:paraId="05F30D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3</w:t>
                  </w:r>
                </w:p>
              </w:tc>
              <w:tc>
                <w:tcPr>
                  <w:tcW w:w="1372" w:type="dxa"/>
                  <w:vAlign w:val="center"/>
                </w:tcPr>
                <w:p w14:paraId="07FD9F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选修</w:t>
                  </w:r>
                </w:p>
              </w:tc>
              <w:tc>
                <w:tcPr>
                  <w:tcW w:w="1372" w:type="dxa"/>
                  <w:vAlign w:val="center"/>
                </w:tcPr>
                <w:p w14:paraId="03A313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54</w:t>
                  </w:r>
                </w:p>
              </w:tc>
            </w:tr>
            <w:tr w14:paraId="764F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2F027A74">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6</w:t>
                  </w:r>
                </w:p>
              </w:tc>
              <w:tc>
                <w:tcPr>
                  <w:tcW w:w="1431" w:type="dxa"/>
                  <w:vAlign w:val="center"/>
                </w:tcPr>
                <w:p w14:paraId="66FE7D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3F7454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循证医学</w:t>
                  </w:r>
                </w:p>
              </w:tc>
              <w:tc>
                <w:tcPr>
                  <w:tcW w:w="1144" w:type="dxa"/>
                  <w:vAlign w:val="center"/>
                </w:tcPr>
                <w:p w14:paraId="4ACA6F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1E7F95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选修</w:t>
                  </w:r>
                </w:p>
              </w:tc>
              <w:tc>
                <w:tcPr>
                  <w:tcW w:w="1372" w:type="dxa"/>
                  <w:vAlign w:val="center"/>
                </w:tcPr>
                <w:p w14:paraId="49F42E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18</w:t>
                  </w:r>
                </w:p>
              </w:tc>
            </w:tr>
            <w:tr w14:paraId="3BB1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489872DB">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7</w:t>
                  </w:r>
                </w:p>
              </w:tc>
              <w:tc>
                <w:tcPr>
                  <w:tcW w:w="1431" w:type="dxa"/>
                  <w:vAlign w:val="center"/>
                </w:tcPr>
                <w:p w14:paraId="5E5EE2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0D6F20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现场调查技术</w:t>
                  </w:r>
                </w:p>
              </w:tc>
              <w:tc>
                <w:tcPr>
                  <w:tcW w:w="1144" w:type="dxa"/>
                  <w:vAlign w:val="center"/>
                </w:tcPr>
                <w:p w14:paraId="0A35D1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4210D7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选修</w:t>
                  </w:r>
                </w:p>
              </w:tc>
              <w:tc>
                <w:tcPr>
                  <w:tcW w:w="1372" w:type="dxa"/>
                  <w:vAlign w:val="center"/>
                </w:tcPr>
                <w:p w14:paraId="2925E2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18</w:t>
                  </w:r>
                </w:p>
              </w:tc>
            </w:tr>
            <w:tr w14:paraId="73CD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0" w:type="dxa"/>
                  <w:vAlign w:val="center"/>
                </w:tcPr>
                <w:p w14:paraId="302561A6">
                  <w:pPr>
                    <w:keepNext w:val="0"/>
                    <w:keepLines w:val="0"/>
                    <w:widowControl/>
                    <w:suppressLineNumbers w:val="0"/>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8</w:t>
                  </w:r>
                </w:p>
              </w:tc>
              <w:tc>
                <w:tcPr>
                  <w:tcW w:w="1431" w:type="dxa"/>
                  <w:vAlign w:val="center"/>
                </w:tcPr>
                <w:p w14:paraId="41A840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2017-2018-1</w:t>
                  </w:r>
                </w:p>
              </w:tc>
              <w:tc>
                <w:tcPr>
                  <w:tcW w:w="2205" w:type="dxa"/>
                  <w:vAlign w:val="center"/>
                </w:tcPr>
                <w:p w14:paraId="184507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卫生统计学</w:t>
                  </w:r>
                </w:p>
              </w:tc>
              <w:tc>
                <w:tcPr>
                  <w:tcW w:w="1144" w:type="dxa"/>
                  <w:vAlign w:val="center"/>
                </w:tcPr>
                <w:p w14:paraId="7E5D08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1</w:t>
                  </w:r>
                </w:p>
              </w:tc>
              <w:tc>
                <w:tcPr>
                  <w:tcW w:w="1372" w:type="dxa"/>
                  <w:vAlign w:val="center"/>
                </w:tcPr>
                <w:p w14:paraId="18CA42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ascii="宋体" w:hAnsi="宋体" w:eastAsia="宋体" w:cs="宋体"/>
                      <w:b/>
                      <w:bCs/>
                      <w:spacing w:val="-10"/>
                      <w:sz w:val="26"/>
                      <w:szCs w:val="26"/>
                      <w:vertAlign w:val="baseline"/>
                    </w:rPr>
                  </w:pPr>
                  <w:r>
                    <w:rPr>
                      <w:rFonts w:hint="eastAsia" w:ascii="微软雅黑" w:hAnsi="微软雅黑" w:eastAsia="微软雅黑" w:cs="微软雅黑"/>
                      <w:i w:val="0"/>
                      <w:iCs w:val="0"/>
                      <w:caps w:val="0"/>
                      <w:color w:val="000000"/>
                      <w:spacing w:val="0"/>
                      <w:kern w:val="0"/>
                      <w:sz w:val="18"/>
                      <w:szCs w:val="18"/>
                      <w:lang w:val="en-US" w:eastAsia="zh-CN" w:bidi="ar"/>
                    </w:rPr>
                    <w:t>选修</w:t>
                  </w:r>
                </w:p>
              </w:tc>
              <w:tc>
                <w:tcPr>
                  <w:tcW w:w="1372" w:type="dxa"/>
                  <w:vAlign w:val="center"/>
                </w:tcPr>
                <w:p w14:paraId="6796C3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微软雅黑" w:hAnsi="微软雅黑" w:eastAsia="微软雅黑" w:cs="微软雅黑"/>
                      <w:i w:val="0"/>
                      <w:iCs w:val="0"/>
                      <w:caps w:val="0"/>
                      <w:color w:val="000000"/>
                      <w:spacing w:val="0"/>
                      <w:kern w:val="0"/>
                      <w:sz w:val="18"/>
                      <w:szCs w:val="18"/>
                      <w:lang w:val="en-US" w:eastAsia="zh-CN" w:bidi="ar"/>
                    </w:rPr>
                  </w:pPr>
                  <w:r>
                    <w:rPr>
                      <w:rFonts w:hint="eastAsia" w:ascii="微软雅黑" w:hAnsi="微软雅黑" w:eastAsia="微软雅黑" w:cs="微软雅黑"/>
                      <w:i w:val="0"/>
                      <w:iCs w:val="0"/>
                      <w:caps w:val="0"/>
                      <w:color w:val="000000"/>
                      <w:spacing w:val="0"/>
                      <w:kern w:val="0"/>
                      <w:sz w:val="18"/>
                      <w:szCs w:val="18"/>
                      <w:lang w:val="en-US" w:eastAsia="zh-CN" w:bidi="ar"/>
                    </w:rPr>
                    <w:t>18</w:t>
                  </w:r>
                </w:p>
              </w:tc>
            </w:tr>
          </w:tbl>
          <w:p w14:paraId="7E15070B">
            <w:pPr>
              <w:tabs>
                <w:tab w:val="left" w:pos="860"/>
                <w:tab w:val="left" w:pos="4714"/>
                <w:tab w:val="left" w:pos="8850"/>
              </w:tabs>
              <w:spacing w:line="360" w:lineRule="auto"/>
              <w:jc w:val="left"/>
              <w:rPr>
                <w:rFonts w:ascii="仿宋" w:hAnsi="仿宋" w:eastAsia="仿宋"/>
                <w:sz w:val="24"/>
                <w:szCs w:val="24"/>
              </w:rPr>
            </w:pPr>
          </w:p>
        </w:tc>
      </w:tr>
      <w:tr w14:paraId="26F21C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983" w:hRule="atLeast"/>
          <w:jc w:val="center"/>
        </w:trPr>
        <w:tc>
          <w:tcPr>
            <w:tcW w:w="8504" w:type="dxa"/>
            <w:gridSpan w:val="4"/>
            <w:tcBorders>
              <w:left w:val="single" w:color="auto" w:sz="12" w:space="0"/>
              <w:right w:val="single" w:color="auto" w:sz="12" w:space="0"/>
            </w:tcBorders>
          </w:tcPr>
          <w:p w14:paraId="5ACF16A7">
            <w:pPr>
              <w:tabs>
                <w:tab w:val="left" w:pos="860"/>
                <w:tab w:val="left" w:pos="4714"/>
                <w:tab w:val="left" w:pos="8850"/>
              </w:tabs>
              <w:spacing w:line="360" w:lineRule="auto"/>
              <w:jc w:val="left"/>
              <w:rPr>
                <w:rFonts w:ascii="仿宋" w:hAnsi="仿宋" w:eastAsia="仿宋"/>
                <w:sz w:val="24"/>
                <w:szCs w:val="24"/>
              </w:rPr>
            </w:pPr>
            <w:r>
              <w:rPr>
                <w:rFonts w:hint="eastAsia" w:ascii="仿宋" w:hAnsi="仿宋" w:eastAsia="仿宋"/>
                <w:sz w:val="24"/>
                <w:szCs w:val="24"/>
              </w:rPr>
              <w:t>2、导师对研究生临床训练、科学研究、论文工作等内容的要求及时间安排</w:t>
            </w:r>
          </w:p>
          <w:p w14:paraId="552BB582">
            <w:pPr>
              <w:tabs>
                <w:tab w:val="left" w:pos="860"/>
                <w:tab w:val="left" w:pos="4714"/>
                <w:tab w:val="left" w:pos="8850"/>
              </w:tabs>
              <w:spacing w:line="360" w:lineRule="auto"/>
              <w:jc w:val="left"/>
              <w:rPr>
                <w:rFonts w:hint="eastAsia" w:ascii="仿宋" w:hAnsi="仿宋" w:eastAsia="仿宋"/>
                <w:sz w:val="24"/>
                <w:szCs w:val="24"/>
              </w:rPr>
            </w:pPr>
            <w:r>
              <w:rPr>
                <w:rFonts w:hint="eastAsia" w:ascii="仿宋" w:hAnsi="仿宋" w:eastAsia="仿宋"/>
                <w:sz w:val="24"/>
                <w:szCs w:val="24"/>
              </w:rPr>
              <w:t>201</w:t>
            </w:r>
            <w:r>
              <w:rPr>
                <w:rFonts w:hint="eastAsia" w:ascii="仿宋" w:hAnsi="仿宋" w:eastAsia="仿宋"/>
                <w:sz w:val="24"/>
                <w:szCs w:val="24"/>
                <w:lang w:val="en-US" w:eastAsia="zh-CN"/>
              </w:rPr>
              <w:t>7</w:t>
            </w:r>
            <w:r>
              <w:rPr>
                <w:rFonts w:hint="eastAsia" w:ascii="仿宋" w:hAnsi="仿宋" w:eastAsia="仿宋"/>
                <w:sz w:val="24"/>
                <w:szCs w:val="24"/>
              </w:rPr>
              <w:t>.0</w:t>
            </w:r>
            <w:r>
              <w:rPr>
                <w:rFonts w:hint="eastAsia" w:ascii="仿宋" w:hAnsi="仿宋" w:eastAsia="仿宋"/>
                <w:sz w:val="24"/>
                <w:szCs w:val="24"/>
                <w:lang w:val="en-US" w:eastAsia="zh-CN"/>
              </w:rPr>
              <w:t>9</w:t>
            </w:r>
            <w:r>
              <w:rPr>
                <w:rFonts w:hint="eastAsia" w:ascii="仿宋" w:hAnsi="仿宋" w:eastAsia="仿宋"/>
                <w:sz w:val="24"/>
                <w:szCs w:val="24"/>
              </w:rPr>
              <w:t>-2019.09：学习理论课程，修满学位课程学分，参加各种讲座，学习科研基础知识，熟练实验室各项操作；</w:t>
            </w:r>
          </w:p>
          <w:p w14:paraId="622B1126">
            <w:pPr>
              <w:tabs>
                <w:tab w:val="left" w:pos="860"/>
                <w:tab w:val="left" w:pos="4714"/>
                <w:tab w:val="left" w:pos="8850"/>
              </w:tabs>
              <w:spacing w:line="360" w:lineRule="auto"/>
              <w:jc w:val="left"/>
              <w:rPr>
                <w:rFonts w:hint="eastAsia" w:ascii="仿宋" w:hAnsi="仿宋" w:eastAsia="仿宋"/>
                <w:sz w:val="24"/>
                <w:szCs w:val="24"/>
              </w:rPr>
            </w:pPr>
            <w:r>
              <w:rPr>
                <w:rFonts w:hint="eastAsia" w:ascii="仿宋" w:hAnsi="仿宋" w:eastAsia="仿宋"/>
                <w:sz w:val="24"/>
                <w:szCs w:val="24"/>
              </w:rPr>
              <w:t>2019.10-2020.04：门诊病房学习临床相关知识，阅读相关文献，查找相关资料，完成综述的撰写，在导师的指导下，初步完成实验设计；</w:t>
            </w:r>
          </w:p>
          <w:p w14:paraId="4C8B0FDC">
            <w:pPr>
              <w:tabs>
                <w:tab w:val="left" w:pos="860"/>
                <w:tab w:val="left" w:pos="4714"/>
                <w:tab w:val="left" w:pos="8850"/>
              </w:tabs>
              <w:spacing w:line="360" w:lineRule="auto"/>
              <w:jc w:val="left"/>
              <w:rPr>
                <w:rFonts w:hint="eastAsia" w:ascii="仿宋" w:hAnsi="仿宋" w:eastAsia="仿宋"/>
                <w:sz w:val="24"/>
                <w:szCs w:val="24"/>
              </w:rPr>
            </w:pPr>
            <w:r>
              <w:rPr>
                <w:rFonts w:hint="eastAsia" w:ascii="仿宋" w:hAnsi="仿宋" w:eastAsia="仿宋"/>
                <w:sz w:val="24"/>
                <w:szCs w:val="24"/>
              </w:rPr>
              <w:t>2020.05-2020.12：根据研究需求，招募受试者，实施药物治疗方案，完成停药后随访，完成对入组受试者的血液、痰液样本的收集和处理，同时收集整理临床资料；</w:t>
            </w:r>
          </w:p>
          <w:p w14:paraId="17D6CFE4">
            <w:pPr>
              <w:tabs>
                <w:tab w:val="left" w:pos="860"/>
                <w:tab w:val="left" w:pos="4714"/>
                <w:tab w:val="left" w:pos="8850"/>
              </w:tabs>
              <w:spacing w:line="360" w:lineRule="auto"/>
              <w:jc w:val="left"/>
              <w:rPr>
                <w:rFonts w:hint="eastAsia" w:ascii="仿宋" w:hAnsi="仿宋" w:eastAsia="仿宋"/>
                <w:sz w:val="24"/>
                <w:szCs w:val="24"/>
              </w:rPr>
            </w:pPr>
            <w:r>
              <w:rPr>
                <w:rFonts w:hint="eastAsia" w:ascii="仿宋" w:hAnsi="仿宋" w:eastAsia="仿宋"/>
                <w:sz w:val="24"/>
                <w:szCs w:val="24"/>
              </w:rPr>
              <w:t>2021.01-2021.08：整理实验数据，统计分析，撰写论文、申请专利。</w:t>
            </w:r>
          </w:p>
          <w:p w14:paraId="3C7FD5E2">
            <w:pPr>
              <w:tabs>
                <w:tab w:val="left" w:pos="860"/>
                <w:tab w:val="left" w:pos="4714"/>
                <w:tab w:val="left" w:pos="8850"/>
              </w:tabs>
              <w:spacing w:line="360" w:lineRule="auto"/>
              <w:jc w:val="left"/>
              <w:rPr>
                <w:rFonts w:hint="eastAsia" w:ascii="仿宋" w:hAnsi="仿宋" w:eastAsia="仿宋"/>
                <w:sz w:val="24"/>
                <w:szCs w:val="24"/>
              </w:rPr>
            </w:pPr>
          </w:p>
        </w:tc>
      </w:tr>
      <w:tr w14:paraId="3DE6FB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8504" w:type="dxa"/>
            <w:gridSpan w:val="4"/>
            <w:tcBorders>
              <w:left w:val="single" w:color="auto" w:sz="12" w:space="0"/>
              <w:bottom w:val="single" w:color="auto" w:sz="12" w:space="0"/>
              <w:right w:val="single" w:color="auto" w:sz="12" w:space="0"/>
            </w:tcBorders>
          </w:tcPr>
          <w:p w14:paraId="31439B5A">
            <w:pPr>
              <w:tabs>
                <w:tab w:val="left" w:pos="860"/>
                <w:tab w:val="left" w:pos="4714"/>
                <w:tab w:val="left" w:pos="8850"/>
              </w:tabs>
              <w:spacing w:line="360" w:lineRule="auto"/>
              <w:jc w:val="left"/>
              <w:rPr>
                <w:rFonts w:ascii="仿宋" w:hAnsi="仿宋" w:eastAsia="仿宋"/>
                <w:sz w:val="24"/>
                <w:szCs w:val="24"/>
              </w:rPr>
            </w:pPr>
            <w:r>
              <w:rPr>
                <w:rFonts w:hint="eastAsia" w:ascii="仿宋" w:hAnsi="仿宋" w:eastAsia="仿宋"/>
                <w:sz w:val="24"/>
                <w:szCs w:val="24"/>
              </w:rPr>
              <w:t>3、导师指导小组成员</w:t>
            </w:r>
          </w:p>
          <w:p w14:paraId="09AB9880">
            <w:pPr>
              <w:tabs>
                <w:tab w:val="left" w:pos="860"/>
                <w:tab w:val="left" w:pos="4714"/>
                <w:tab w:val="left" w:pos="8850"/>
              </w:tabs>
              <w:spacing w:line="360" w:lineRule="auto"/>
              <w:jc w:val="left"/>
              <w:rPr>
                <w:rFonts w:ascii="仿宋" w:hAnsi="仿宋" w:eastAsia="仿宋"/>
                <w:sz w:val="24"/>
                <w:szCs w:val="24"/>
              </w:rPr>
            </w:pPr>
            <w:r>
              <w:rPr>
                <w:rFonts w:hint="eastAsia"/>
              </w:rPr>
              <w:t xml:space="preserve">唐神结  </w:t>
            </w:r>
            <w:r>
              <w:rPr>
                <w:rFonts w:hint="eastAsia"/>
                <w:lang w:val="en-US" w:eastAsia="zh-CN"/>
              </w:rPr>
              <w:t>初乃惠  逄</w:t>
            </w:r>
            <w:r>
              <w:rPr>
                <w:rFonts w:hint="eastAsia"/>
              </w:rPr>
              <w:t xml:space="preserve">宇  </w:t>
            </w:r>
            <w:r>
              <w:rPr>
                <w:rFonts w:hint="eastAsia"/>
                <w:lang w:val="en-US" w:eastAsia="zh-CN"/>
              </w:rPr>
              <w:t>孙照刚  侯代伦</w:t>
            </w:r>
          </w:p>
          <w:p w14:paraId="170620F2">
            <w:pPr>
              <w:tabs>
                <w:tab w:val="left" w:pos="860"/>
                <w:tab w:val="left" w:pos="4714"/>
                <w:tab w:val="left" w:pos="8850"/>
              </w:tabs>
              <w:spacing w:line="360" w:lineRule="auto"/>
              <w:jc w:val="center"/>
              <w:rPr>
                <w:rFonts w:hint="eastAsia" w:ascii="仿宋" w:hAnsi="仿宋" w:eastAsia="仿宋"/>
                <w:sz w:val="24"/>
                <w:szCs w:val="24"/>
                <w:lang w:eastAsia="zh-CN"/>
              </w:rPr>
            </w:pPr>
            <w:r>
              <w:rPr>
                <w:rFonts w:hint="eastAsia" w:ascii="仿宋" w:hAnsi="仿宋" w:eastAsia="仿宋"/>
                <w:sz w:val="24"/>
                <w:szCs w:val="24"/>
                <w:lang w:val="en-US" w:eastAsia="zh-CN"/>
              </w:rPr>
              <w:t xml:space="preserve">                                           </w:t>
            </w:r>
            <w:r>
              <w:rPr>
                <w:rFonts w:hint="eastAsia" w:ascii="仿宋" w:hAnsi="仿宋" w:eastAsia="仿宋"/>
                <w:sz w:val="24"/>
                <w:szCs w:val="24"/>
              </w:rPr>
              <w:t>导师签字：</w:t>
            </w:r>
            <w:r>
              <w:rPr>
                <w:rFonts w:hint="eastAsia" w:ascii="仿宋" w:hAnsi="仿宋" w:eastAsia="仿宋"/>
                <w:sz w:val="24"/>
                <w:szCs w:val="24"/>
                <w:lang w:eastAsia="zh-CN"/>
              </w:rPr>
              <w:drawing>
                <wp:inline distT="0" distB="0" distL="114300" distR="114300">
                  <wp:extent cx="848360" cy="497840"/>
                  <wp:effectExtent l="0" t="0" r="8890" b="16510"/>
                  <wp:docPr id="11" name="图片 11" descr="唐神结 电子签字 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唐神结 电子签字 透明底"/>
                          <pic:cNvPicPr>
                            <a:picLocks noChangeAspect="1"/>
                          </pic:cNvPicPr>
                        </pic:nvPicPr>
                        <pic:blipFill>
                          <a:blip r:embed="rId12"/>
                          <a:stretch>
                            <a:fillRect/>
                          </a:stretch>
                        </pic:blipFill>
                        <pic:spPr>
                          <a:xfrm>
                            <a:off x="0" y="0"/>
                            <a:ext cx="848360" cy="497840"/>
                          </a:xfrm>
                          <a:prstGeom prst="rect">
                            <a:avLst/>
                          </a:prstGeom>
                        </pic:spPr>
                      </pic:pic>
                    </a:graphicData>
                  </a:graphic>
                </wp:inline>
              </w:drawing>
            </w:r>
          </w:p>
          <w:p w14:paraId="612AB177">
            <w:pPr>
              <w:tabs>
                <w:tab w:val="left" w:pos="860"/>
                <w:tab w:val="left" w:pos="4714"/>
                <w:tab w:val="left" w:pos="8850"/>
              </w:tabs>
              <w:spacing w:line="360" w:lineRule="auto"/>
              <w:jc w:val="center"/>
              <w:rPr>
                <w:rFonts w:hint="default" w:ascii="仿宋" w:hAnsi="仿宋" w:eastAsia="仿宋"/>
                <w:sz w:val="24"/>
                <w:szCs w:val="24"/>
                <w:lang w:val="en-US" w:eastAsia="zh-CN"/>
              </w:rPr>
            </w:pPr>
            <w:r>
              <w:rPr>
                <w:rFonts w:hint="eastAsia" w:ascii="仿宋" w:hAnsi="仿宋" w:eastAsia="仿宋"/>
                <w:sz w:val="24"/>
                <w:szCs w:val="24"/>
              </w:rPr>
              <w:t xml:space="preserve"> </w:t>
            </w:r>
            <w:r>
              <w:rPr>
                <w:rFonts w:ascii="仿宋" w:hAnsi="仿宋" w:eastAsia="仿宋"/>
                <w:sz w:val="24"/>
                <w:szCs w:val="24"/>
              </w:rPr>
              <w:t xml:space="preserve">  </w:t>
            </w:r>
            <w:r>
              <w:rPr>
                <w:rFonts w:hint="eastAsia" w:ascii="仿宋" w:hAnsi="仿宋" w:eastAsia="仿宋"/>
                <w:sz w:val="24"/>
                <w:szCs w:val="24"/>
                <w:lang w:val="en-US" w:eastAsia="zh-CN"/>
              </w:rPr>
              <w:t xml:space="preserve">                                        </w:t>
            </w:r>
            <w:r>
              <w:rPr>
                <w:rFonts w:hint="eastAsia" w:ascii="仿宋" w:hAnsi="仿宋" w:eastAsia="仿宋"/>
                <w:sz w:val="24"/>
                <w:szCs w:val="24"/>
              </w:rPr>
              <w:t>日期</w:t>
            </w:r>
            <w:r>
              <w:rPr>
                <w:rFonts w:ascii="仿宋" w:hAnsi="仿宋" w:eastAsia="仿宋"/>
                <w:sz w:val="24"/>
                <w:szCs w:val="24"/>
              </w:rPr>
              <w:t>：</w:t>
            </w:r>
            <w:r>
              <w:rPr>
                <w:rFonts w:hint="eastAsia" w:ascii="仿宋" w:hAnsi="仿宋" w:eastAsia="仿宋"/>
                <w:sz w:val="24"/>
                <w:szCs w:val="24"/>
                <w:lang w:val="en-US" w:eastAsia="zh-CN"/>
              </w:rPr>
              <w:t>2017年9月20日</w:t>
            </w:r>
          </w:p>
        </w:tc>
      </w:tr>
    </w:tbl>
    <w:p w14:paraId="1827E7C0">
      <w:pPr>
        <w:widowControl/>
        <w:jc w:val="left"/>
        <w:rPr>
          <w:rFonts w:ascii="仿宋" w:hAnsi="仿宋" w:eastAsia="仿宋"/>
          <w:szCs w:val="21"/>
        </w:rPr>
      </w:pPr>
      <w:r>
        <w:rPr>
          <w:rFonts w:hint="eastAsia" w:ascii="仿宋" w:hAnsi="仿宋" w:eastAsia="仿宋"/>
          <w:szCs w:val="21"/>
        </w:rPr>
        <w:t>备注</w:t>
      </w:r>
      <w:r>
        <w:rPr>
          <w:rFonts w:ascii="仿宋" w:hAnsi="仿宋" w:eastAsia="仿宋"/>
          <w:szCs w:val="21"/>
        </w:rPr>
        <w:t>：</w:t>
      </w:r>
      <w:r>
        <w:rPr>
          <w:rFonts w:hint="eastAsia" w:ascii="仿宋" w:hAnsi="仿宋" w:eastAsia="仿宋"/>
          <w:szCs w:val="21"/>
        </w:rPr>
        <w:t>统招</w:t>
      </w:r>
      <w:r>
        <w:rPr>
          <w:rFonts w:ascii="仿宋" w:hAnsi="仿宋" w:eastAsia="仿宋"/>
          <w:szCs w:val="21"/>
        </w:rPr>
        <w:t>研究生均</w:t>
      </w:r>
      <w:r>
        <w:rPr>
          <w:rFonts w:hint="eastAsia" w:ascii="仿宋" w:hAnsi="仿宋" w:eastAsia="仿宋"/>
          <w:szCs w:val="21"/>
        </w:rPr>
        <w:t>需</w:t>
      </w:r>
      <w:r>
        <w:rPr>
          <w:rFonts w:ascii="仿宋" w:hAnsi="仿宋" w:eastAsia="仿宋"/>
          <w:szCs w:val="21"/>
        </w:rPr>
        <w:t>填写</w:t>
      </w:r>
      <w:r>
        <w:rPr>
          <w:rFonts w:hint="eastAsia" w:ascii="仿宋" w:hAnsi="仿宋" w:eastAsia="仿宋"/>
          <w:szCs w:val="21"/>
        </w:rPr>
        <w:t>培养计划书，</w:t>
      </w:r>
      <w:r>
        <w:rPr>
          <w:rFonts w:ascii="仿宋" w:hAnsi="仿宋" w:eastAsia="仿宋"/>
          <w:szCs w:val="21"/>
        </w:rPr>
        <w:t>同等</w:t>
      </w:r>
      <w:r>
        <w:rPr>
          <w:rFonts w:hint="eastAsia" w:ascii="仿宋" w:hAnsi="仿宋" w:eastAsia="仿宋"/>
          <w:szCs w:val="21"/>
        </w:rPr>
        <w:t>学力</w:t>
      </w:r>
      <w:r>
        <w:rPr>
          <w:rFonts w:ascii="仿宋" w:hAnsi="仿宋" w:eastAsia="仿宋"/>
          <w:szCs w:val="21"/>
        </w:rPr>
        <w:t>申请学位人员</w:t>
      </w:r>
      <w:r>
        <w:rPr>
          <w:rFonts w:hint="eastAsia" w:ascii="仿宋" w:hAnsi="仿宋" w:eastAsia="仿宋"/>
          <w:szCs w:val="21"/>
        </w:rPr>
        <w:t>自2020年</w:t>
      </w:r>
      <w:r>
        <w:rPr>
          <w:rFonts w:ascii="仿宋" w:hAnsi="仿宋" w:eastAsia="仿宋"/>
          <w:szCs w:val="21"/>
        </w:rPr>
        <w:t>入学者</w:t>
      </w:r>
      <w:r>
        <w:rPr>
          <w:rFonts w:hint="eastAsia" w:ascii="仿宋" w:hAnsi="仿宋" w:eastAsia="仿宋"/>
          <w:szCs w:val="21"/>
        </w:rPr>
        <w:t>要求</w:t>
      </w:r>
      <w:r>
        <w:rPr>
          <w:rFonts w:ascii="仿宋" w:hAnsi="仿宋" w:eastAsia="仿宋"/>
          <w:szCs w:val="21"/>
        </w:rPr>
        <w:t>填写</w:t>
      </w:r>
      <w:r>
        <w:rPr>
          <w:rFonts w:hint="eastAsia" w:ascii="仿宋" w:hAnsi="仿宋" w:eastAsia="仿宋"/>
          <w:szCs w:val="21"/>
        </w:rPr>
        <w:t>培养计划书</w:t>
      </w:r>
      <w:r>
        <w:rPr>
          <w:rFonts w:ascii="仿宋" w:hAnsi="仿宋" w:eastAsia="仿宋"/>
          <w:szCs w:val="21"/>
        </w:rPr>
        <w:t>。</w:t>
      </w:r>
    </w:p>
    <w:p w14:paraId="66D01F26">
      <w:pPr>
        <w:widowControl/>
        <w:jc w:val="center"/>
        <w:rPr>
          <w:rFonts w:ascii="华文中宋" w:hAnsi="华文中宋" w:eastAsia="华文中宋"/>
          <w:sz w:val="44"/>
          <w:szCs w:val="44"/>
        </w:rPr>
        <w:sectPr>
          <w:footerReference r:id="rId7" w:type="first"/>
          <w:footerReference r:id="rId6" w:type="default"/>
          <w:pgSz w:w="11906" w:h="16838"/>
          <w:pgMar w:top="1440" w:right="1800" w:bottom="1440" w:left="1800" w:header="851" w:footer="992" w:gutter="0"/>
          <w:pgNumType w:fmt="decimal" w:start="1"/>
          <w:cols w:space="425" w:num="1"/>
          <w:titlePg/>
          <w:docGrid w:type="lines" w:linePitch="312" w:charSpace="0"/>
        </w:sectPr>
      </w:pPr>
    </w:p>
    <w:p w14:paraId="6B2926A1">
      <w:pPr>
        <w:widowControl/>
        <w:jc w:val="center"/>
        <w:rPr>
          <w:rFonts w:ascii="华文中宋" w:hAnsi="华文中宋" w:eastAsia="华文中宋"/>
          <w:sz w:val="36"/>
          <w:szCs w:val="44"/>
        </w:rPr>
      </w:pPr>
      <w:r>
        <w:rPr>
          <w:rFonts w:hint="eastAsia" w:ascii="华文中宋" w:hAnsi="华文中宋" w:eastAsia="华文中宋"/>
          <w:sz w:val="36"/>
          <w:szCs w:val="44"/>
        </w:rPr>
        <w:t>首都医科大学学位</w:t>
      </w:r>
      <w:r>
        <w:rPr>
          <w:rFonts w:ascii="华文中宋" w:hAnsi="华文中宋" w:eastAsia="华文中宋"/>
          <w:sz w:val="36"/>
          <w:szCs w:val="44"/>
        </w:rPr>
        <w:t>论文</w:t>
      </w:r>
      <w:r>
        <w:rPr>
          <w:rFonts w:hint="eastAsia" w:ascii="华文中宋" w:hAnsi="华文中宋" w:eastAsia="华文中宋"/>
          <w:sz w:val="36"/>
          <w:szCs w:val="44"/>
        </w:rPr>
        <w:t>开题报告</w:t>
      </w:r>
    </w:p>
    <w:tbl>
      <w:tblPr>
        <w:tblStyle w:val="7"/>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555"/>
        <w:gridCol w:w="1265"/>
        <w:gridCol w:w="3983"/>
      </w:tblGrid>
      <w:tr w14:paraId="61837B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12" w:space="0"/>
              <w:left w:val="single" w:color="auto" w:sz="12" w:space="0"/>
            </w:tcBorders>
            <w:vAlign w:val="center"/>
          </w:tcPr>
          <w:p w14:paraId="24BBEFBE">
            <w:pPr>
              <w:pStyle w:val="16"/>
              <w:framePr w:wrap="auto" w:vAnchor="margin" w:hAnchor="text" w:yAlign="inline"/>
              <w:jc w:val="center"/>
              <w:rPr>
                <w:rFonts w:ascii="仿宋" w:hAnsi="仿宋" w:eastAsia="仿宋"/>
                <w:color w:val="000000"/>
                <w:sz w:val="24"/>
                <w:szCs w:val="24"/>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555" w:type="dxa"/>
            <w:tcBorders>
              <w:top w:val="single" w:color="auto" w:sz="12" w:space="0"/>
            </w:tcBorders>
            <w:vAlign w:val="center"/>
          </w:tcPr>
          <w:p w14:paraId="58E90C3C">
            <w:pPr>
              <w:rPr>
                <w:rFonts w:ascii="仿宋" w:hAnsi="仿宋" w:eastAsia="仿宋"/>
                <w:color w:val="000000"/>
                <w:sz w:val="24"/>
                <w:szCs w:val="24"/>
              </w:rPr>
            </w:pPr>
            <w:r>
              <w:rPr>
                <w:rFonts w:hint="eastAsia" w:ascii="仿宋" w:hAnsi="仿宋" w:eastAsia="仿宋" w:cs="仿宋"/>
                <w:lang w:eastAsia="zh-CN"/>
              </w:rPr>
              <w:t>付亮</w:t>
            </w:r>
          </w:p>
        </w:tc>
        <w:tc>
          <w:tcPr>
            <w:tcW w:w="1265" w:type="dxa"/>
            <w:tcBorders>
              <w:top w:val="single" w:color="auto" w:sz="12" w:space="0"/>
            </w:tcBorders>
            <w:vAlign w:val="center"/>
          </w:tcPr>
          <w:p w14:paraId="7F874D2F">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学号</w:t>
            </w:r>
          </w:p>
        </w:tc>
        <w:tc>
          <w:tcPr>
            <w:tcW w:w="3983" w:type="dxa"/>
            <w:tcBorders>
              <w:top w:val="single" w:color="auto" w:sz="12" w:space="0"/>
              <w:bottom w:val="single" w:color="auto" w:sz="4" w:space="0"/>
              <w:right w:val="single" w:color="auto" w:sz="12" w:space="0"/>
            </w:tcBorders>
            <w:vAlign w:val="center"/>
          </w:tcPr>
          <w:p w14:paraId="04A8F9CA">
            <w:pPr>
              <w:rPr>
                <w:rFonts w:ascii="仿宋" w:hAnsi="仿宋" w:eastAsia="仿宋"/>
                <w:sz w:val="24"/>
                <w:szCs w:val="24"/>
              </w:rPr>
            </w:pPr>
            <w:r>
              <w:rPr>
                <w:rFonts w:hint="default" w:ascii="Times New Roman" w:hAnsi="Times New Roman" w:eastAsia="宋体" w:cs="Times New Roman"/>
                <w:sz w:val="24"/>
                <w:szCs w:val="24"/>
              </w:rPr>
              <w:t>132017100062</w:t>
            </w:r>
          </w:p>
        </w:tc>
      </w:tr>
      <w:tr w14:paraId="39BE50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left w:val="single" w:color="auto" w:sz="12" w:space="0"/>
            </w:tcBorders>
            <w:vAlign w:val="center"/>
          </w:tcPr>
          <w:p w14:paraId="0C2B4ACD">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学科专业</w:t>
            </w:r>
          </w:p>
        </w:tc>
        <w:tc>
          <w:tcPr>
            <w:tcW w:w="1555" w:type="dxa"/>
            <w:vAlign w:val="center"/>
          </w:tcPr>
          <w:p w14:paraId="73E1567D">
            <w:pPr>
              <w:rPr>
                <w:rFonts w:ascii="仿宋" w:hAnsi="仿宋" w:eastAsia="仿宋"/>
                <w:color w:val="000000"/>
                <w:sz w:val="24"/>
                <w:szCs w:val="24"/>
              </w:rPr>
            </w:pPr>
            <w:r>
              <w:rPr>
                <w:rFonts w:hint="default" w:ascii="Times New Roman" w:hAnsi="Times New Roman" w:eastAsia="仿宋" w:cs="Times New Roman"/>
                <w:lang w:eastAsia="zh-CN"/>
              </w:rPr>
              <w:t>内科学（传染病）</w:t>
            </w:r>
          </w:p>
        </w:tc>
        <w:tc>
          <w:tcPr>
            <w:tcW w:w="1265" w:type="dxa"/>
            <w:vAlign w:val="center"/>
          </w:tcPr>
          <w:p w14:paraId="26BFE635">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学位类型</w:t>
            </w:r>
          </w:p>
        </w:tc>
        <w:tc>
          <w:tcPr>
            <w:tcW w:w="3983" w:type="dxa"/>
            <w:tcBorders>
              <w:top w:val="single" w:color="auto" w:sz="4" w:space="0"/>
              <w:right w:val="single" w:color="auto" w:sz="12" w:space="0"/>
            </w:tcBorders>
            <w:vAlign w:val="center"/>
          </w:tcPr>
          <w:p w14:paraId="2AEF4F34">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485B27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left w:val="single" w:color="auto" w:sz="12" w:space="0"/>
              <w:bottom w:val="single" w:color="auto" w:sz="4" w:space="0"/>
            </w:tcBorders>
            <w:vAlign w:val="center"/>
          </w:tcPr>
          <w:p w14:paraId="55219F26">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导师姓名</w:t>
            </w:r>
          </w:p>
        </w:tc>
        <w:tc>
          <w:tcPr>
            <w:tcW w:w="1555" w:type="dxa"/>
            <w:tcBorders>
              <w:bottom w:val="single" w:color="auto" w:sz="4" w:space="0"/>
            </w:tcBorders>
            <w:vAlign w:val="center"/>
          </w:tcPr>
          <w:p w14:paraId="05E35E4F">
            <w:pPr>
              <w:rPr>
                <w:rFonts w:ascii="仿宋" w:hAnsi="仿宋" w:eastAsia="仿宋"/>
                <w:color w:val="000000"/>
                <w:sz w:val="24"/>
                <w:szCs w:val="24"/>
              </w:rPr>
            </w:pPr>
            <w:r>
              <w:rPr>
                <w:rFonts w:hint="eastAsia" w:ascii="仿宋" w:hAnsi="仿宋" w:eastAsia="仿宋" w:cs="仿宋"/>
                <w:lang w:eastAsia="zh-CN"/>
              </w:rPr>
              <w:t>唐神结</w:t>
            </w:r>
          </w:p>
        </w:tc>
        <w:tc>
          <w:tcPr>
            <w:tcW w:w="1265" w:type="dxa"/>
            <w:tcBorders>
              <w:bottom w:val="single" w:color="auto" w:sz="4" w:space="0"/>
            </w:tcBorders>
            <w:vAlign w:val="center"/>
          </w:tcPr>
          <w:p w14:paraId="7EA5A695">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培养单位</w:t>
            </w:r>
          </w:p>
        </w:tc>
        <w:tc>
          <w:tcPr>
            <w:tcW w:w="3983" w:type="dxa"/>
            <w:tcBorders>
              <w:bottom w:val="single" w:color="auto" w:sz="4" w:space="0"/>
              <w:right w:val="single" w:color="auto" w:sz="12" w:space="0"/>
            </w:tcBorders>
            <w:vAlign w:val="center"/>
          </w:tcPr>
          <w:p w14:paraId="33F49093">
            <w:pPr>
              <w:rPr>
                <w:rFonts w:ascii="仿宋" w:hAnsi="仿宋" w:eastAsia="仿宋"/>
                <w:sz w:val="24"/>
                <w:szCs w:val="24"/>
              </w:rPr>
            </w:pPr>
            <w:r>
              <w:rPr>
                <w:rFonts w:hint="default" w:ascii="Times New Roman" w:hAnsi="Times New Roman" w:eastAsia="仿宋" w:cs="Times New Roman"/>
                <w:lang w:eastAsia="zh-CN"/>
              </w:rPr>
              <w:t>首都医科大学附属北京胸科医院（第十临床医学院）</w:t>
            </w:r>
          </w:p>
        </w:tc>
      </w:tr>
      <w:tr w14:paraId="0F6B47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1" w:type="dxa"/>
            <w:tcBorders>
              <w:top w:val="single" w:color="auto" w:sz="4" w:space="0"/>
              <w:left w:val="single" w:color="auto" w:sz="12" w:space="0"/>
              <w:bottom w:val="single" w:color="auto" w:sz="12" w:space="0"/>
            </w:tcBorders>
            <w:vAlign w:val="center"/>
          </w:tcPr>
          <w:p w14:paraId="6C017A44">
            <w:pPr>
              <w:spacing w:line="276" w:lineRule="auto"/>
              <w:jc w:val="center"/>
              <w:rPr>
                <w:rFonts w:ascii="仿宋" w:hAnsi="仿宋" w:eastAsia="仿宋"/>
                <w:color w:val="000000"/>
                <w:sz w:val="24"/>
                <w:szCs w:val="24"/>
              </w:rPr>
            </w:pPr>
            <w:r>
              <w:rPr>
                <w:rFonts w:hint="eastAsia" w:ascii="仿宋" w:hAnsi="仿宋" w:eastAsia="仿宋"/>
                <w:sz w:val="24"/>
                <w:szCs w:val="28"/>
              </w:rPr>
              <w:t>课题</w:t>
            </w:r>
            <w:r>
              <w:rPr>
                <w:rFonts w:ascii="仿宋" w:hAnsi="仿宋" w:eastAsia="仿宋"/>
                <w:sz w:val="24"/>
                <w:szCs w:val="28"/>
              </w:rPr>
              <w:t>名称</w:t>
            </w:r>
          </w:p>
        </w:tc>
        <w:tc>
          <w:tcPr>
            <w:tcW w:w="6803" w:type="dxa"/>
            <w:gridSpan w:val="3"/>
            <w:tcBorders>
              <w:top w:val="single" w:color="auto" w:sz="4" w:space="0"/>
              <w:bottom w:val="single" w:color="auto" w:sz="12" w:space="0"/>
              <w:right w:val="single" w:color="auto" w:sz="12" w:space="0"/>
            </w:tcBorders>
            <w:vAlign w:val="center"/>
          </w:tcPr>
          <w:p w14:paraId="0FBC62FD">
            <w:pPr>
              <w:adjustRightInd w:val="0"/>
              <w:snapToGrid w:val="0"/>
              <w:spacing w:line="360" w:lineRule="auto"/>
              <w:rPr>
                <w:rFonts w:hint="eastAsia" w:ascii="仿宋" w:hAnsi="仿宋" w:eastAsia="仿宋"/>
                <w:sz w:val="24"/>
                <w:szCs w:val="28"/>
              </w:rPr>
            </w:pPr>
            <w:r>
              <w:rPr>
                <w:rFonts w:hint="eastAsia" w:ascii="仿宋" w:hAnsi="仿宋" w:eastAsia="仿宋"/>
                <w:sz w:val="24"/>
                <w:szCs w:val="28"/>
              </w:rPr>
              <w:t>中文题目：同种异体γδT细胞治疗耐多药肺结核的临床研究</w:t>
            </w:r>
          </w:p>
          <w:p w14:paraId="492E471F">
            <w:pPr>
              <w:adjustRightInd w:val="0"/>
              <w:snapToGrid w:val="0"/>
              <w:spacing w:line="360" w:lineRule="auto"/>
              <w:rPr>
                <w:rFonts w:ascii="仿宋" w:hAnsi="仿宋" w:eastAsia="仿宋"/>
                <w:sz w:val="24"/>
                <w:szCs w:val="24"/>
              </w:rPr>
            </w:pPr>
            <w:r>
              <w:rPr>
                <w:rFonts w:hint="eastAsia" w:ascii="仿宋" w:hAnsi="仿宋" w:eastAsia="仿宋"/>
                <w:sz w:val="24"/>
                <w:szCs w:val="28"/>
              </w:rPr>
              <w:t>英文题目：Allogeneic γδT cell therapy for multidrug-resistant tuberculosis</w:t>
            </w:r>
          </w:p>
        </w:tc>
      </w:tr>
      <w:tr w14:paraId="11976F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8504" w:type="dxa"/>
            <w:gridSpan w:val="4"/>
            <w:tcBorders>
              <w:top w:val="single" w:color="auto" w:sz="12" w:space="0"/>
              <w:left w:val="single" w:color="auto" w:sz="12" w:space="0"/>
              <w:bottom w:val="single" w:color="auto" w:sz="4" w:space="0"/>
              <w:right w:val="single" w:color="auto" w:sz="12" w:space="0"/>
            </w:tcBorders>
            <w:vAlign w:val="center"/>
          </w:tcPr>
          <w:p w14:paraId="21A1FDA5">
            <w:pPr>
              <w:spacing w:line="360" w:lineRule="auto"/>
              <w:jc w:val="left"/>
              <w:rPr>
                <w:rFonts w:ascii="仿宋" w:hAnsi="仿宋" w:eastAsia="仿宋"/>
                <w:sz w:val="24"/>
                <w:szCs w:val="28"/>
              </w:rPr>
            </w:pPr>
            <w:r>
              <w:rPr>
                <w:rFonts w:hint="eastAsia" w:ascii="仿宋" w:hAnsi="仿宋" w:eastAsia="仿宋"/>
                <w:sz w:val="24"/>
                <w:szCs w:val="28"/>
              </w:rPr>
              <w:t>一、课题中英文摘要</w:t>
            </w:r>
          </w:p>
          <w:p w14:paraId="12A7F0AF">
            <w:pPr>
              <w:adjustRightInd w:val="0"/>
              <w:snapToGrid w:val="0"/>
              <w:spacing w:line="360" w:lineRule="auto"/>
              <w:rPr>
                <w:rFonts w:hint="eastAsia" w:ascii="仿宋" w:hAnsi="仿宋" w:eastAsia="仿宋"/>
                <w:sz w:val="24"/>
                <w:szCs w:val="28"/>
              </w:rPr>
            </w:pPr>
            <w:r>
              <w:rPr>
                <w:rFonts w:hint="eastAsia" w:ascii="仿宋" w:hAnsi="仿宋" w:eastAsia="仿宋"/>
                <w:sz w:val="24"/>
                <w:szCs w:val="28"/>
              </w:rPr>
              <w:t>1.中文摘要</w:t>
            </w:r>
          </w:p>
          <w:p w14:paraId="34DD02C5">
            <w:pPr>
              <w:adjustRightInd w:val="0"/>
              <w:snapToGrid w:val="0"/>
              <w:spacing w:line="360" w:lineRule="auto"/>
              <w:rPr>
                <w:rFonts w:hint="eastAsia" w:ascii="仿宋" w:hAnsi="仿宋" w:eastAsia="仿宋"/>
                <w:sz w:val="24"/>
                <w:szCs w:val="28"/>
              </w:rPr>
            </w:pPr>
            <w:r>
              <w:rPr>
                <w:rFonts w:hint="eastAsia" w:ascii="仿宋" w:hAnsi="仿宋" w:eastAsia="仿宋"/>
                <w:sz w:val="24"/>
                <w:szCs w:val="28"/>
              </w:rPr>
              <w:t>传统抗结核药物在遏制结核病流行方面贡献巨大，但目前遇到了诸多障碍，需要新的治疗策略。近年来“宿主靶向疗法”开始兴起并显示良好疗效，包括老药新用、细胞免疫治疗等，我们十分关注γδT细胞免疫治疗。γδT细胞是一类不同于αβT细胞的T细胞亚群，其免疫治疗的安全性和有效性已经在抗肿瘤治疗的临床试验中得到确认。目前动物试验以及人类的观察性研究已经证明γδT细胞在结核病免疫反应方面发挥重要作用，其巨大潜力有待开发，现进行相关临床试验研究。</w:t>
            </w:r>
          </w:p>
          <w:p w14:paraId="4D6C8D13">
            <w:pPr>
              <w:adjustRightInd w:val="0"/>
              <w:snapToGrid w:val="0"/>
              <w:spacing w:line="360" w:lineRule="auto"/>
              <w:rPr>
                <w:rFonts w:hint="eastAsia" w:ascii="仿宋" w:hAnsi="仿宋" w:eastAsia="仿宋"/>
                <w:sz w:val="24"/>
                <w:szCs w:val="28"/>
              </w:rPr>
            </w:pPr>
            <w:r>
              <w:rPr>
                <w:rFonts w:hint="eastAsia" w:ascii="仿宋" w:hAnsi="仿宋" w:eastAsia="仿宋"/>
                <w:sz w:val="24"/>
                <w:szCs w:val="28"/>
              </w:rPr>
              <w:t>2.英文摘要</w:t>
            </w:r>
          </w:p>
          <w:p w14:paraId="34A0A2EF">
            <w:pPr>
              <w:adjustRightInd w:val="0"/>
              <w:snapToGrid w:val="0"/>
              <w:spacing w:line="360" w:lineRule="auto"/>
              <w:rPr>
                <w:rFonts w:ascii="仿宋" w:hAnsi="仿宋" w:eastAsia="仿宋"/>
                <w:sz w:val="24"/>
                <w:szCs w:val="28"/>
              </w:rPr>
            </w:pPr>
            <w:r>
              <w:rPr>
                <w:rFonts w:hint="eastAsia" w:ascii="仿宋" w:hAnsi="仿宋" w:eastAsia="仿宋"/>
                <w:sz w:val="24"/>
                <w:szCs w:val="28"/>
              </w:rPr>
              <w:t>Traditional anti-tuberculosis drugs have contributed greatly to the suppression of the tuberculosis epidemic, but currently encounter many obstacles and new treatment strategies is required. In recent years, "host-directed therapy" has emerged and showed good efficacy in treating tuberculosis, including new and repurposed drugs, biologics, and cellular therapies. We are academically interested in γδT cell therapy. γδT cells are a subset of T cells, quite different from αβT cells. The safety and efficacy of γδT cell therapy have been confirmed in clinical trials for anti-tumor therapy. At present, animal experiments and human observational studies have demonstrated that γδT cells play an important role in tuberculosis immune response, and its great potential remains to be developed. For this reason, a clinical trial is to be conducted.</w:t>
            </w:r>
          </w:p>
        </w:tc>
      </w:tr>
    </w:tbl>
    <w:tbl>
      <w:tblPr>
        <w:tblStyle w:val="6"/>
        <w:tblW w:w="8522" w:type="dxa"/>
        <w:jc w:val="center"/>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
        <w:gridCol w:w="8506"/>
        <w:gridCol w:w="3"/>
        <w:gridCol w:w="6"/>
      </w:tblGrid>
      <w:tr w14:paraId="6CA9F3B9">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gridBefore w:val="1"/>
          <w:gridAfter w:val="1"/>
          <w:wBefore w:w="8" w:type="dxa"/>
          <w:wAfter w:w="7" w:type="dxa"/>
          <w:trHeight w:val="7645" w:hRule="atLeast"/>
          <w:jc w:val="center"/>
        </w:trPr>
        <w:tc>
          <w:tcPr>
            <w:tcW w:w="8507" w:type="dxa"/>
            <w:gridSpan w:val="2"/>
            <w:tcBorders>
              <w:top w:val="single" w:color="auto" w:sz="4" w:space="0"/>
            </w:tcBorders>
            <w:shd w:val="clear" w:color="auto" w:fill="auto"/>
          </w:tcPr>
          <w:p w14:paraId="426DEA39">
            <w:pPr>
              <w:spacing w:line="360" w:lineRule="auto"/>
              <w:jc w:val="left"/>
              <w:rPr>
                <w:rFonts w:ascii="仿宋" w:hAnsi="仿宋" w:eastAsia="仿宋"/>
                <w:sz w:val="24"/>
                <w:szCs w:val="28"/>
              </w:rPr>
            </w:pPr>
            <w:r>
              <w:rPr>
                <w:rFonts w:hint="eastAsia" w:ascii="仿宋" w:hAnsi="仿宋" w:eastAsia="仿宋"/>
                <w:sz w:val="24"/>
                <w:szCs w:val="28"/>
              </w:rPr>
              <w:t>二、课题立项依据</w:t>
            </w:r>
          </w:p>
          <w:p w14:paraId="07B037AD">
            <w:pPr>
              <w:spacing w:line="360" w:lineRule="auto"/>
              <w:jc w:val="left"/>
              <w:rPr>
                <w:rFonts w:hint="eastAsia" w:ascii="仿宋" w:hAnsi="仿宋" w:eastAsia="仿宋"/>
                <w:b/>
                <w:bCs/>
                <w:sz w:val="24"/>
                <w:szCs w:val="28"/>
              </w:rPr>
            </w:pPr>
            <w:r>
              <w:rPr>
                <w:rFonts w:hint="eastAsia" w:ascii="仿宋" w:hAnsi="仿宋" w:eastAsia="仿宋"/>
                <w:b/>
                <w:bCs/>
                <w:sz w:val="24"/>
                <w:szCs w:val="28"/>
                <w:lang w:eastAsia="zh-CN"/>
              </w:rPr>
              <w:t>（</w:t>
            </w:r>
            <w:r>
              <w:rPr>
                <w:rFonts w:hint="eastAsia" w:ascii="仿宋" w:hAnsi="仿宋" w:eastAsia="仿宋"/>
                <w:b/>
                <w:bCs/>
                <w:sz w:val="24"/>
                <w:szCs w:val="28"/>
                <w:lang w:val="en-US" w:eastAsia="zh-CN"/>
              </w:rPr>
              <w:t>一</w:t>
            </w:r>
            <w:r>
              <w:rPr>
                <w:rFonts w:hint="eastAsia" w:ascii="仿宋" w:hAnsi="仿宋" w:eastAsia="仿宋"/>
                <w:b/>
                <w:bCs/>
                <w:sz w:val="24"/>
                <w:szCs w:val="28"/>
                <w:lang w:eastAsia="zh-CN"/>
              </w:rPr>
              <w:t>）</w:t>
            </w:r>
            <w:r>
              <w:rPr>
                <w:rFonts w:hint="eastAsia" w:ascii="仿宋" w:hAnsi="仿宋" w:eastAsia="仿宋"/>
                <w:b/>
                <w:bCs/>
                <w:sz w:val="24"/>
                <w:szCs w:val="28"/>
              </w:rPr>
              <w:t>课题研究背景</w:t>
            </w:r>
          </w:p>
          <w:p w14:paraId="0AFBF69C">
            <w:pPr>
              <w:spacing w:line="360" w:lineRule="auto"/>
              <w:ind w:firstLine="480" w:firstLineChars="200"/>
              <w:jc w:val="left"/>
              <w:rPr>
                <w:rFonts w:hint="eastAsia" w:ascii="仿宋" w:hAnsi="仿宋" w:eastAsia="仿宋"/>
                <w:sz w:val="24"/>
                <w:szCs w:val="28"/>
              </w:rPr>
            </w:pPr>
            <w:r>
              <w:rPr>
                <w:rFonts w:hint="eastAsia" w:ascii="仿宋" w:hAnsi="仿宋" w:eastAsia="仿宋"/>
                <w:sz w:val="24"/>
                <w:szCs w:val="28"/>
              </w:rPr>
              <w:t>结核病的药物开发主要针对病原体结核分枝杆菌的必需基因，半个世纪以来传统抗结核药物在遏制结核病流行方面贡献巨大，但目前遇到了诸多障碍，如耐多药结核病流行、共患病（如艾滋病、糖尿病）流行、抗结核药物组合方案的药物不良反应等。抗结核新药研发力量相对薄弱，新的策略对于实现治疗的范式转变是必要的。在结核病（尤其是耐多药结核病）疫情依然严峻的局面下，近年来一系列辅助治疗干预措施，如“宿主导向疗法”，开始兴起并显示良好疗效，包括老药新用、细胞免疫治疗等。γδT细胞是一类不同于αβT细胞的T细胞亚群，被认为是先天免疫系统的一部分，且可以桥接先天性和适应性免疫。γδT细胞在不依靠主要组织相容性复合物的情况下能够识别感染细胞，从而实现快速和无偏倚的免疫反应，这些特性使得γδT细胞成为对抗结核感染的潜力疗法。人类外周血中主要γδT细胞群是Vγ9/Vδ2T细胞，其细胞免疫治疗在临床应用中的安全性已经在抗肿瘤免疫治疗的临床试验中得到确认，近期国内亦已开展将其用于治疗HBeAg阳性慢性乙型肝炎的临床试验，具有很高的临床应用价值。基于γδT细胞的免疫治疗是国际上结核病治疗的前沿研究，目前动物试验以及人类的观察性研究已经证明γδT细胞在结核菌的固有免疫反应和适应性免疫反应方面发挥重要作用，但其一，目前尚不清楚人类结核病患者的γδT细胞水平和功能是否异常。其二，尚无将γδT细胞免疫治疗应用于耐多药肺结核的临床研究。本课题在此领域的研究将有望开发有效、安全并能缩短疗程的新疗法，具有广阔的应用前景，并期望能帮助达成世界卫生组织2035年终止结核病战略的宏伟目标。</w:t>
            </w:r>
          </w:p>
          <w:p w14:paraId="2B50984F">
            <w:pPr>
              <w:spacing w:line="360" w:lineRule="auto"/>
              <w:ind w:firstLine="480" w:firstLineChars="200"/>
              <w:jc w:val="left"/>
              <w:rPr>
                <w:rFonts w:hint="eastAsia" w:ascii="仿宋" w:hAnsi="仿宋" w:eastAsia="仿宋"/>
                <w:sz w:val="24"/>
                <w:szCs w:val="28"/>
              </w:rPr>
            </w:pPr>
          </w:p>
          <w:p w14:paraId="17037D85">
            <w:pPr>
              <w:spacing w:line="360" w:lineRule="auto"/>
              <w:jc w:val="left"/>
              <w:rPr>
                <w:rFonts w:hint="eastAsia" w:ascii="仿宋" w:hAnsi="仿宋" w:eastAsia="仿宋"/>
                <w:b/>
                <w:bCs/>
                <w:sz w:val="24"/>
                <w:szCs w:val="28"/>
              </w:rPr>
            </w:pPr>
            <w:r>
              <w:rPr>
                <w:rFonts w:hint="eastAsia" w:ascii="仿宋" w:hAnsi="仿宋" w:eastAsia="仿宋"/>
                <w:b/>
                <w:bCs/>
                <w:sz w:val="24"/>
                <w:szCs w:val="28"/>
                <w:lang w:val="en-US" w:eastAsia="zh-CN"/>
              </w:rPr>
              <w:t>（二）</w:t>
            </w:r>
            <w:r>
              <w:rPr>
                <w:rFonts w:hint="eastAsia" w:ascii="仿宋" w:hAnsi="仿宋" w:eastAsia="仿宋"/>
                <w:b/>
                <w:bCs/>
                <w:sz w:val="24"/>
                <w:szCs w:val="28"/>
              </w:rPr>
              <w:t>国内外研究现状及分析</w:t>
            </w:r>
          </w:p>
          <w:p w14:paraId="5BCE9863">
            <w:pPr>
              <w:spacing w:line="360" w:lineRule="auto"/>
              <w:jc w:val="left"/>
              <w:rPr>
                <w:rFonts w:hint="eastAsia" w:ascii="仿宋" w:hAnsi="仿宋" w:eastAsia="仿宋"/>
                <w:sz w:val="24"/>
                <w:szCs w:val="28"/>
              </w:rPr>
            </w:pPr>
            <w:r>
              <w:rPr>
                <w:rFonts w:hint="eastAsia" w:ascii="仿宋" w:hAnsi="仿宋" w:eastAsia="仿宋"/>
                <w:sz w:val="24"/>
                <w:szCs w:val="28"/>
              </w:rPr>
              <w:t>1. 全球结核病疫情依然严峻，传统抗结核药物治疗面临障碍。过去60年来，开发抗结核新疗法的努力集中于直接针对结核分枝杆菌（Mycobacterium tuberculosis，MTB）的化学药物和化疗方案，但结核病仍然是一个严峻的全球健康问题。依靠目前的抗结核治疗方案难以达到最佳治疗结果，面临的主要障碍包括：耐多药结核病（Multidrug-resistant TB，MDR-TB）和广泛耐药结核病（XDR-TB）的传播；复杂的和有药物毒副作用的MDR-TB治疗方案等。另一个基本问题是抗结核疗程时间较长（对于药物敏感性结核病为6个月，对于耐药性结核病为至少18个月），这是由于现有的大部分抗结核药物仅能靶向处于复制周期的MTB，而休眠的MTB在表型上对这些药物耐药。因此迫切需要新的结核病治疗方法。</w:t>
            </w:r>
          </w:p>
          <w:p w14:paraId="7B226EEC">
            <w:pPr>
              <w:spacing w:line="360" w:lineRule="auto"/>
              <w:jc w:val="left"/>
              <w:rPr>
                <w:rFonts w:hint="eastAsia" w:ascii="仿宋" w:hAnsi="仿宋" w:eastAsia="仿宋"/>
                <w:sz w:val="24"/>
                <w:szCs w:val="28"/>
              </w:rPr>
            </w:pPr>
            <w:r>
              <w:rPr>
                <w:rFonts w:hint="eastAsia" w:ascii="仿宋" w:hAnsi="仿宋" w:eastAsia="仿宋"/>
                <w:sz w:val="24"/>
                <w:szCs w:val="28"/>
              </w:rPr>
              <w:t>2. 近年来的研究集中在一系列辅助治疗干预措施--宿主导向疗法（Host-directed therapies，HDT）。HDT靶标是宿主对感染的反应[2]。HDT的发展主要表现在两方面：（1）调节宿主炎症反应，以减少异常炎症和肺组织破坏；（2）增强宿主固有和适应性免疫反应机制的组分。目前正在研究一系列具有免疫调节作用的干预措施，作为用于辅助结核病治疗的HDT，包括：通常用于其他疾病的常用药物的“再利用”（一般对MTB不具有直接活性）；其他具有免疫调节作用的产品，如微量营养素和环境分枝杆菌；免疫细胞治疗，如源自患者自身骨髓的间充质基质细胞（MSC）等。</w:t>
            </w:r>
          </w:p>
          <w:p w14:paraId="60FB528C">
            <w:pPr>
              <w:spacing w:line="360" w:lineRule="auto"/>
              <w:jc w:val="left"/>
              <w:rPr>
                <w:rFonts w:hint="eastAsia" w:ascii="仿宋" w:hAnsi="仿宋" w:eastAsia="仿宋"/>
                <w:sz w:val="24"/>
                <w:szCs w:val="28"/>
              </w:rPr>
            </w:pPr>
            <w:r>
              <w:rPr>
                <w:rFonts w:hint="eastAsia" w:ascii="仿宋" w:hAnsi="仿宋" w:eastAsia="仿宋"/>
                <w:sz w:val="24"/>
                <w:szCs w:val="28"/>
              </w:rPr>
              <w:t>3. γδT细胞的免疫治疗是HDT的重要成员。30年前发现的γδT细胞仍然是一个神秘的T细胞亚群。γδT细胞是一类不同于αβ T细胞的主要T细胞亚群，后者被认为主要作用于适应性免疫系统。γδT细胞是主要组织相容性复合物（Major histocompatibility complex，MHC）非限制性天然样淋巴细胞，其具有比αβT细胞和B细胞更多的独特抗原受体，被认为是先天免疫系统的一部分，且可以桥接先天性和适应性免疫。它们具有APC功能并启动适应性免疫。由于在特定组织中的分布，Th1-、Th2-和Th17-型细胞因子的分泌以及其他特征，γδT细胞参与各种生理学和病理学过程。然而，不同的γδT细胞亚群在HBV感染、自身免疫性疾病和几种类型的肿瘤中发挥相反的作用。例如，γδT是HIV感染的晴雨表。此外，蜕膜γδT细胞在妊娠期间通过合成几种细胞因子而具有保护作用。这些新出现的证据能帮助理解感染、自身免疫、癌症和其他相关疾病的免疫机制，并且更好地了解γδT细胞在免疫治疗策略中的潜在作用。人类外周血中主要γδT细胞群是Vγ9/Vδ2T细胞。目前γδT细胞（Vγ9/Vδ2亚群）在临床应用中的安全性已经在抗肿瘤免疫治疗的相关临床试验中得到了确认，近期国内已开展将γδT细胞用于治疗HBeAg阳性慢性乙型肝炎的临床试验，其临床应用价值很高。</w:t>
            </w:r>
          </w:p>
          <w:p w14:paraId="06AD71CA">
            <w:pPr>
              <w:spacing w:line="360" w:lineRule="auto"/>
              <w:jc w:val="left"/>
              <w:rPr>
                <w:rFonts w:hint="eastAsia" w:ascii="仿宋" w:hAnsi="仿宋" w:eastAsia="仿宋"/>
                <w:sz w:val="24"/>
                <w:szCs w:val="28"/>
              </w:rPr>
            </w:pPr>
            <w:r>
              <w:rPr>
                <w:rFonts w:hint="eastAsia" w:ascii="仿宋" w:hAnsi="仿宋" w:eastAsia="仿宋"/>
                <w:sz w:val="24"/>
                <w:szCs w:val="28"/>
              </w:rPr>
              <w:t>4. 目前基于γδT细胞的免疫治疗是国际上结核病治疗的前沿研究。</w:t>
            </w:r>
          </w:p>
          <w:p w14:paraId="6FAF760B">
            <w:pPr>
              <w:spacing w:line="360" w:lineRule="auto"/>
              <w:jc w:val="left"/>
              <w:rPr>
                <w:rFonts w:hint="eastAsia" w:ascii="仿宋" w:hAnsi="仿宋" w:eastAsia="仿宋"/>
                <w:sz w:val="24"/>
                <w:szCs w:val="28"/>
              </w:rPr>
            </w:pPr>
            <w:r>
              <w:rPr>
                <w:rFonts w:hint="eastAsia" w:ascii="仿宋" w:hAnsi="仿宋" w:eastAsia="仿宋"/>
                <w:sz w:val="24"/>
                <w:szCs w:val="28"/>
              </w:rPr>
              <w:t>4.1 γδT细胞可对抗MTB感染。γδT细胞（Vγ9Vδ2亚群）可以直接识别多肽抗原，无需MHC分子帮助，且多肽无需被处理为小分子肽段，重要的是，γδT细胞可以直接识别MTB表面的包括磷酸类抗原（如E-4-羟基-3-甲基-丁-2-β-烯基焦磷酸（HMB-PP））在内的多肽抗原分子以及MTB的非多肽类抗原分子。细胞表面的受体分子TCR γδ及NKG2D等介导了γδT细胞的抗结核感染过程，同时MTB的蛋白抗原和被感染细胞表面的应激分子会激活γδT细胞的抗结核免疫反应。γδT细胞还会分泌穿孔素、颗粒酶B、TNF-α、INF-以及通过Fas/FasL途径杀伤TB菌以及TB菌感染的靶细胞，而且受到MTB的刺激还会产生IL-17，通过介导急、慢性MTB感染引起的免疫反应而保护机体。所以，γδT细胞不受MHC限制，而是对磷酸抗原介导的呈递作出反应，γδT细胞的活化导致细胞因子产生和细胞毒反应，这两者对于控制MTB感染都很重要。另外，γδT细胞功能在MTB感染期间具有保护功能并可以促进常规的分化簇CD4+和CD8 + T细胞应答。γδT细胞在MTB的固有免疫反应和适应性免疫反应方面发挥重要作用。</w:t>
            </w:r>
          </w:p>
          <w:p w14:paraId="6CCA1C3D">
            <w:pPr>
              <w:spacing w:line="360" w:lineRule="auto"/>
              <w:jc w:val="left"/>
              <w:rPr>
                <w:rFonts w:hint="eastAsia" w:ascii="仿宋" w:hAnsi="仿宋" w:eastAsia="仿宋"/>
                <w:sz w:val="24"/>
                <w:szCs w:val="28"/>
              </w:rPr>
            </w:pPr>
            <w:r>
              <w:rPr>
                <w:rFonts w:hint="eastAsia" w:ascii="仿宋" w:hAnsi="仿宋" w:eastAsia="仿宋"/>
                <w:sz w:val="24"/>
                <w:szCs w:val="28"/>
              </w:rPr>
              <w:t>4.2 γδT细胞免疫治疗可用于结核病，尤其是MDR-TB。Qaqish A等证实了Vγ9/Vδ2T细胞亚群对结MTB和其他感染具有保护作用的原理。他们使用过继细胞转移策略，发现在接受大剂量（500CFU）MTB感染后第1周和第3周接受Vγ9/Vδ2T细胞转移的猕猴实验组，显示肺叶和肺外器官MTB感染负荷水平显著低于对照组，且没有或减少了MTB传播到其他肺叶或其他组织；相比之下，对照显示了广泛的结核病传播。他们认为Vγ9/Vδ2T细胞亚群可以用在TB疫苗开发或HDT的合理设计中。在结核潜伏感染（LTBI）或活动性结核病（ATB），γδT细胞发挥功能需要γδT细胞向肺部运输，而El D S等观察到γδT细胞功能特异性地被活性结核病原位损伤，这表明结核病期间的肺泡环境可能影响了γδT的驻留。Cassidy J P等]认为固有免疫能潜在地用于结核病控制的新疫苗开发和免疫治疗方法中，特别在MDR/XDR-TB方面。Alsaad N等的系统综述研究也认为新型HDT能积极应用于MDR-TB。</w:t>
            </w:r>
          </w:p>
          <w:p w14:paraId="19FA2949">
            <w:pPr>
              <w:spacing w:line="360" w:lineRule="auto"/>
              <w:jc w:val="left"/>
              <w:rPr>
                <w:rFonts w:hint="eastAsia" w:ascii="仿宋" w:hAnsi="仿宋" w:eastAsia="仿宋"/>
                <w:sz w:val="24"/>
                <w:szCs w:val="28"/>
              </w:rPr>
            </w:pPr>
            <w:r>
              <w:rPr>
                <w:rFonts w:hint="eastAsia" w:ascii="仿宋" w:hAnsi="仿宋" w:eastAsia="仿宋"/>
                <w:sz w:val="24"/>
                <w:szCs w:val="28"/>
              </w:rPr>
              <w:t>4.3 结核病患者自身的γδT细胞功能是受损的，可能需要异体供给。Ordway D J等发现，发展成结核病的医务人员显示出一种早期代偿机制，其涉及γδT细胞的裂解反应的增加，但不会阻止结核病的发生。Juno J A等发现终末期肾病患者中γδT细胞群存在显著紊乱，特别是合并结核潜伏感染的患者。</w:t>
            </w:r>
          </w:p>
          <w:p w14:paraId="76A56451">
            <w:pPr>
              <w:spacing w:line="360" w:lineRule="auto"/>
              <w:jc w:val="left"/>
              <w:rPr>
                <w:rFonts w:hint="eastAsia" w:ascii="仿宋" w:hAnsi="仿宋" w:eastAsia="仿宋"/>
                <w:sz w:val="24"/>
                <w:szCs w:val="28"/>
              </w:rPr>
            </w:pPr>
            <w:r>
              <w:rPr>
                <w:rFonts w:hint="eastAsia" w:ascii="仿宋" w:hAnsi="仿宋" w:eastAsia="仿宋"/>
                <w:sz w:val="24"/>
                <w:szCs w:val="28"/>
              </w:rPr>
              <w:t>相较于传统抗结核药物在治疗结核病方面遇到的巨大障碍，以及在短期内似乎难以逾越的现状，宿主导向治疗的蓬勃发展带来了新的希望。许多具有潜能的HDT方法正在进行临床试验以取得循证证据，γδT细胞免疫治疗即为其中重要一员。鉴于γδT细胞免疫治疗在肿瘤、病毒性肝炎等领域的长足进展，其安全性、有效性均已得到证实，而现有充分证据表明γδT细胞具有对抗结核菌感染的能力，本研究率先将其应用于耐多药肺结核治疗领域，具有极大的临床价值和广阔的应用前景。</w:t>
            </w:r>
          </w:p>
          <w:p w14:paraId="4B560BE3">
            <w:pPr>
              <w:spacing w:line="360" w:lineRule="auto"/>
              <w:jc w:val="left"/>
              <w:rPr>
                <w:rFonts w:hint="eastAsia" w:ascii="仿宋" w:hAnsi="仿宋" w:eastAsia="仿宋"/>
                <w:sz w:val="24"/>
                <w:szCs w:val="28"/>
              </w:rPr>
            </w:pPr>
          </w:p>
          <w:p w14:paraId="127B1027">
            <w:pPr>
              <w:spacing w:line="360" w:lineRule="auto"/>
              <w:jc w:val="left"/>
              <w:rPr>
                <w:rFonts w:hint="eastAsia" w:ascii="仿宋" w:hAnsi="仿宋" w:eastAsia="仿宋"/>
                <w:b/>
                <w:bCs/>
                <w:sz w:val="24"/>
                <w:szCs w:val="28"/>
              </w:rPr>
            </w:pPr>
            <w:r>
              <w:rPr>
                <w:rFonts w:hint="eastAsia" w:ascii="仿宋" w:hAnsi="仿宋" w:eastAsia="仿宋"/>
                <w:b/>
                <w:bCs/>
                <w:sz w:val="24"/>
                <w:szCs w:val="28"/>
                <w:lang w:val="en-US" w:eastAsia="zh-CN"/>
              </w:rPr>
              <w:t>（三）</w:t>
            </w:r>
            <w:r>
              <w:rPr>
                <w:rFonts w:hint="eastAsia" w:ascii="仿宋" w:hAnsi="仿宋" w:eastAsia="仿宋"/>
                <w:b/>
                <w:bCs/>
                <w:sz w:val="24"/>
                <w:szCs w:val="28"/>
              </w:rPr>
              <w:t>课题研究的科学问题和研究意义</w:t>
            </w:r>
          </w:p>
          <w:p w14:paraId="65FF2E46">
            <w:pPr>
              <w:spacing w:line="360" w:lineRule="auto"/>
              <w:jc w:val="left"/>
              <w:rPr>
                <w:rFonts w:hint="eastAsia" w:ascii="仿宋" w:hAnsi="仿宋" w:eastAsia="仿宋"/>
                <w:sz w:val="24"/>
                <w:szCs w:val="28"/>
              </w:rPr>
            </w:pPr>
            <w:r>
              <w:rPr>
                <w:rFonts w:hint="eastAsia" w:ascii="仿宋" w:hAnsi="仿宋" w:eastAsia="仿宋"/>
                <w:sz w:val="24"/>
                <w:szCs w:val="28"/>
              </w:rPr>
              <w:t>1. 科学问题：耐多药肺结核患者的γδT细胞水平；γδT细胞治疗耐多药肺结核的安全性和有效性。</w:t>
            </w:r>
          </w:p>
          <w:p w14:paraId="2AB7EA72">
            <w:pPr>
              <w:spacing w:line="360" w:lineRule="auto"/>
              <w:jc w:val="left"/>
              <w:rPr>
                <w:rFonts w:ascii="仿宋" w:hAnsi="仿宋" w:eastAsia="仿宋"/>
                <w:sz w:val="24"/>
                <w:szCs w:val="28"/>
              </w:rPr>
            </w:pPr>
            <w:r>
              <w:rPr>
                <w:rFonts w:hint="eastAsia" w:ascii="仿宋" w:hAnsi="仿宋" w:eastAsia="仿宋"/>
                <w:sz w:val="24"/>
                <w:szCs w:val="28"/>
              </w:rPr>
              <w:t>2. 研究意义：增加一种耐多药肺结核的辅助治疗手段，保证安全性，提高治愈率、减少复发率。</w:t>
            </w:r>
          </w:p>
        </w:tc>
      </w:tr>
      <w:tr w14:paraId="737BFC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875" w:hRule="atLeast"/>
          <w:jc w:val="center"/>
        </w:trPr>
        <w:tc>
          <w:tcPr>
            <w:tcW w:w="8522" w:type="dxa"/>
            <w:gridSpan w:val="4"/>
            <w:tcBorders>
              <w:top w:val="single" w:color="auto" w:sz="4" w:space="0"/>
              <w:left w:val="single" w:color="auto" w:sz="12" w:space="0"/>
              <w:right w:val="single" w:color="auto" w:sz="12" w:space="0"/>
            </w:tcBorders>
            <w:shd w:val="clear" w:color="auto" w:fill="auto"/>
          </w:tcPr>
          <w:p w14:paraId="60C598D4">
            <w:pPr>
              <w:spacing w:line="360" w:lineRule="auto"/>
              <w:jc w:val="left"/>
              <w:rPr>
                <w:rFonts w:ascii="仿宋" w:hAnsi="仿宋" w:eastAsia="仿宋"/>
                <w:sz w:val="24"/>
                <w:szCs w:val="28"/>
              </w:rPr>
            </w:pPr>
            <w:r>
              <w:rPr>
                <w:rFonts w:hint="eastAsia" w:ascii="仿宋" w:hAnsi="仿宋" w:eastAsia="仿宋"/>
                <w:sz w:val="24"/>
                <w:szCs w:val="28"/>
              </w:rPr>
              <w:t>三、课题研究内容及</w:t>
            </w:r>
            <w:r>
              <w:rPr>
                <w:rFonts w:ascii="仿宋" w:hAnsi="仿宋" w:eastAsia="仿宋"/>
                <w:sz w:val="24"/>
                <w:szCs w:val="28"/>
              </w:rPr>
              <w:t>创新</w:t>
            </w:r>
            <w:r>
              <w:rPr>
                <w:rFonts w:hint="eastAsia" w:ascii="仿宋" w:hAnsi="仿宋" w:eastAsia="仿宋"/>
                <w:sz w:val="24"/>
                <w:szCs w:val="28"/>
              </w:rPr>
              <w:t>点</w:t>
            </w:r>
          </w:p>
          <w:p w14:paraId="5D5D4A3F">
            <w:pPr>
              <w:spacing w:line="360" w:lineRule="auto"/>
              <w:jc w:val="left"/>
              <w:rPr>
                <w:rFonts w:hint="eastAsia" w:ascii="仿宋" w:hAnsi="仿宋" w:eastAsia="仿宋"/>
                <w:sz w:val="24"/>
                <w:szCs w:val="28"/>
              </w:rPr>
            </w:pPr>
            <w:r>
              <w:rPr>
                <w:rFonts w:hint="eastAsia" w:ascii="仿宋" w:hAnsi="仿宋" w:eastAsia="仿宋"/>
                <w:sz w:val="24"/>
                <w:szCs w:val="28"/>
              </w:rPr>
              <w:t>（一） 目的</w:t>
            </w:r>
          </w:p>
          <w:p w14:paraId="4EDBA44C">
            <w:pPr>
              <w:spacing w:line="360" w:lineRule="auto"/>
              <w:jc w:val="left"/>
              <w:rPr>
                <w:rFonts w:hint="eastAsia" w:ascii="仿宋" w:hAnsi="仿宋" w:eastAsia="仿宋"/>
                <w:sz w:val="24"/>
                <w:szCs w:val="28"/>
              </w:rPr>
            </w:pPr>
            <w:r>
              <w:rPr>
                <w:rFonts w:hint="eastAsia" w:ascii="仿宋" w:hAnsi="仿宋" w:eastAsia="仿宋"/>
                <w:sz w:val="24"/>
                <w:szCs w:val="28"/>
              </w:rPr>
              <w:t>评估耐多药肺结核患者的γδT细胞水平；评估γδT细胞治疗耐多药肺结核的安全性和有效性。</w:t>
            </w:r>
          </w:p>
          <w:p w14:paraId="7C35F60E">
            <w:pPr>
              <w:spacing w:line="360" w:lineRule="auto"/>
              <w:jc w:val="left"/>
              <w:rPr>
                <w:rFonts w:hint="eastAsia" w:ascii="仿宋" w:hAnsi="仿宋" w:eastAsia="仿宋"/>
                <w:sz w:val="24"/>
                <w:szCs w:val="28"/>
              </w:rPr>
            </w:pPr>
            <w:r>
              <w:rPr>
                <w:rFonts w:hint="eastAsia" w:ascii="仿宋" w:hAnsi="仿宋" w:eastAsia="仿宋"/>
                <w:sz w:val="24"/>
                <w:szCs w:val="28"/>
              </w:rPr>
              <w:t>（二） 内容</w:t>
            </w:r>
          </w:p>
          <w:p w14:paraId="7A828450">
            <w:pPr>
              <w:spacing w:line="360" w:lineRule="auto"/>
              <w:jc w:val="left"/>
              <w:rPr>
                <w:rFonts w:hint="eastAsia" w:ascii="仿宋" w:hAnsi="仿宋" w:eastAsia="仿宋"/>
                <w:sz w:val="24"/>
                <w:szCs w:val="28"/>
              </w:rPr>
            </w:pPr>
            <w:r>
              <w:rPr>
                <w:rFonts w:hint="eastAsia" w:ascii="仿宋" w:hAnsi="仿宋" w:eastAsia="仿宋"/>
                <w:sz w:val="24"/>
                <w:szCs w:val="28"/>
              </w:rPr>
              <w:t>1. 建立耐多药肺结核患者淋巴细胞（含γδT细胞）水平评价体系。</w:t>
            </w:r>
          </w:p>
          <w:p w14:paraId="55BC1D5A">
            <w:pPr>
              <w:spacing w:line="360" w:lineRule="auto"/>
              <w:jc w:val="left"/>
              <w:rPr>
                <w:rFonts w:hint="eastAsia" w:ascii="仿宋" w:hAnsi="仿宋" w:eastAsia="仿宋"/>
                <w:sz w:val="24"/>
                <w:szCs w:val="28"/>
              </w:rPr>
            </w:pPr>
            <w:r>
              <w:rPr>
                <w:rFonts w:hint="eastAsia" w:ascii="仿宋" w:hAnsi="仿宋" w:eastAsia="仿宋"/>
                <w:sz w:val="24"/>
                <w:szCs w:val="28"/>
              </w:rPr>
              <w:t>2. 建立γδT细胞体外扩增体系。我院研究所拥有国际标准的细胞生物治疗实验室。</w:t>
            </w:r>
          </w:p>
          <w:p w14:paraId="0A99EB4B">
            <w:pPr>
              <w:spacing w:line="360" w:lineRule="auto"/>
              <w:jc w:val="left"/>
              <w:rPr>
                <w:rFonts w:hint="eastAsia" w:ascii="仿宋" w:hAnsi="仿宋" w:eastAsia="仿宋"/>
                <w:sz w:val="24"/>
                <w:szCs w:val="28"/>
              </w:rPr>
            </w:pPr>
            <w:r>
              <w:rPr>
                <w:rFonts w:hint="eastAsia" w:ascii="仿宋" w:hAnsi="仿宋" w:eastAsia="仿宋"/>
                <w:sz w:val="24"/>
                <w:szCs w:val="28"/>
              </w:rPr>
              <w:t>3. 设计γδT细胞治疗干预方案。将来自健康人的同种异体γδT细胞（Vγ9/Vδ2亚群）应用于耐多药肺结核患者的临床治疗。</w:t>
            </w:r>
          </w:p>
          <w:p w14:paraId="70F6C29C">
            <w:pPr>
              <w:spacing w:line="360" w:lineRule="auto"/>
              <w:jc w:val="left"/>
              <w:rPr>
                <w:rFonts w:hint="eastAsia" w:ascii="仿宋" w:hAnsi="仿宋" w:eastAsia="仿宋"/>
                <w:sz w:val="24"/>
                <w:szCs w:val="28"/>
              </w:rPr>
            </w:pPr>
            <w:r>
              <w:rPr>
                <w:rFonts w:hint="eastAsia" w:ascii="仿宋" w:hAnsi="仿宋" w:eastAsia="仿宋"/>
                <w:sz w:val="24"/>
                <w:szCs w:val="28"/>
              </w:rPr>
              <w:t>4. 建立综合疗效评价体系。评估γδT细胞治疗耐多药肺结核的安全性和有效性，包括不良事件发生率、严重不良事件发生率；疗程6月末结核菌培养阴转率、6月内培养阴转速度；免疫功能评价；肠道微生态检测。</w:t>
            </w:r>
          </w:p>
          <w:p w14:paraId="6F3ECAEB">
            <w:pPr>
              <w:spacing w:line="360" w:lineRule="auto"/>
              <w:jc w:val="left"/>
              <w:rPr>
                <w:rFonts w:hint="eastAsia" w:ascii="仿宋" w:hAnsi="仿宋" w:eastAsia="仿宋"/>
                <w:sz w:val="24"/>
                <w:szCs w:val="28"/>
                <w:lang w:val="en-US" w:eastAsia="zh-CN"/>
              </w:rPr>
            </w:pPr>
            <w:r>
              <w:rPr>
                <w:rFonts w:hint="eastAsia" w:ascii="仿宋" w:hAnsi="仿宋" w:eastAsia="仿宋"/>
                <w:sz w:val="24"/>
                <w:szCs w:val="28"/>
                <w:lang w:eastAsia="zh-CN"/>
              </w:rPr>
              <w:t>（</w:t>
            </w:r>
            <w:r>
              <w:rPr>
                <w:rFonts w:hint="eastAsia" w:ascii="仿宋" w:hAnsi="仿宋" w:eastAsia="仿宋"/>
                <w:sz w:val="24"/>
                <w:szCs w:val="28"/>
                <w:lang w:val="en-US" w:eastAsia="zh-CN"/>
              </w:rPr>
              <w:t>三</w:t>
            </w:r>
            <w:r>
              <w:rPr>
                <w:rFonts w:hint="eastAsia" w:ascii="仿宋" w:hAnsi="仿宋" w:eastAsia="仿宋"/>
                <w:sz w:val="24"/>
                <w:szCs w:val="28"/>
                <w:lang w:eastAsia="zh-CN"/>
              </w:rPr>
              <w:t>）</w:t>
            </w:r>
            <w:r>
              <w:rPr>
                <w:rFonts w:hint="eastAsia" w:ascii="仿宋" w:hAnsi="仿宋" w:eastAsia="仿宋"/>
                <w:sz w:val="24"/>
                <w:szCs w:val="28"/>
                <w:lang w:val="en-US" w:eastAsia="zh-CN"/>
              </w:rPr>
              <w:t>创新性</w:t>
            </w:r>
          </w:p>
          <w:p w14:paraId="04B1F9B3">
            <w:pPr>
              <w:spacing w:line="360" w:lineRule="auto"/>
              <w:jc w:val="left"/>
              <w:rPr>
                <w:rFonts w:hint="eastAsia" w:ascii="仿宋" w:hAnsi="仿宋" w:eastAsia="仿宋"/>
                <w:sz w:val="24"/>
                <w:szCs w:val="28"/>
              </w:rPr>
            </w:pPr>
            <w:r>
              <w:rPr>
                <w:rFonts w:hint="eastAsia" w:ascii="仿宋" w:hAnsi="仿宋" w:eastAsia="仿宋"/>
                <w:sz w:val="24"/>
                <w:szCs w:val="28"/>
              </w:rPr>
              <w:t>1. 在国内外，首次以临床试验的形式验证γδT细胞免疫治疗在耐多药肺结核的安全性和有效性。</w:t>
            </w:r>
          </w:p>
          <w:p w14:paraId="5647C206">
            <w:pPr>
              <w:spacing w:line="360" w:lineRule="auto"/>
              <w:jc w:val="left"/>
              <w:rPr>
                <w:rFonts w:ascii="仿宋" w:hAnsi="仿宋" w:eastAsia="仿宋"/>
                <w:sz w:val="24"/>
                <w:szCs w:val="28"/>
              </w:rPr>
            </w:pPr>
            <w:r>
              <w:rPr>
                <w:rFonts w:hint="eastAsia" w:ascii="仿宋" w:hAnsi="仿宋" w:eastAsia="仿宋"/>
                <w:sz w:val="24"/>
                <w:szCs w:val="28"/>
              </w:rPr>
              <w:t>2. 在国内外，首次评估耐多药肺结核的γδT细胞水平。</w:t>
            </w:r>
          </w:p>
          <w:p w14:paraId="19EB5080">
            <w:pPr>
              <w:wordWrap w:val="0"/>
              <w:spacing w:line="360" w:lineRule="auto"/>
              <w:jc w:val="right"/>
              <w:rPr>
                <w:rFonts w:ascii="仿宋" w:hAnsi="仿宋" w:eastAsia="仿宋"/>
                <w:sz w:val="24"/>
                <w:szCs w:val="28"/>
              </w:rPr>
            </w:pPr>
          </w:p>
        </w:tc>
      </w:tr>
      <w:tr w14:paraId="687242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250" w:hRule="atLeast"/>
          <w:jc w:val="center"/>
        </w:trPr>
        <w:tc>
          <w:tcPr>
            <w:tcW w:w="8522" w:type="dxa"/>
            <w:gridSpan w:val="4"/>
            <w:tcBorders>
              <w:left w:val="single" w:color="auto" w:sz="12" w:space="0"/>
              <w:right w:val="single" w:color="auto" w:sz="12" w:space="0"/>
            </w:tcBorders>
            <w:shd w:val="clear" w:color="auto" w:fill="auto"/>
          </w:tcPr>
          <w:p w14:paraId="7699E2FF">
            <w:pPr>
              <w:spacing w:line="360" w:lineRule="auto"/>
              <w:jc w:val="left"/>
              <w:rPr>
                <w:rFonts w:ascii="仿宋" w:hAnsi="仿宋" w:eastAsia="仿宋"/>
                <w:sz w:val="24"/>
                <w:szCs w:val="28"/>
              </w:rPr>
            </w:pPr>
            <w:r>
              <w:rPr>
                <w:rFonts w:hint="eastAsia" w:ascii="仿宋" w:hAnsi="仿宋" w:eastAsia="仿宋"/>
                <w:sz w:val="24"/>
                <w:szCs w:val="28"/>
              </w:rPr>
              <w:t>四、课题研究的方法</w:t>
            </w:r>
            <w:r>
              <w:rPr>
                <w:rFonts w:ascii="仿宋" w:hAnsi="仿宋" w:eastAsia="仿宋"/>
                <w:sz w:val="24"/>
                <w:szCs w:val="28"/>
              </w:rPr>
              <w:t>及</w:t>
            </w:r>
            <w:r>
              <w:rPr>
                <w:rFonts w:hint="eastAsia" w:ascii="仿宋" w:hAnsi="仿宋" w:eastAsia="仿宋"/>
                <w:sz w:val="24"/>
                <w:szCs w:val="28"/>
              </w:rPr>
              <w:t>技术路线</w:t>
            </w:r>
          </w:p>
          <w:p w14:paraId="6D145A24">
            <w:pPr>
              <w:spacing w:line="360" w:lineRule="auto"/>
              <w:jc w:val="left"/>
              <w:rPr>
                <w:rFonts w:hint="eastAsia" w:ascii="仿宋" w:hAnsi="仿宋" w:eastAsia="仿宋"/>
                <w:sz w:val="24"/>
                <w:szCs w:val="28"/>
              </w:rPr>
            </w:pPr>
          </w:p>
          <w:p w14:paraId="366A3EB1">
            <w:pPr>
              <w:spacing w:line="360" w:lineRule="auto"/>
              <w:jc w:val="left"/>
              <w:rPr>
                <w:rFonts w:hint="eastAsia" w:ascii="仿宋" w:hAnsi="仿宋" w:eastAsia="仿宋"/>
                <w:sz w:val="24"/>
                <w:szCs w:val="28"/>
              </w:rPr>
            </w:pPr>
            <w:r>
              <w:rPr>
                <w:rFonts w:hint="eastAsia" w:ascii="仿宋" w:hAnsi="仿宋" w:eastAsia="仿宋"/>
                <w:sz w:val="24"/>
                <w:szCs w:val="28"/>
              </w:rPr>
              <w:t>第一部分 评估耐多药肺结核患者的γδT细胞水平</w:t>
            </w:r>
          </w:p>
          <w:p w14:paraId="0F336FFF">
            <w:pPr>
              <w:spacing w:line="360" w:lineRule="auto"/>
              <w:jc w:val="left"/>
              <w:rPr>
                <w:rFonts w:hint="eastAsia" w:ascii="仿宋" w:hAnsi="仿宋" w:eastAsia="仿宋"/>
                <w:sz w:val="24"/>
                <w:szCs w:val="28"/>
              </w:rPr>
            </w:pPr>
            <w:r>
              <w:rPr>
                <w:rFonts w:hint="eastAsia" w:ascii="仿宋" w:hAnsi="仿宋" w:eastAsia="仿宋"/>
                <w:sz w:val="24"/>
                <w:szCs w:val="28"/>
              </w:rPr>
              <w:t>1. 研究方法</w:t>
            </w:r>
          </w:p>
          <w:p w14:paraId="3DCAF831">
            <w:pPr>
              <w:spacing w:line="360" w:lineRule="auto"/>
              <w:jc w:val="left"/>
              <w:rPr>
                <w:rFonts w:hint="eastAsia" w:ascii="仿宋" w:hAnsi="仿宋" w:eastAsia="仿宋"/>
                <w:sz w:val="24"/>
                <w:szCs w:val="28"/>
              </w:rPr>
            </w:pPr>
            <w:r>
              <w:rPr>
                <w:rFonts w:hint="eastAsia" w:ascii="仿宋" w:hAnsi="仿宋" w:eastAsia="仿宋"/>
                <w:sz w:val="24"/>
                <w:szCs w:val="28"/>
              </w:rPr>
              <w:t>1.1 采用横断面研究方法。单中心。</w:t>
            </w:r>
          </w:p>
          <w:p w14:paraId="520AE271">
            <w:pPr>
              <w:spacing w:line="360" w:lineRule="auto"/>
              <w:jc w:val="left"/>
              <w:rPr>
                <w:rFonts w:hint="eastAsia" w:ascii="仿宋" w:hAnsi="仿宋" w:eastAsia="仿宋"/>
                <w:sz w:val="24"/>
                <w:szCs w:val="28"/>
              </w:rPr>
            </w:pPr>
            <w:r>
              <w:rPr>
                <w:rFonts w:hint="eastAsia" w:ascii="仿宋" w:hAnsi="仿宋" w:eastAsia="仿宋"/>
                <w:sz w:val="24"/>
                <w:szCs w:val="28"/>
              </w:rPr>
              <w:t>1.2 检测健康人、药物敏感性肺结核、耐多药肺结核患者的外周血γδT细胞指标，进行比较。</w:t>
            </w:r>
          </w:p>
          <w:p w14:paraId="17282DEF">
            <w:pPr>
              <w:spacing w:line="360" w:lineRule="auto"/>
              <w:jc w:val="left"/>
              <w:rPr>
                <w:rFonts w:hint="eastAsia" w:ascii="仿宋" w:hAnsi="仿宋" w:eastAsia="仿宋"/>
                <w:sz w:val="24"/>
                <w:szCs w:val="28"/>
              </w:rPr>
            </w:pPr>
            <w:r>
              <w:rPr>
                <w:rFonts w:hint="eastAsia" w:ascii="仿宋" w:hAnsi="仿宋" w:eastAsia="仿宋"/>
                <w:sz w:val="24"/>
                <w:szCs w:val="28"/>
              </w:rPr>
              <w:t>1.3 γδT细胞功能分析：Vδ 1+；Vδ 2+；Vδ 1+/ Vδ 2+；Vδ 2+ NKG2D+；Vδ 2+ PD1+；Vδ 2+ NKP30+；Vδ 2+ NKP46+；Vδ 1+ NKG2D+；Vδ 1 +PD1+；Vδ 1+ NKP30+；Vδ 1+ NKP46+。</w:t>
            </w:r>
          </w:p>
          <w:p w14:paraId="3FA2041D">
            <w:pPr>
              <w:spacing w:line="360" w:lineRule="auto"/>
              <w:jc w:val="left"/>
              <w:rPr>
                <w:rFonts w:hint="eastAsia" w:ascii="仿宋" w:hAnsi="仿宋" w:eastAsia="仿宋"/>
                <w:sz w:val="24"/>
                <w:szCs w:val="28"/>
              </w:rPr>
            </w:pPr>
            <w:r>
              <w:rPr>
                <w:rFonts w:hint="eastAsia" w:ascii="仿宋" w:hAnsi="仿宋" w:eastAsia="仿宋"/>
                <w:sz w:val="24"/>
                <w:szCs w:val="28"/>
              </w:rPr>
              <w:t>第二部分 评估γδT细胞治疗耐多药肺结核的安全性和有效性</w:t>
            </w:r>
          </w:p>
          <w:p w14:paraId="09A53A59">
            <w:pPr>
              <w:spacing w:line="360" w:lineRule="auto"/>
              <w:jc w:val="left"/>
              <w:rPr>
                <w:rFonts w:hint="eastAsia" w:ascii="仿宋" w:hAnsi="仿宋" w:eastAsia="仿宋"/>
                <w:sz w:val="24"/>
                <w:szCs w:val="28"/>
              </w:rPr>
            </w:pPr>
            <w:r>
              <w:rPr>
                <w:rFonts w:hint="eastAsia" w:ascii="仿宋" w:hAnsi="仿宋" w:eastAsia="仿宋"/>
                <w:sz w:val="24"/>
                <w:szCs w:val="28"/>
              </w:rPr>
              <w:t>1. 研究方法</w:t>
            </w:r>
          </w:p>
          <w:p w14:paraId="6815B87C">
            <w:pPr>
              <w:spacing w:line="360" w:lineRule="auto"/>
              <w:jc w:val="left"/>
              <w:rPr>
                <w:rFonts w:hint="eastAsia" w:ascii="仿宋" w:hAnsi="仿宋" w:eastAsia="仿宋"/>
                <w:sz w:val="24"/>
                <w:szCs w:val="28"/>
              </w:rPr>
            </w:pPr>
            <w:r>
              <w:rPr>
                <w:rFonts w:hint="eastAsia" w:ascii="仿宋" w:hAnsi="仿宋" w:eastAsia="仿宋"/>
                <w:sz w:val="24"/>
                <w:szCs w:val="28"/>
              </w:rPr>
              <w:t>1.1 采用临床试验方法。单中心、小样本、随机对照、开放性、II期临床试验。</w:t>
            </w:r>
          </w:p>
          <w:p w14:paraId="0CFDB7E4">
            <w:pPr>
              <w:spacing w:line="360" w:lineRule="auto"/>
              <w:jc w:val="left"/>
              <w:rPr>
                <w:rFonts w:hint="eastAsia" w:ascii="仿宋" w:hAnsi="仿宋" w:eastAsia="仿宋"/>
                <w:sz w:val="24"/>
                <w:szCs w:val="28"/>
              </w:rPr>
            </w:pPr>
            <w:r>
              <w:rPr>
                <w:rFonts w:hint="eastAsia" w:ascii="仿宋" w:hAnsi="仿宋" w:eastAsia="仿宋"/>
                <w:sz w:val="24"/>
                <w:szCs w:val="28"/>
              </w:rPr>
              <w:t>1.2 临床试验流程（详见《γδT细胞临床治疗流程》）：耐多药肺结核患者（实验组）在患者及家属全面了解及完全同意（签署知情同意书）的条件下，接受标准耐多药抗结核方案，同时进行γδT细胞免疫治疗。γδT细胞的体外扩增将在已经取得资质认证的细胞培养间进行。以6个月为一个疗程，每半个月静脉回输一次异体γδT细胞。定期采集安全性和有效性指标。</w:t>
            </w:r>
          </w:p>
          <w:p w14:paraId="4E3FB2FE">
            <w:pPr>
              <w:spacing w:line="360" w:lineRule="auto"/>
              <w:jc w:val="left"/>
              <w:rPr>
                <w:rFonts w:hint="eastAsia" w:ascii="仿宋" w:hAnsi="仿宋" w:eastAsia="仿宋"/>
                <w:sz w:val="24"/>
                <w:szCs w:val="28"/>
              </w:rPr>
            </w:pPr>
            <w:r>
              <w:rPr>
                <w:rFonts w:hint="eastAsia" w:ascii="仿宋" w:hAnsi="仿宋" w:eastAsia="仿宋"/>
                <w:sz w:val="24"/>
                <w:szCs w:val="28"/>
              </w:rPr>
              <w:t>1.3 γδT细胞的体外扩增及回输：</w:t>
            </w:r>
          </w:p>
          <w:p w14:paraId="60A02A97">
            <w:pPr>
              <w:spacing w:line="360" w:lineRule="auto"/>
              <w:jc w:val="left"/>
              <w:rPr>
                <w:rFonts w:hint="eastAsia" w:ascii="仿宋" w:hAnsi="仿宋" w:eastAsia="仿宋"/>
                <w:sz w:val="24"/>
                <w:szCs w:val="28"/>
              </w:rPr>
            </w:pPr>
            <w:r>
              <w:rPr>
                <w:rFonts w:hint="eastAsia" w:ascii="仿宋" w:hAnsi="仿宋" w:eastAsia="仿宋"/>
                <w:sz w:val="24"/>
                <w:szCs w:val="28"/>
              </w:rPr>
              <w:t>1.3.1 γδT细胞的培养和扩增</w:t>
            </w:r>
          </w:p>
          <w:p w14:paraId="29CBEE22">
            <w:pPr>
              <w:spacing w:line="360" w:lineRule="auto"/>
              <w:jc w:val="left"/>
              <w:rPr>
                <w:rFonts w:hint="eastAsia" w:ascii="仿宋" w:hAnsi="仿宋" w:eastAsia="仿宋"/>
                <w:sz w:val="24"/>
                <w:szCs w:val="28"/>
              </w:rPr>
            </w:pPr>
            <w:r>
              <w:rPr>
                <w:rFonts w:hint="eastAsia" w:ascii="仿宋" w:hAnsi="仿宋" w:eastAsia="仿宋"/>
                <w:sz w:val="24"/>
                <w:szCs w:val="28"/>
              </w:rPr>
              <w:t>(1) 从患者的健康亲属抽取100mL外周血，分离PBMC，加入含一定浓度的IL-2、Zoledronate及含10%FBS、1%双抗的1640培养基，吹匀，以3×106个/mL/孔的PBMC铺在24孔培养板上，置于37℃、5% CO2 的培养箱中孵育24h。</w:t>
            </w:r>
          </w:p>
          <w:p w14:paraId="78C4DB7C">
            <w:pPr>
              <w:spacing w:line="360" w:lineRule="auto"/>
              <w:jc w:val="left"/>
              <w:rPr>
                <w:rFonts w:hint="eastAsia" w:ascii="仿宋" w:hAnsi="仿宋" w:eastAsia="仿宋"/>
                <w:sz w:val="24"/>
                <w:szCs w:val="28"/>
              </w:rPr>
            </w:pPr>
            <w:r>
              <w:rPr>
                <w:rFonts w:hint="eastAsia" w:ascii="仿宋" w:hAnsi="仿宋" w:eastAsia="仿宋"/>
                <w:sz w:val="24"/>
                <w:szCs w:val="28"/>
              </w:rPr>
              <w:t>(2) 24h后，每孔再加入一定浓度的B因子、C因子，摇匀，于37℃、5%CO2的培养箱中培养。此后每隔1天换一次培养基，补加一定浓度的IL-2、B因子及C因子。</w:t>
            </w:r>
          </w:p>
          <w:p w14:paraId="1E4378D2">
            <w:pPr>
              <w:spacing w:line="360" w:lineRule="auto"/>
              <w:jc w:val="left"/>
              <w:rPr>
                <w:rFonts w:hint="eastAsia" w:ascii="仿宋" w:hAnsi="仿宋" w:eastAsia="仿宋"/>
                <w:sz w:val="24"/>
                <w:szCs w:val="28"/>
              </w:rPr>
            </w:pPr>
            <w:r>
              <w:rPr>
                <w:rFonts w:hint="eastAsia" w:ascii="仿宋" w:hAnsi="仿宋" w:eastAsia="仿宋"/>
                <w:sz w:val="24"/>
                <w:szCs w:val="28"/>
              </w:rPr>
              <w:t>(3) 细胞培养第7天，吸取100 ul细胞悬液，2000rpm，离心5min,弃上清，加CD3、Vδ2单克隆抗体，4℃避光孵育30min，PBS洗1遍，流式细胞仪检测γδT细胞的比例。</w:t>
            </w:r>
          </w:p>
          <w:p w14:paraId="394B7474">
            <w:pPr>
              <w:spacing w:line="360" w:lineRule="auto"/>
              <w:jc w:val="left"/>
              <w:rPr>
                <w:rFonts w:hint="eastAsia" w:ascii="仿宋" w:hAnsi="仿宋" w:eastAsia="仿宋"/>
                <w:sz w:val="24"/>
                <w:szCs w:val="28"/>
              </w:rPr>
            </w:pPr>
            <w:r>
              <w:rPr>
                <w:rFonts w:hint="eastAsia" w:ascii="仿宋" w:hAnsi="仿宋" w:eastAsia="仿宋"/>
                <w:sz w:val="24"/>
                <w:szCs w:val="28"/>
              </w:rPr>
              <w:t>(4) 细胞培养第10天，再次检测γδT细胞的比例，同时吸取一定量细胞悬液送至检验科检测有无细菌、支原体、衣原体、内毒素等污染。</w:t>
            </w:r>
          </w:p>
          <w:p w14:paraId="250433A5">
            <w:pPr>
              <w:spacing w:line="360" w:lineRule="auto"/>
              <w:jc w:val="left"/>
              <w:rPr>
                <w:rFonts w:hint="eastAsia" w:ascii="仿宋" w:hAnsi="仿宋" w:eastAsia="仿宋"/>
                <w:sz w:val="24"/>
                <w:szCs w:val="28"/>
              </w:rPr>
            </w:pPr>
            <w:r>
              <w:rPr>
                <w:rFonts w:hint="eastAsia" w:ascii="仿宋" w:hAnsi="仿宋" w:eastAsia="仿宋"/>
                <w:sz w:val="24"/>
                <w:szCs w:val="28"/>
              </w:rPr>
              <w:t>(5) 第12天收集细胞，生理盐水洗三遍，生理盐水重悬，细胞计数，吸取不小于1×108个细胞入50mL生理盐水中，再加入5mL人白蛋白，混匀，注入回输袋，30min-40min内完成细胞回输。</w:t>
            </w:r>
          </w:p>
          <w:p w14:paraId="486A0179">
            <w:pPr>
              <w:spacing w:line="360" w:lineRule="auto"/>
              <w:jc w:val="left"/>
              <w:rPr>
                <w:rFonts w:hint="eastAsia" w:ascii="仿宋" w:hAnsi="仿宋" w:eastAsia="仿宋"/>
                <w:sz w:val="24"/>
                <w:szCs w:val="28"/>
              </w:rPr>
            </w:pPr>
            <w:r>
              <w:rPr>
                <w:rFonts w:hint="eastAsia" w:ascii="仿宋" w:hAnsi="仿宋" w:eastAsia="仿宋"/>
                <w:sz w:val="24"/>
                <w:szCs w:val="28"/>
              </w:rPr>
              <w:t>1.3.2 γδT细胞的表型检测</w:t>
            </w:r>
          </w:p>
          <w:p w14:paraId="35F13FF4">
            <w:pPr>
              <w:spacing w:line="360" w:lineRule="auto"/>
              <w:jc w:val="left"/>
              <w:rPr>
                <w:rFonts w:hint="eastAsia" w:ascii="仿宋" w:hAnsi="仿宋" w:eastAsia="仿宋"/>
                <w:sz w:val="24"/>
                <w:szCs w:val="28"/>
              </w:rPr>
            </w:pPr>
            <w:r>
              <w:rPr>
                <w:rFonts w:hint="eastAsia" w:ascii="仿宋" w:hAnsi="仿宋" w:eastAsia="仿宋"/>
                <w:sz w:val="24"/>
                <w:szCs w:val="28"/>
              </w:rPr>
              <w:t>(1) 吸取100uL扩增培养的细胞悬液入流式管，加2mLPBS，混匀，2000rpm，离心5min；</w:t>
            </w:r>
          </w:p>
          <w:p w14:paraId="3B7A432D">
            <w:pPr>
              <w:spacing w:line="360" w:lineRule="auto"/>
              <w:jc w:val="left"/>
              <w:rPr>
                <w:rFonts w:hint="eastAsia" w:ascii="仿宋" w:hAnsi="仿宋" w:eastAsia="仿宋"/>
                <w:sz w:val="24"/>
                <w:szCs w:val="28"/>
              </w:rPr>
            </w:pPr>
            <w:r>
              <w:rPr>
                <w:rFonts w:hint="eastAsia" w:ascii="仿宋" w:hAnsi="仿宋" w:eastAsia="仿宋"/>
                <w:sz w:val="24"/>
                <w:szCs w:val="28"/>
              </w:rPr>
              <w:t>(2) 弃上清，加入CD3、Vδ2、CD27、CD45RA、CD4、CD8、CD56、CD314单克隆抗体，4℃避光孵育30min，PBS洗1遍，流式细胞仪检测γδT细胞的表型，从而分析细胞杀伤功能。</w:t>
            </w:r>
          </w:p>
          <w:p w14:paraId="238C52AE">
            <w:pPr>
              <w:spacing w:line="360" w:lineRule="auto"/>
              <w:jc w:val="left"/>
              <w:rPr>
                <w:rFonts w:hint="eastAsia" w:ascii="仿宋" w:hAnsi="仿宋" w:eastAsia="仿宋"/>
                <w:sz w:val="24"/>
                <w:szCs w:val="28"/>
              </w:rPr>
            </w:pPr>
            <w:r>
              <w:rPr>
                <w:rFonts w:hint="eastAsia" w:ascii="仿宋" w:hAnsi="仿宋" w:eastAsia="仿宋"/>
                <w:sz w:val="24"/>
                <w:szCs w:val="28"/>
              </w:rPr>
              <w:t>2. 纳入病例</w:t>
            </w:r>
          </w:p>
          <w:p w14:paraId="19411B71">
            <w:pPr>
              <w:spacing w:line="360" w:lineRule="auto"/>
              <w:jc w:val="left"/>
              <w:rPr>
                <w:rFonts w:hint="eastAsia" w:ascii="仿宋" w:hAnsi="仿宋" w:eastAsia="仿宋"/>
                <w:sz w:val="24"/>
                <w:szCs w:val="28"/>
              </w:rPr>
            </w:pPr>
            <w:r>
              <w:rPr>
                <w:rFonts w:hint="eastAsia" w:ascii="仿宋" w:hAnsi="仿宋" w:eastAsia="仿宋"/>
                <w:sz w:val="24"/>
                <w:szCs w:val="28"/>
              </w:rPr>
              <w:t>2.1 纳入标准：2018年7月-2020年6月，在单中心（深圳市第三人民医院，含深圳市慢病院依据深圳市三级诊疗规范转诊而来的病例）连续纳入耐多药肺结核病例，要求：（1）18-65岁，无性别限制；（2）痰结核菌培养确诊为MDR-TB，排除XDR-TB；（3）有或无肺外结核病；（4）疗程内不会迁出本地，能遵计划复诊、随访；（5）育龄期妇女妊娠尿检阴性并同意在研究期间使用高效避孕措施（避孕套和或宫内节育器）。签署知情同意书后，随机分成实验组和对照组，对照组使用WHO耐多药结核病治疗指南所推荐的方案[19]，实验组在此标准方案基础上加用γδT细胞免疫治疗。</w:t>
            </w:r>
          </w:p>
          <w:p w14:paraId="6A708DAE">
            <w:pPr>
              <w:spacing w:line="360" w:lineRule="auto"/>
              <w:jc w:val="left"/>
              <w:rPr>
                <w:rFonts w:hint="eastAsia" w:ascii="仿宋" w:hAnsi="仿宋" w:eastAsia="仿宋"/>
                <w:sz w:val="24"/>
                <w:szCs w:val="28"/>
              </w:rPr>
            </w:pPr>
            <w:r>
              <w:rPr>
                <w:rFonts w:hint="eastAsia" w:ascii="仿宋" w:hAnsi="仿宋" w:eastAsia="仿宋"/>
                <w:sz w:val="24"/>
                <w:szCs w:val="28"/>
              </w:rPr>
              <w:t>2.2 排除标准：（1）对研究药物或其中任何成份有过敏史者；（2）目前有严重合并症或肾功能受损（血清肌酐超过正常上限的1.5倍）或肝功能受损（ALT和/或AST水平超过正常上限的3倍）；HB小于7.0 g/dL。血小板小于50x109/L；（3）合并糖尿病者，血糖控制不佳；（4）筛查诊断为异烟肼耐药或利福平耐药；（5）有严重心血管疾病，如心力衰竭，高血压（血压控制欠佳），心律失常或心肌梗死后状态；（6）妊娠期或哺乳期妇女；（7）Karnofsky评分＜50%；（8）在临床研究前3个月内参加过其他任何临床试验者；（9）根据课题组判断，受试者患有不适合参加本课题的或者可能使患者不能参加本课题全过程的任何疾病（如严重精神疾患、酗酒、吸毒或其它影响治疗的相关严重疾病，包括免疫缺陷）；（10）HIV抗体阳性或艾滋病患者；（11）非结核分枝杆菌肺病；（12）毁损肺。</w:t>
            </w:r>
          </w:p>
          <w:p w14:paraId="3B3FDFCF">
            <w:pPr>
              <w:spacing w:line="360" w:lineRule="auto"/>
              <w:jc w:val="left"/>
              <w:rPr>
                <w:rFonts w:hint="eastAsia" w:ascii="仿宋" w:hAnsi="仿宋" w:eastAsia="仿宋"/>
                <w:sz w:val="24"/>
                <w:szCs w:val="28"/>
              </w:rPr>
            </w:pPr>
            <w:r>
              <w:rPr>
                <w:rFonts w:hint="eastAsia" w:ascii="仿宋" w:hAnsi="仿宋" w:eastAsia="仿宋"/>
                <w:sz w:val="24"/>
                <w:szCs w:val="28"/>
              </w:rPr>
              <w:t>2.3 受试者退出标准：（1）出现了严重的不良反应；（2）受试者不能遵守研究方案；（3）研究者基于受试者的最大利益和安全原因而考虑受试者应当退出；（4）受试者本人的愿望；（5）课题实施期间对所用药物有过敏不能按原方案继续治疗者；（6）课题实施期间受孕者；（7）误诊或不符合入选标准者。</w:t>
            </w:r>
          </w:p>
          <w:p w14:paraId="333AB0AF">
            <w:pPr>
              <w:spacing w:line="360" w:lineRule="auto"/>
              <w:jc w:val="left"/>
              <w:rPr>
                <w:rFonts w:hint="eastAsia" w:ascii="仿宋" w:hAnsi="仿宋" w:eastAsia="仿宋"/>
                <w:sz w:val="24"/>
                <w:szCs w:val="28"/>
              </w:rPr>
            </w:pPr>
            <w:r>
              <w:rPr>
                <w:rFonts w:hint="eastAsia" w:ascii="仿宋" w:hAnsi="仿宋" w:eastAsia="仿宋"/>
                <w:sz w:val="24"/>
                <w:szCs w:val="28"/>
              </w:rPr>
              <w:t xml:space="preserve">3. 确定观察指标 </w:t>
            </w:r>
          </w:p>
          <w:p w14:paraId="40B4A019">
            <w:pPr>
              <w:spacing w:line="360" w:lineRule="auto"/>
              <w:jc w:val="left"/>
              <w:rPr>
                <w:rFonts w:hint="eastAsia" w:ascii="仿宋" w:hAnsi="仿宋" w:eastAsia="仿宋"/>
                <w:sz w:val="24"/>
                <w:szCs w:val="28"/>
              </w:rPr>
            </w:pPr>
            <w:r>
              <w:rPr>
                <w:rFonts w:hint="eastAsia" w:ascii="仿宋" w:hAnsi="仿宋" w:eastAsia="仿宋"/>
                <w:sz w:val="24"/>
                <w:szCs w:val="28"/>
              </w:rPr>
              <w:t>3.1 临床指标</w:t>
            </w:r>
          </w:p>
          <w:p w14:paraId="727ACFE8">
            <w:pPr>
              <w:spacing w:line="360" w:lineRule="auto"/>
              <w:jc w:val="left"/>
              <w:rPr>
                <w:rFonts w:hint="eastAsia" w:ascii="仿宋" w:hAnsi="仿宋" w:eastAsia="仿宋"/>
                <w:sz w:val="24"/>
                <w:szCs w:val="28"/>
              </w:rPr>
            </w:pPr>
            <w:r>
              <w:rPr>
                <w:rFonts w:hint="eastAsia" w:ascii="仿宋" w:hAnsi="仿宋" w:eastAsia="仿宋"/>
                <w:sz w:val="24"/>
                <w:szCs w:val="28"/>
              </w:rPr>
              <w:t>3.1.1 人口学资料（性别，年龄，身高，体重，身体质量指数（BMI）），合并症（糖尿病并发的终末期肾病，慢性乙型病毒性肝炎，病毒性/酒精性肝硬化，艾滋病，长期使用激素，肿瘤）。</w:t>
            </w:r>
          </w:p>
          <w:p w14:paraId="7FF947FA">
            <w:pPr>
              <w:spacing w:line="360" w:lineRule="auto"/>
              <w:jc w:val="left"/>
              <w:rPr>
                <w:rFonts w:hint="eastAsia" w:ascii="仿宋" w:hAnsi="仿宋" w:eastAsia="仿宋"/>
                <w:sz w:val="24"/>
                <w:szCs w:val="28"/>
              </w:rPr>
            </w:pPr>
            <w:r>
              <w:rPr>
                <w:rFonts w:hint="eastAsia" w:ascii="仿宋" w:hAnsi="仿宋" w:eastAsia="仿宋"/>
                <w:sz w:val="24"/>
                <w:szCs w:val="28"/>
              </w:rPr>
              <w:t>3.1.2 胸部影像学资料（有空洞，无空洞，血行播散）。诊断时及治疗6个月时的胸部CT。</w:t>
            </w:r>
          </w:p>
          <w:p w14:paraId="0E8379A9">
            <w:pPr>
              <w:spacing w:line="360" w:lineRule="auto"/>
              <w:jc w:val="left"/>
              <w:rPr>
                <w:rFonts w:hint="eastAsia" w:ascii="仿宋" w:hAnsi="仿宋" w:eastAsia="仿宋"/>
                <w:sz w:val="24"/>
                <w:szCs w:val="28"/>
              </w:rPr>
            </w:pPr>
            <w:r>
              <w:rPr>
                <w:rFonts w:hint="eastAsia" w:ascii="仿宋" w:hAnsi="仿宋" w:eastAsia="仿宋"/>
                <w:sz w:val="24"/>
                <w:szCs w:val="28"/>
              </w:rPr>
              <w:t>3.1.3 耐多药肺结核抗结核方案。根据WHO耐多药结核病治疗指南，由耐多药结核病专家组讨论制定标准抗结核方案。</w:t>
            </w:r>
          </w:p>
          <w:p w14:paraId="20D0EB7A">
            <w:pPr>
              <w:spacing w:line="360" w:lineRule="auto"/>
              <w:jc w:val="left"/>
              <w:rPr>
                <w:rFonts w:hint="eastAsia" w:ascii="仿宋" w:hAnsi="仿宋" w:eastAsia="仿宋"/>
                <w:sz w:val="24"/>
                <w:szCs w:val="28"/>
              </w:rPr>
            </w:pPr>
            <w:r>
              <w:rPr>
                <w:rFonts w:hint="eastAsia" w:ascii="仿宋" w:hAnsi="仿宋" w:eastAsia="仿宋"/>
                <w:sz w:val="24"/>
                <w:szCs w:val="28"/>
              </w:rPr>
              <w:t>3.1.4 痰菌阴转速度和6月末痰菌阴转率：前2个月内每2周留取1次痰标本，后4个月内每1月留取1次，进行抗酸染色涂片及结核菌培养（采用MGIT液体培养系统）。结核菌培养、鉴定和药敏检测：使用液体培养法进行培养，报阳后转至固体培养基；区分结核菌与非结核分枝杆菌；进行结核菌表型药物敏感性检测（DST）。根据DST区分MDR-TB，pre-XDR-TB，XDR-TB。DST的10种抗结核药物：利福平（Rfp）、异烟肼（INH）、乙胺丁醇（EMB）、链霉素（Sm）、利福喷丁（Rfb）、丙硫异烟肼（Pto）、左氧氟沙星（Lfx）、卷曲霉素（Cm）、卡那霉素（Km）或阿米卡星（Am）（2014年、2015年使用Am代替了Km）、对氨基水杨酸（PAS）。使用绝对浓度法，分低、高两个浓度检测，10种药物分别为50，250；1，10；5，50；10，100；25，100；25，100；5，50；10，100；10，100；1，10mg/L。将低、高两个浓度耐药均视为耐药。</w:t>
            </w:r>
          </w:p>
          <w:p w14:paraId="1B0A139B">
            <w:pPr>
              <w:spacing w:line="360" w:lineRule="auto"/>
              <w:jc w:val="left"/>
              <w:rPr>
                <w:rFonts w:hint="eastAsia" w:ascii="仿宋" w:hAnsi="仿宋" w:eastAsia="仿宋"/>
                <w:sz w:val="24"/>
                <w:szCs w:val="28"/>
              </w:rPr>
            </w:pPr>
            <w:r>
              <w:rPr>
                <w:rFonts w:hint="eastAsia" w:ascii="仿宋" w:hAnsi="仿宋" w:eastAsia="仿宋"/>
                <w:sz w:val="24"/>
                <w:szCs w:val="28"/>
              </w:rPr>
              <w:t>3.1.5 根据WHO的建议进行主动药物安全监测和管理，收集不良事件（按照既往研究的评估标准进行分级），及严重不良事件（需要在24h内上报课题组）。</w:t>
            </w:r>
          </w:p>
          <w:p w14:paraId="6AB195B9">
            <w:pPr>
              <w:spacing w:line="360" w:lineRule="auto"/>
              <w:jc w:val="left"/>
              <w:rPr>
                <w:rFonts w:hint="eastAsia" w:ascii="仿宋" w:hAnsi="仿宋" w:eastAsia="仿宋"/>
                <w:sz w:val="24"/>
                <w:szCs w:val="28"/>
              </w:rPr>
            </w:pPr>
            <w:r>
              <w:rPr>
                <w:rFonts w:hint="eastAsia" w:ascii="仿宋" w:hAnsi="仿宋" w:eastAsia="仿宋"/>
                <w:sz w:val="24"/>
                <w:szCs w:val="28"/>
              </w:rPr>
              <w:t>3.1.6 连续性实验室测试至少每月进行一次，检测患者治疗第0、1、2、3、4、5、6个月的血常规（含血红蛋白）、粪常规、尿常规、肝功能（含白蛋白）、肾功能、电解质、血糖。</w:t>
            </w:r>
          </w:p>
          <w:p w14:paraId="1E902C4B">
            <w:pPr>
              <w:spacing w:line="360" w:lineRule="auto"/>
              <w:jc w:val="left"/>
              <w:rPr>
                <w:rFonts w:hint="eastAsia" w:ascii="仿宋" w:hAnsi="仿宋" w:eastAsia="仿宋"/>
                <w:sz w:val="24"/>
                <w:szCs w:val="28"/>
              </w:rPr>
            </w:pPr>
            <w:r>
              <w:rPr>
                <w:rFonts w:hint="eastAsia" w:ascii="仿宋" w:hAnsi="仿宋" w:eastAsia="仿宋"/>
                <w:sz w:val="24"/>
                <w:szCs w:val="28"/>
              </w:rPr>
              <w:t>3.1.7 检测患者治疗第2、6个月的胸部CT、心电图。</w:t>
            </w:r>
          </w:p>
          <w:p w14:paraId="7A68D59A">
            <w:pPr>
              <w:spacing w:line="360" w:lineRule="auto"/>
              <w:jc w:val="left"/>
              <w:rPr>
                <w:rFonts w:hint="eastAsia" w:ascii="仿宋" w:hAnsi="仿宋" w:eastAsia="仿宋"/>
                <w:sz w:val="24"/>
                <w:szCs w:val="28"/>
              </w:rPr>
            </w:pPr>
            <w:r>
              <w:rPr>
                <w:rFonts w:hint="eastAsia" w:ascii="仿宋" w:hAnsi="仿宋" w:eastAsia="仿宋"/>
                <w:sz w:val="24"/>
                <w:szCs w:val="28"/>
              </w:rPr>
              <w:t>3.1.8 全因死亡率。即治疗期间各种原因导致的总死亡人数与该队列人数之比。</w:t>
            </w:r>
          </w:p>
          <w:p w14:paraId="79F9D256">
            <w:pPr>
              <w:spacing w:line="360" w:lineRule="auto"/>
              <w:jc w:val="left"/>
              <w:rPr>
                <w:rFonts w:hint="eastAsia" w:ascii="仿宋" w:hAnsi="仿宋" w:eastAsia="仿宋"/>
                <w:sz w:val="24"/>
                <w:szCs w:val="28"/>
              </w:rPr>
            </w:pPr>
            <w:r>
              <w:rPr>
                <w:rFonts w:hint="eastAsia" w:ascii="仿宋" w:hAnsi="仿宋" w:eastAsia="仿宋"/>
                <w:sz w:val="24"/>
                <w:szCs w:val="28"/>
              </w:rPr>
              <w:t>3.2 免疫功能指标</w:t>
            </w:r>
          </w:p>
          <w:p w14:paraId="64FA0CB1">
            <w:pPr>
              <w:spacing w:line="360" w:lineRule="auto"/>
              <w:jc w:val="left"/>
              <w:rPr>
                <w:rFonts w:hint="eastAsia" w:ascii="仿宋" w:hAnsi="仿宋" w:eastAsia="仿宋"/>
                <w:sz w:val="24"/>
                <w:szCs w:val="28"/>
              </w:rPr>
            </w:pPr>
            <w:r>
              <w:rPr>
                <w:rFonts w:hint="eastAsia" w:ascii="仿宋" w:hAnsi="仿宋" w:eastAsia="仿宋"/>
                <w:sz w:val="24"/>
                <w:szCs w:val="28"/>
              </w:rPr>
              <w:t>每次输注γδT细胞前，抽血进行免疫功能评估（共13次）。第0，0.5，1，1.5，2，2.5，3，3.5，4，4.5，5，5.5，6个月时。</w:t>
            </w:r>
          </w:p>
          <w:p w14:paraId="1155371F">
            <w:pPr>
              <w:spacing w:line="360" w:lineRule="auto"/>
              <w:jc w:val="left"/>
              <w:rPr>
                <w:rFonts w:hint="eastAsia" w:ascii="仿宋" w:hAnsi="仿宋" w:eastAsia="仿宋"/>
                <w:sz w:val="24"/>
                <w:szCs w:val="28"/>
              </w:rPr>
            </w:pPr>
            <w:r>
              <w:rPr>
                <w:rFonts w:hint="eastAsia" w:ascii="仿宋" w:hAnsi="仿宋" w:eastAsia="仿宋"/>
                <w:sz w:val="24"/>
                <w:szCs w:val="28"/>
              </w:rPr>
              <w:t>3.2.1 免疫细胞功能分析：细胞包括γδT细胞，CD4+ T细胞，CD8+T细胞，NK细胞，B细胞，中性粒细胞，单核巨噬细胞等。分析项目包括CD3和CD4 (%)，CD4/CD8 比值，NK细胞的IFN-g产生及杀伤，增殖能力、活化及衰老状态，抗体分泌、趋化、吞噬、炎性因子分泌及吞噬能力等。</w:t>
            </w:r>
          </w:p>
          <w:p w14:paraId="5D9408EF">
            <w:pPr>
              <w:spacing w:line="360" w:lineRule="auto"/>
              <w:jc w:val="left"/>
              <w:rPr>
                <w:rFonts w:hint="eastAsia" w:ascii="仿宋" w:hAnsi="仿宋" w:eastAsia="仿宋"/>
                <w:sz w:val="24"/>
                <w:szCs w:val="28"/>
              </w:rPr>
            </w:pPr>
            <w:r>
              <w:rPr>
                <w:rFonts w:hint="eastAsia" w:ascii="仿宋" w:hAnsi="仿宋" w:eastAsia="仿宋"/>
                <w:sz w:val="24"/>
                <w:szCs w:val="28"/>
              </w:rPr>
              <w:t>3.3.2 免疫细胞分子分析：蛋白芯片技术检测：IgG、IgM、IgA、IgE、INF-γ、TNF-α等的含量。</w:t>
            </w:r>
          </w:p>
          <w:p w14:paraId="273AFA60">
            <w:pPr>
              <w:spacing w:line="360" w:lineRule="auto"/>
              <w:jc w:val="left"/>
              <w:rPr>
                <w:rFonts w:hint="eastAsia" w:ascii="仿宋" w:hAnsi="仿宋" w:eastAsia="仿宋"/>
                <w:sz w:val="24"/>
                <w:szCs w:val="28"/>
              </w:rPr>
            </w:pPr>
            <w:r>
              <w:rPr>
                <w:rFonts w:hint="eastAsia" w:ascii="仿宋" w:hAnsi="仿宋" w:eastAsia="仿宋"/>
                <w:sz w:val="24"/>
                <w:szCs w:val="28"/>
              </w:rPr>
              <w:t>3.3 肠道微生态指标</w:t>
            </w:r>
          </w:p>
          <w:p w14:paraId="307055F4">
            <w:pPr>
              <w:spacing w:line="360" w:lineRule="auto"/>
              <w:jc w:val="left"/>
              <w:rPr>
                <w:rFonts w:hint="eastAsia" w:ascii="仿宋" w:hAnsi="仿宋" w:eastAsia="仿宋"/>
                <w:sz w:val="24"/>
                <w:szCs w:val="28"/>
              </w:rPr>
            </w:pPr>
            <w:r>
              <w:rPr>
                <w:rFonts w:hint="eastAsia" w:ascii="仿宋" w:hAnsi="仿宋" w:eastAsia="仿宋"/>
                <w:sz w:val="24"/>
                <w:szCs w:val="28"/>
              </w:rPr>
              <w:t>收集患者治疗第0、1、2、3、4、6个月的粪便进行微生物检测。16s RDNA高通量测序，分析肠道菌群组成和多样性。</w:t>
            </w:r>
          </w:p>
          <w:p w14:paraId="739BE6D8">
            <w:pPr>
              <w:spacing w:line="360" w:lineRule="auto"/>
              <w:jc w:val="left"/>
              <w:rPr>
                <w:rFonts w:hint="eastAsia" w:ascii="仿宋" w:hAnsi="仿宋" w:eastAsia="仿宋"/>
                <w:sz w:val="24"/>
                <w:szCs w:val="28"/>
              </w:rPr>
            </w:pPr>
            <w:r>
              <w:rPr>
                <w:rFonts w:hint="eastAsia" w:ascii="仿宋" w:hAnsi="仿宋" w:eastAsia="仿宋"/>
                <w:sz w:val="24"/>
                <w:szCs w:val="28"/>
              </w:rPr>
              <w:t>4. 样本量计算</w:t>
            </w:r>
          </w:p>
          <w:p w14:paraId="1AAC2184">
            <w:pPr>
              <w:spacing w:line="360" w:lineRule="auto"/>
              <w:jc w:val="left"/>
              <w:rPr>
                <w:rFonts w:hint="eastAsia" w:ascii="仿宋" w:hAnsi="仿宋" w:eastAsia="仿宋"/>
                <w:sz w:val="24"/>
                <w:szCs w:val="28"/>
              </w:rPr>
            </w:pPr>
            <w:r>
              <w:rPr>
                <w:rFonts w:hint="eastAsia" w:ascii="仿宋" w:hAnsi="仿宋" w:eastAsia="仿宋"/>
                <w:sz w:val="24"/>
                <w:szCs w:val="28"/>
              </w:rPr>
              <w:t>耐多药肺结核患者随机分为两组，两组比例1：1。对照组6月末痰菌培养阴转率约为50%，实验组预计为80%（80%为估计值，并无前期研究或他人研究结果支持），界值取5%。取α=0.05，β=0.2。采用优效性试验：两组率/计数资料的比较，公式：n=2（Zα+Zβ）2σ2/（μT-μC）2。计算得到样本量为对照组41例、实验组41例。若估计病例丢失率为10%，则最终需要对照组45例、实验组45例。</w:t>
            </w:r>
          </w:p>
          <w:p w14:paraId="1B78530E">
            <w:pPr>
              <w:spacing w:line="360" w:lineRule="auto"/>
              <w:jc w:val="left"/>
              <w:rPr>
                <w:rFonts w:hint="eastAsia" w:ascii="仿宋" w:hAnsi="仿宋" w:eastAsia="仿宋"/>
                <w:sz w:val="24"/>
                <w:szCs w:val="28"/>
              </w:rPr>
            </w:pPr>
            <w:r>
              <w:rPr>
                <w:rFonts w:hint="eastAsia" w:ascii="仿宋" w:hAnsi="仿宋" w:eastAsia="仿宋"/>
                <w:sz w:val="24"/>
                <w:szCs w:val="28"/>
              </w:rPr>
              <w:t>5. 数据管理与质量控制措施</w:t>
            </w:r>
          </w:p>
          <w:p w14:paraId="05250E28">
            <w:pPr>
              <w:spacing w:line="360" w:lineRule="auto"/>
              <w:jc w:val="left"/>
              <w:rPr>
                <w:rFonts w:hint="eastAsia" w:ascii="仿宋" w:hAnsi="仿宋" w:eastAsia="仿宋"/>
                <w:sz w:val="24"/>
                <w:szCs w:val="28"/>
              </w:rPr>
            </w:pPr>
            <w:r>
              <w:rPr>
                <w:rFonts w:hint="eastAsia" w:ascii="仿宋" w:hAnsi="仿宋" w:eastAsia="仿宋"/>
                <w:sz w:val="24"/>
                <w:szCs w:val="28"/>
              </w:rPr>
              <w:t>在以下流程中进行数据管理并实施质量控制：数据采集/管理系统建立、病例报告表（Case Report Form，CRF）及数据库的设计、数据接收与录入、数据核查与质疑、医学编码、外部数据管理、盲态审核、数据库锁定、解锁及再锁定、数据导出及传输、数据及数据管理文档的归档等。</w:t>
            </w:r>
          </w:p>
          <w:p w14:paraId="72461561">
            <w:pPr>
              <w:spacing w:line="360" w:lineRule="auto"/>
              <w:jc w:val="left"/>
              <w:rPr>
                <w:rFonts w:hint="eastAsia" w:ascii="仿宋" w:hAnsi="仿宋" w:eastAsia="仿宋"/>
                <w:sz w:val="24"/>
                <w:szCs w:val="28"/>
              </w:rPr>
            </w:pPr>
            <w:r>
              <w:rPr>
                <w:rFonts w:hint="eastAsia" w:ascii="仿宋" w:hAnsi="仿宋" w:eastAsia="仿宋"/>
                <w:sz w:val="24"/>
                <w:szCs w:val="28"/>
              </w:rPr>
              <w:t>使用Epidata软件录入数据，合理编码，有逻辑核查。尽可能采用双人录入，比对双方录入结果。</w:t>
            </w:r>
          </w:p>
          <w:p w14:paraId="245BED90">
            <w:pPr>
              <w:spacing w:line="360" w:lineRule="auto"/>
              <w:jc w:val="left"/>
              <w:rPr>
                <w:rFonts w:hint="eastAsia" w:ascii="仿宋" w:hAnsi="仿宋" w:eastAsia="仿宋"/>
                <w:sz w:val="24"/>
                <w:szCs w:val="28"/>
              </w:rPr>
            </w:pPr>
            <w:r>
              <w:rPr>
                <w:rFonts w:hint="eastAsia" w:ascii="仿宋" w:hAnsi="仿宋" w:eastAsia="仿宋"/>
                <w:sz w:val="24"/>
                <w:szCs w:val="28"/>
              </w:rPr>
              <w:t>6. 统计分析</w:t>
            </w:r>
          </w:p>
          <w:p w14:paraId="2CDB9EDE">
            <w:pPr>
              <w:spacing w:line="360" w:lineRule="auto"/>
              <w:jc w:val="left"/>
              <w:rPr>
                <w:rFonts w:hint="eastAsia" w:ascii="仿宋" w:hAnsi="仿宋" w:eastAsia="仿宋"/>
                <w:sz w:val="24"/>
                <w:szCs w:val="28"/>
              </w:rPr>
            </w:pPr>
            <w:r>
              <w:rPr>
                <w:rFonts w:hint="eastAsia" w:ascii="仿宋" w:hAnsi="仿宋" w:eastAsia="仿宋"/>
                <w:sz w:val="24"/>
                <w:szCs w:val="28"/>
              </w:rPr>
              <w:t>6.1 比较实验组与对照组的痰菌阴转速度、6月末痰菌阴转率、不良事件发生率、严重不良事件发生率。率的比较采用χ2检验，以P＜0.05视为差异有统计学意义。</w:t>
            </w:r>
          </w:p>
          <w:p w14:paraId="5838E7F3">
            <w:pPr>
              <w:spacing w:line="360" w:lineRule="auto"/>
              <w:jc w:val="left"/>
              <w:rPr>
                <w:rFonts w:hint="eastAsia" w:ascii="仿宋" w:hAnsi="仿宋" w:eastAsia="仿宋"/>
                <w:sz w:val="24"/>
                <w:szCs w:val="28"/>
              </w:rPr>
            </w:pPr>
            <w:r>
              <w:rPr>
                <w:rFonts w:hint="eastAsia" w:ascii="仿宋" w:hAnsi="仿宋" w:eastAsia="仿宋"/>
                <w:sz w:val="24"/>
                <w:szCs w:val="28"/>
              </w:rPr>
              <w:t>6.2 比较实验组与对照组的免疫功能指标、肠道微生态指标。采用重复测量的方差分析，以P＜0.05视为差异有统计学意义。</w:t>
            </w:r>
          </w:p>
          <w:p w14:paraId="6D059F63">
            <w:pPr>
              <w:spacing w:line="360" w:lineRule="auto"/>
              <w:jc w:val="left"/>
              <w:rPr>
                <w:rFonts w:hint="eastAsia" w:ascii="仿宋" w:hAnsi="仿宋" w:eastAsia="仿宋"/>
                <w:sz w:val="24"/>
                <w:szCs w:val="28"/>
              </w:rPr>
            </w:pPr>
            <w:r>
              <w:rPr>
                <w:rFonts w:hint="eastAsia" w:ascii="仿宋" w:hAnsi="仿宋" w:eastAsia="仿宋"/>
                <w:sz w:val="24"/>
                <w:szCs w:val="28"/>
              </w:rPr>
              <w:t>6.3 统计分析采用SPSS 22.0软件进行数据分析。</w:t>
            </w:r>
          </w:p>
          <w:p w14:paraId="443488A6">
            <w:pPr>
              <w:spacing w:line="360" w:lineRule="auto"/>
              <w:jc w:val="left"/>
              <w:rPr>
                <w:rFonts w:hint="eastAsia" w:ascii="仿宋" w:hAnsi="仿宋" w:eastAsia="仿宋"/>
                <w:sz w:val="24"/>
                <w:szCs w:val="28"/>
              </w:rPr>
            </w:pPr>
          </w:p>
          <w:p w14:paraId="08A6429B">
            <w:pPr>
              <w:spacing w:line="360" w:lineRule="auto"/>
              <w:jc w:val="center"/>
              <w:rPr>
                <w:rFonts w:hint="eastAsia" w:ascii="仿宋" w:hAnsi="仿宋" w:eastAsia="仿宋"/>
                <w:sz w:val="24"/>
                <w:szCs w:val="28"/>
              </w:rPr>
            </w:pPr>
            <w:r>
              <w:rPr>
                <w:rFonts w:hint="eastAsia" w:ascii="仿宋" w:hAnsi="仿宋" w:eastAsia="仿宋"/>
                <w:sz w:val="24"/>
                <w:szCs w:val="28"/>
              </w:rPr>
              <w:t>课题研究的技术路线</w:t>
            </w:r>
          </w:p>
          <w:p w14:paraId="3F42C714">
            <w:pPr>
              <w:spacing w:line="360" w:lineRule="auto"/>
              <w:jc w:val="left"/>
              <w:rPr>
                <w:rFonts w:hint="eastAsia" w:ascii="仿宋" w:hAnsi="仿宋" w:eastAsia="仿宋"/>
                <w:sz w:val="24"/>
                <w:szCs w:val="28"/>
              </w:rPr>
            </w:pPr>
            <w:r>
              <w:rPr>
                <w:sz w:val="24"/>
                <w:szCs w:val="24"/>
              </w:rPr>
              <w:drawing>
                <wp:inline distT="0" distB="0" distL="114300" distR="114300">
                  <wp:extent cx="5273675" cy="3310255"/>
                  <wp:effectExtent l="0" t="0" r="3175" b="44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5273675" cy="3310255"/>
                          </a:xfrm>
                          <a:prstGeom prst="rect">
                            <a:avLst/>
                          </a:prstGeom>
                          <a:noFill/>
                          <a:ln>
                            <a:noFill/>
                          </a:ln>
                        </pic:spPr>
                      </pic:pic>
                    </a:graphicData>
                  </a:graphic>
                </wp:inline>
              </w:drawing>
            </w:r>
          </w:p>
          <w:p w14:paraId="568FDF31">
            <w:pPr>
              <w:wordWrap w:val="0"/>
              <w:spacing w:line="360" w:lineRule="auto"/>
              <w:ind w:right="480"/>
              <w:rPr>
                <w:rFonts w:ascii="仿宋" w:hAnsi="仿宋" w:eastAsia="仿宋"/>
                <w:sz w:val="24"/>
                <w:szCs w:val="28"/>
              </w:rPr>
            </w:pPr>
          </w:p>
        </w:tc>
      </w:tr>
      <w:tr w14:paraId="02582C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305" w:hRule="atLeast"/>
          <w:jc w:val="center"/>
        </w:trPr>
        <w:tc>
          <w:tcPr>
            <w:tcW w:w="8522" w:type="dxa"/>
            <w:gridSpan w:val="4"/>
            <w:tcBorders>
              <w:left w:val="single" w:color="auto" w:sz="12" w:space="0"/>
              <w:right w:val="single" w:color="auto" w:sz="12" w:space="0"/>
            </w:tcBorders>
            <w:shd w:val="clear" w:color="auto" w:fill="auto"/>
          </w:tcPr>
          <w:p w14:paraId="027990D0">
            <w:pPr>
              <w:spacing w:line="360" w:lineRule="auto"/>
              <w:jc w:val="left"/>
              <w:rPr>
                <w:rFonts w:hint="eastAsia" w:ascii="仿宋" w:hAnsi="仿宋" w:eastAsia="仿宋"/>
                <w:sz w:val="24"/>
                <w:szCs w:val="28"/>
              </w:rPr>
            </w:pPr>
            <w:r>
              <w:rPr>
                <w:rFonts w:hint="eastAsia" w:ascii="仿宋" w:hAnsi="仿宋" w:eastAsia="仿宋"/>
                <w:sz w:val="24"/>
                <w:szCs w:val="28"/>
              </w:rPr>
              <w:t>五、课题前期研究基础或预实验结果及可行性分析</w:t>
            </w:r>
          </w:p>
          <w:p w14:paraId="34EAFD84">
            <w:pPr>
              <w:spacing w:line="360" w:lineRule="auto"/>
              <w:jc w:val="left"/>
              <w:rPr>
                <w:rFonts w:hint="eastAsia" w:ascii="仿宋" w:hAnsi="仿宋" w:eastAsia="仿宋"/>
                <w:sz w:val="24"/>
                <w:szCs w:val="28"/>
              </w:rPr>
            </w:pPr>
          </w:p>
          <w:p w14:paraId="555FA98C">
            <w:pPr>
              <w:spacing w:line="360" w:lineRule="auto"/>
              <w:jc w:val="left"/>
              <w:rPr>
                <w:rFonts w:hint="eastAsia" w:ascii="仿宋" w:hAnsi="仿宋" w:eastAsia="仿宋"/>
                <w:sz w:val="24"/>
                <w:szCs w:val="28"/>
              </w:rPr>
            </w:pPr>
            <w:r>
              <w:rPr>
                <w:rFonts w:hint="eastAsia" w:ascii="仿宋" w:hAnsi="仿宋" w:eastAsia="仿宋"/>
                <w:sz w:val="24"/>
                <w:szCs w:val="28"/>
              </w:rPr>
              <w:t>1. 工作基础</w:t>
            </w:r>
          </w:p>
          <w:p w14:paraId="487B866C">
            <w:pPr>
              <w:spacing w:line="360" w:lineRule="auto"/>
              <w:jc w:val="left"/>
              <w:rPr>
                <w:rFonts w:hint="eastAsia" w:ascii="仿宋" w:hAnsi="仿宋" w:eastAsia="仿宋"/>
                <w:sz w:val="24"/>
                <w:szCs w:val="28"/>
              </w:rPr>
            </w:pPr>
            <w:r>
              <w:rPr>
                <w:rFonts w:hint="eastAsia" w:ascii="仿宋" w:hAnsi="仿宋" w:eastAsia="仿宋"/>
                <w:sz w:val="24"/>
                <w:szCs w:val="28"/>
              </w:rPr>
              <w:t>1.1 与暨南大学生物医学转化研究院尹芝南教授团队深度合作，解决了γδT细胞体外大量扩增难题。</w:t>
            </w:r>
          </w:p>
          <w:p w14:paraId="5A82F626">
            <w:pPr>
              <w:spacing w:line="360" w:lineRule="auto"/>
              <w:jc w:val="left"/>
              <w:rPr>
                <w:rFonts w:hint="eastAsia" w:ascii="仿宋" w:hAnsi="仿宋" w:eastAsia="仿宋"/>
                <w:sz w:val="24"/>
                <w:szCs w:val="28"/>
              </w:rPr>
            </w:pPr>
            <w:r>
              <w:rPr>
                <w:rFonts w:hint="eastAsia" w:ascii="仿宋" w:hAnsi="仿宋" w:eastAsia="仿宋"/>
                <w:sz w:val="24"/>
                <w:szCs w:val="28"/>
              </w:rPr>
              <w:t>1.2 应用γδT细胞治疗肿瘤病人，在国际上首次证明了健康人来源γδT细胞的安全性。广州复大肿瘤医院已经对125例晚期肿瘤患者共进行了350次γδT细胞的回输。</w:t>
            </w:r>
          </w:p>
          <w:p w14:paraId="2A378B66">
            <w:pPr>
              <w:spacing w:line="360" w:lineRule="auto"/>
              <w:jc w:val="left"/>
              <w:rPr>
                <w:rFonts w:hint="eastAsia" w:ascii="仿宋" w:hAnsi="仿宋" w:eastAsia="仿宋"/>
                <w:sz w:val="24"/>
                <w:szCs w:val="28"/>
              </w:rPr>
            </w:pPr>
            <w:r>
              <w:rPr>
                <w:rFonts w:hint="eastAsia" w:ascii="仿宋" w:hAnsi="仿宋" w:eastAsia="仿宋"/>
                <w:sz w:val="24"/>
                <w:szCs w:val="28"/>
              </w:rPr>
              <w:t>1.3 灵长类动物感染TB后，γδT细胞回输治疗效果显著。</w:t>
            </w:r>
          </w:p>
          <w:p w14:paraId="7CAA9D06">
            <w:pPr>
              <w:spacing w:line="360" w:lineRule="auto"/>
              <w:jc w:val="left"/>
              <w:rPr>
                <w:rFonts w:hint="eastAsia" w:ascii="仿宋" w:hAnsi="仿宋" w:eastAsia="仿宋"/>
                <w:sz w:val="24"/>
                <w:szCs w:val="28"/>
              </w:rPr>
            </w:pPr>
            <w:r>
              <w:rPr>
                <w:rFonts w:hint="eastAsia" w:ascii="仿宋" w:hAnsi="仿宋" w:eastAsia="仿宋"/>
                <w:sz w:val="24"/>
                <w:szCs w:val="28"/>
              </w:rPr>
              <w:t>1.4 我院研究所具有CIK细胞免疫治疗经验。2011年研究所建立CIK治疗平台，用于HBV相关肝癌、难治性丙肝患者治疗。2013年将CIK应用于耐药结核患者治疗。</w:t>
            </w:r>
          </w:p>
          <w:p w14:paraId="5DD4D70F">
            <w:pPr>
              <w:spacing w:line="360" w:lineRule="auto"/>
              <w:jc w:val="left"/>
              <w:rPr>
                <w:rFonts w:hint="eastAsia" w:ascii="仿宋" w:hAnsi="仿宋" w:eastAsia="仿宋"/>
                <w:sz w:val="24"/>
                <w:szCs w:val="28"/>
              </w:rPr>
            </w:pPr>
            <w:r>
              <w:rPr>
                <w:rFonts w:hint="eastAsia" w:ascii="仿宋" w:hAnsi="仿宋" w:eastAsia="仿宋"/>
                <w:sz w:val="24"/>
                <w:szCs w:val="28"/>
              </w:rPr>
              <w:t>2. 工作条件</w:t>
            </w:r>
          </w:p>
          <w:p w14:paraId="61518793">
            <w:pPr>
              <w:spacing w:line="360" w:lineRule="auto"/>
              <w:jc w:val="left"/>
              <w:rPr>
                <w:rFonts w:hint="eastAsia" w:ascii="仿宋" w:hAnsi="仿宋" w:eastAsia="仿宋"/>
                <w:sz w:val="24"/>
                <w:szCs w:val="28"/>
              </w:rPr>
            </w:pPr>
            <w:r>
              <w:rPr>
                <w:rFonts w:hint="eastAsia" w:ascii="仿宋" w:hAnsi="仿宋" w:eastAsia="仿宋"/>
                <w:sz w:val="24"/>
                <w:szCs w:val="28"/>
              </w:rPr>
              <w:t>2.1 项目申请单位在结核病研究领域的科技投入和产出位居全国前列。一直致力于结核病病原体和免疫学研究，并取得较好的成绩，培养和凝聚了一支包括结核病原学、分子生物学、免疫学和临床治疗在内的研究团队。发表结核病研究相关的科研论文60余篇，SCI论文35篇，其中包括《Am J Resp Crit Care》、《PLoS Pathogens》《J Infect Dis》等著名杂志。</w:t>
            </w:r>
          </w:p>
          <w:p w14:paraId="24A96AA1">
            <w:pPr>
              <w:spacing w:line="360" w:lineRule="auto"/>
              <w:jc w:val="left"/>
              <w:rPr>
                <w:rFonts w:hint="eastAsia" w:ascii="仿宋" w:hAnsi="仿宋" w:eastAsia="仿宋"/>
                <w:sz w:val="24"/>
                <w:szCs w:val="28"/>
              </w:rPr>
            </w:pPr>
            <w:r>
              <w:rPr>
                <w:rFonts w:hint="eastAsia" w:ascii="仿宋" w:hAnsi="仿宋" w:eastAsia="仿宋"/>
                <w:sz w:val="24"/>
                <w:szCs w:val="28"/>
              </w:rPr>
              <w:t>2.2 申请单位研究所拥有国际标准的细胞生物治疗实验室。目前已经建成广东省新发传染病诊治重点实验室、深圳市传染病诊治技术重点实验室和深圳市感染免疫重点实验室，实验室总面积近5000平方米，有独立的P2+生物安全实验室，配置超过4000万元的科研仪器设备，其中包括illumina二代测序仪、Sequenom MassARRAY质谱芯片系统、BD AriaⅡ流式细胞分选仪、ABI 7500荧光定量PCR仪、免疫磁珠分选器、Beckman DTX880 生物发光检测仪、全波长酶标仪、ELispot读数仪、Bio-Rad双向电泳设备、Zeiss共聚焦荧光显微镜等，能够满足开展本项目研究所需的实验设备。</w:t>
            </w:r>
          </w:p>
          <w:p w14:paraId="47650B7D">
            <w:pPr>
              <w:spacing w:line="360" w:lineRule="auto"/>
              <w:jc w:val="left"/>
              <w:rPr>
                <w:rFonts w:hint="eastAsia" w:ascii="仿宋" w:hAnsi="仿宋" w:eastAsia="仿宋"/>
                <w:sz w:val="24"/>
                <w:szCs w:val="28"/>
              </w:rPr>
            </w:pPr>
            <w:r>
              <w:rPr>
                <w:rFonts w:hint="eastAsia" w:ascii="仿宋" w:hAnsi="仿宋" w:eastAsia="仿宋"/>
                <w:sz w:val="24"/>
                <w:szCs w:val="28"/>
              </w:rPr>
              <w:t>2.3 申请单位的耐多药肺结核病例充足。作为深圳市唯一的结核病收治医院，深圳市及周边地区所有疑似结核病或者已经诊断结核病且需要住院治疗的患者，均在我院住院。我院与慢性病院有着良好而密切的合作关系，从2017年开始，深圳市实施结核病分级诊疗制度，要求所有涂阳和耐药的结核病患者在我院接受一段时间的住院治疗。我院有结核菌株储存库的珍贵资源，从2013年10月起运行，结核菌菌株保存完好。</w:t>
            </w:r>
          </w:p>
        </w:tc>
      </w:tr>
      <w:tr w14:paraId="33C912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227" w:hRule="atLeast"/>
          <w:jc w:val="center"/>
        </w:trPr>
        <w:tc>
          <w:tcPr>
            <w:tcW w:w="8522" w:type="dxa"/>
            <w:gridSpan w:val="4"/>
            <w:tcBorders>
              <w:left w:val="single" w:color="auto" w:sz="12" w:space="0"/>
              <w:bottom w:val="single" w:color="auto" w:sz="4" w:space="0"/>
              <w:right w:val="single" w:color="auto" w:sz="12" w:space="0"/>
            </w:tcBorders>
            <w:shd w:val="clear" w:color="auto" w:fill="auto"/>
          </w:tcPr>
          <w:p w14:paraId="0BBBB880">
            <w:pPr>
              <w:spacing w:line="360" w:lineRule="auto"/>
              <w:jc w:val="left"/>
              <w:rPr>
                <w:rFonts w:hint="eastAsia" w:ascii="仿宋" w:hAnsi="仿宋" w:eastAsia="仿宋"/>
                <w:sz w:val="24"/>
                <w:szCs w:val="28"/>
              </w:rPr>
            </w:pPr>
            <w:r>
              <w:rPr>
                <w:rFonts w:hint="eastAsia" w:ascii="仿宋" w:hAnsi="仿宋" w:eastAsia="仿宋"/>
                <w:sz w:val="24"/>
                <w:szCs w:val="28"/>
              </w:rPr>
              <w:t>六、课题研究中关键问题及解决措施</w:t>
            </w:r>
          </w:p>
          <w:p w14:paraId="03C141B1">
            <w:pPr>
              <w:spacing w:line="360" w:lineRule="auto"/>
              <w:jc w:val="left"/>
              <w:rPr>
                <w:rFonts w:hint="eastAsia" w:ascii="仿宋" w:hAnsi="仿宋" w:eastAsia="仿宋"/>
                <w:sz w:val="24"/>
                <w:szCs w:val="28"/>
              </w:rPr>
            </w:pPr>
          </w:p>
          <w:p w14:paraId="01442550">
            <w:pPr>
              <w:spacing w:line="360" w:lineRule="auto"/>
              <w:jc w:val="left"/>
              <w:rPr>
                <w:rFonts w:hint="eastAsia" w:ascii="仿宋" w:hAnsi="仿宋" w:eastAsia="仿宋"/>
                <w:sz w:val="24"/>
                <w:szCs w:val="28"/>
              </w:rPr>
            </w:pPr>
            <w:r>
              <w:rPr>
                <w:rFonts w:hint="eastAsia" w:ascii="仿宋" w:hAnsi="仿宋" w:eastAsia="仿宋"/>
                <w:sz w:val="24"/>
                <w:szCs w:val="28"/>
              </w:rPr>
              <w:t>1. 首次以临床研究的形式验证γδT细胞免疫治疗在耐多药肺结核的安全性和有效性。解决措施：按照临床试验的标准规范严格实施研究。</w:t>
            </w:r>
          </w:p>
          <w:p w14:paraId="0716628D">
            <w:pPr>
              <w:spacing w:line="360" w:lineRule="auto"/>
              <w:jc w:val="left"/>
              <w:rPr>
                <w:rFonts w:hint="eastAsia" w:ascii="仿宋" w:hAnsi="仿宋" w:eastAsia="仿宋"/>
                <w:sz w:val="24"/>
                <w:szCs w:val="28"/>
              </w:rPr>
            </w:pPr>
            <w:r>
              <w:rPr>
                <w:rFonts w:hint="eastAsia" w:ascii="仿宋" w:hAnsi="仿宋" w:eastAsia="仿宋"/>
                <w:sz w:val="24"/>
                <w:szCs w:val="28"/>
              </w:rPr>
              <w:t>2. 异体γδT细胞的获取，离体孵育，过继输注于耐多药结核病患者。解决措施：加强实验室人员培训及实验室质控。</w:t>
            </w:r>
          </w:p>
          <w:p w14:paraId="61166E00">
            <w:pPr>
              <w:spacing w:line="360" w:lineRule="auto"/>
              <w:jc w:val="left"/>
              <w:rPr>
                <w:rFonts w:ascii="仿宋" w:hAnsi="仿宋" w:eastAsia="仿宋"/>
                <w:sz w:val="24"/>
                <w:szCs w:val="28"/>
              </w:rPr>
            </w:pPr>
            <w:r>
              <w:rPr>
                <w:rFonts w:hint="eastAsia" w:ascii="仿宋" w:hAnsi="仿宋" w:eastAsia="仿宋"/>
                <w:sz w:val="24"/>
                <w:szCs w:val="28"/>
              </w:rPr>
              <w:t>3. 建立综合疗效评价体系，含免疫功能评价。解决措施：与第三方合作，采用商业化产品进行检测。</w:t>
            </w:r>
          </w:p>
          <w:p w14:paraId="3486D5E9">
            <w:pPr>
              <w:spacing w:line="360" w:lineRule="auto"/>
              <w:jc w:val="left"/>
              <w:rPr>
                <w:rFonts w:ascii="仿宋" w:hAnsi="仿宋" w:eastAsia="仿宋"/>
                <w:sz w:val="24"/>
                <w:szCs w:val="28"/>
              </w:rPr>
            </w:pPr>
          </w:p>
        </w:tc>
      </w:tr>
      <w:tr w14:paraId="5F1EC8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Before w:val="1"/>
          <w:gridAfter w:val="2"/>
          <w:wBefore w:w="9" w:type="dxa"/>
          <w:wAfter w:w="9" w:type="dxa"/>
          <w:trHeight w:val="570" w:hRule="atLeast"/>
          <w:jc w:val="center"/>
        </w:trPr>
        <w:tc>
          <w:tcPr>
            <w:tcW w:w="8504" w:type="dxa"/>
            <w:tcBorders>
              <w:top w:val="single" w:color="auto" w:sz="4" w:space="0"/>
            </w:tcBorders>
            <w:shd w:val="clear" w:color="auto" w:fill="auto"/>
          </w:tcPr>
          <w:p w14:paraId="6747A31D">
            <w:pPr>
              <w:spacing w:line="360" w:lineRule="auto"/>
              <w:jc w:val="left"/>
              <w:rPr>
                <w:rFonts w:ascii="仿宋" w:hAnsi="仿宋" w:eastAsia="仿宋"/>
                <w:sz w:val="24"/>
                <w:szCs w:val="24"/>
              </w:rPr>
            </w:pPr>
            <w:r>
              <w:rPr>
                <w:rFonts w:hint="eastAsia" w:ascii="仿宋" w:hAnsi="仿宋" w:eastAsia="仿宋"/>
                <w:sz w:val="24"/>
                <w:szCs w:val="24"/>
              </w:rPr>
              <w:t>七、课题研究计划进度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6375"/>
            </w:tblGrid>
            <w:tr w14:paraId="24A6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noWrap w:val="0"/>
                  <w:vAlign w:val="center"/>
                </w:tcPr>
                <w:p w14:paraId="0311A0A0">
                  <w:pPr>
                    <w:jc w:val="center"/>
                    <w:rPr>
                      <w:rFonts w:hint="eastAsia" w:ascii="宋体" w:hAnsi="宋体"/>
                      <w:b/>
                      <w:bCs/>
                      <w:sz w:val="28"/>
                      <w:szCs w:val="28"/>
                      <w:vertAlign w:val="baseline"/>
                    </w:rPr>
                  </w:pPr>
                  <w:r>
                    <w:rPr>
                      <w:rFonts w:hint="eastAsia" w:ascii="宋体" w:hAnsi="宋体" w:eastAsia="宋体"/>
                      <w:color w:val="000000"/>
                      <w:szCs w:val="21"/>
                    </w:rPr>
                    <w:t>时间节点</w:t>
                  </w:r>
                </w:p>
              </w:tc>
              <w:tc>
                <w:tcPr>
                  <w:tcW w:w="7132" w:type="dxa"/>
                  <w:noWrap w:val="0"/>
                  <w:vAlign w:val="center"/>
                </w:tcPr>
                <w:p w14:paraId="2A2EDB43">
                  <w:pPr>
                    <w:jc w:val="center"/>
                    <w:rPr>
                      <w:rFonts w:hint="eastAsia" w:ascii="宋体" w:hAnsi="宋体"/>
                      <w:b/>
                      <w:bCs/>
                      <w:sz w:val="28"/>
                      <w:szCs w:val="28"/>
                      <w:vertAlign w:val="baseline"/>
                    </w:rPr>
                  </w:pPr>
                  <w:r>
                    <w:rPr>
                      <w:rFonts w:hint="eastAsia" w:ascii="宋体" w:hAnsi="宋体" w:eastAsia="宋体"/>
                      <w:color w:val="000000"/>
                      <w:szCs w:val="21"/>
                    </w:rPr>
                    <w:t>研究内容、目标及考核指标</w:t>
                  </w:r>
                </w:p>
              </w:tc>
            </w:tr>
            <w:tr w14:paraId="0650C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noWrap w:val="0"/>
                  <w:vAlign w:val="center"/>
                </w:tcPr>
                <w:p w14:paraId="7692E38B">
                  <w:pPr>
                    <w:jc w:val="center"/>
                    <w:rPr>
                      <w:rFonts w:hint="eastAsia" w:ascii="宋体" w:hAnsi="宋体" w:eastAsia="宋体"/>
                      <w:b/>
                      <w:bCs/>
                      <w:sz w:val="28"/>
                      <w:szCs w:val="28"/>
                      <w:vertAlign w:val="baseline"/>
                      <w:lang w:eastAsia="zh-CN"/>
                    </w:rPr>
                  </w:pPr>
                  <w:r>
                    <w:rPr>
                      <w:rFonts w:hint="eastAsia"/>
                      <w:color w:val="000000"/>
                      <w:szCs w:val="21"/>
                    </w:rPr>
                    <w:t>2018.0</w:t>
                  </w:r>
                  <w:r>
                    <w:rPr>
                      <w:rFonts w:hint="eastAsia"/>
                      <w:color w:val="000000"/>
                      <w:szCs w:val="21"/>
                      <w:lang w:val="en-US" w:eastAsia="zh-CN"/>
                    </w:rPr>
                    <w:t>7</w:t>
                  </w:r>
                  <w:r>
                    <w:rPr>
                      <w:rFonts w:hint="eastAsia"/>
                      <w:color w:val="000000"/>
                      <w:szCs w:val="21"/>
                    </w:rPr>
                    <w:t>-20</w:t>
                  </w:r>
                  <w:r>
                    <w:rPr>
                      <w:rFonts w:hint="eastAsia"/>
                      <w:color w:val="000000"/>
                      <w:szCs w:val="21"/>
                      <w:lang w:val="en-US" w:eastAsia="zh-CN"/>
                    </w:rPr>
                    <w:t>20</w:t>
                  </w:r>
                  <w:r>
                    <w:rPr>
                      <w:rFonts w:hint="eastAsia"/>
                      <w:color w:val="000000"/>
                      <w:szCs w:val="21"/>
                    </w:rPr>
                    <w:t>.0</w:t>
                  </w:r>
                  <w:r>
                    <w:rPr>
                      <w:rFonts w:hint="eastAsia"/>
                      <w:color w:val="000000"/>
                      <w:szCs w:val="21"/>
                      <w:lang w:val="en-US" w:eastAsia="zh-CN"/>
                    </w:rPr>
                    <w:t>6</w:t>
                  </w:r>
                </w:p>
              </w:tc>
              <w:tc>
                <w:tcPr>
                  <w:tcW w:w="7132" w:type="dxa"/>
                  <w:noWrap w:val="0"/>
                  <w:vAlign w:val="center"/>
                </w:tcPr>
                <w:p w14:paraId="35945348">
                  <w:pPr>
                    <w:widowControl/>
                    <w:tabs>
                      <w:tab w:val="left" w:pos="720"/>
                    </w:tabs>
                    <w:snapToGrid w:val="0"/>
                    <w:spacing w:before="78" w:beforeLines="25" w:after="78" w:afterLines="25"/>
                    <w:jc w:val="left"/>
                    <w:rPr>
                      <w:rFonts w:hint="eastAsia" w:ascii="宋体" w:hAnsi="宋体" w:eastAsia="楷体"/>
                      <w:b/>
                      <w:bCs/>
                      <w:sz w:val="28"/>
                      <w:szCs w:val="28"/>
                      <w:vertAlign w:val="baseline"/>
                      <w:lang w:val="en-US" w:eastAsia="zh-CN"/>
                    </w:rPr>
                  </w:pPr>
                  <w:r>
                    <w:rPr>
                      <w:rFonts w:hint="eastAsia" w:ascii="楷体" w:hAnsi="楷体" w:eastAsia="楷体" w:cs="楷体"/>
                      <w:lang w:val="en-US" w:eastAsia="zh-CN"/>
                    </w:rPr>
                    <w:t>单</w:t>
                  </w:r>
                  <w:r>
                    <w:rPr>
                      <w:rFonts w:hint="eastAsia" w:ascii="楷体" w:hAnsi="楷体" w:eastAsia="楷体" w:cs="楷体"/>
                    </w:rPr>
                    <w:t>中心，</w:t>
                  </w:r>
                  <w:r>
                    <w:rPr>
                      <w:rFonts w:hint="eastAsia" w:ascii="楷体" w:hAnsi="楷体" w:eastAsia="楷体" w:cs="楷体"/>
                      <w:lang w:val="en-US" w:eastAsia="zh-CN"/>
                    </w:rPr>
                    <w:t>纳入病例，进行临床试验</w:t>
                  </w:r>
                </w:p>
              </w:tc>
            </w:tr>
            <w:tr w14:paraId="5653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noWrap w:val="0"/>
                  <w:vAlign w:val="center"/>
                </w:tcPr>
                <w:p w14:paraId="341AC554">
                  <w:pPr>
                    <w:jc w:val="center"/>
                    <w:rPr>
                      <w:rFonts w:hint="eastAsia" w:ascii="宋体" w:hAnsi="宋体"/>
                      <w:b/>
                      <w:bCs/>
                      <w:sz w:val="28"/>
                      <w:szCs w:val="28"/>
                      <w:vertAlign w:val="baseline"/>
                    </w:rPr>
                  </w:pPr>
                  <w:r>
                    <w:rPr>
                      <w:rFonts w:hint="eastAsia"/>
                      <w:color w:val="000000"/>
                      <w:szCs w:val="21"/>
                    </w:rPr>
                    <w:t>20</w:t>
                  </w:r>
                  <w:r>
                    <w:rPr>
                      <w:rFonts w:hint="eastAsia"/>
                      <w:color w:val="000000"/>
                      <w:szCs w:val="21"/>
                      <w:lang w:val="en-US" w:eastAsia="zh-CN"/>
                    </w:rPr>
                    <w:t>20</w:t>
                  </w:r>
                  <w:r>
                    <w:rPr>
                      <w:rFonts w:hint="eastAsia"/>
                      <w:color w:val="000000"/>
                      <w:szCs w:val="21"/>
                    </w:rPr>
                    <w:t>.</w:t>
                  </w:r>
                  <w:r>
                    <w:rPr>
                      <w:rFonts w:hint="eastAsia"/>
                      <w:color w:val="000000"/>
                      <w:szCs w:val="21"/>
                      <w:lang w:val="en-US" w:eastAsia="zh-CN"/>
                    </w:rPr>
                    <w:t>07</w:t>
                  </w:r>
                  <w:r>
                    <w:rPr>
                      <w:rFonts w:hint="eastAsia"/>
                      <w:color w:val="000000"/>
                      <w:szCs w:val="21"/>
                    </w:rPr>
                    <w:t>-20</w:t>
                  </w:r>
                  <w:r>
                    <w:rPr>
                      <w:rFonts w:hint="eastAsia"/>
                      <w:color w:val="000000"/>
                      <w:szCs w:val="21"/>
                      <w:lang w:val="en-US" w:eastAsia="zh-CN"/>
                    </w:rPr>
                    <w:t>20</w:t>
                  </w:r>
                  <w:r>
                    <w:rPr>
                      <w:rFonts w:hint="eastAsia"/>
                      <w:color w:val="000000"/>
                      <w:szCs w:val="21"/>
                    </w:rPr>
                    <w:t>.12</w:t>
                  </w:r>
                </w:p>
              </w:tc>
              <w:tc>
                <w:tcPr>
                  <w:tcW w:w="7132" w:type="dxa"/>
                  <w:noWrap w:val="0"/>
                  <w:vAlign w:val="center"/>
                </w:tcPr>
                <w:p w14:paraId="530A81FC">
                  <w:pPr>
                    <w:widowControl/>
                    <w:tabs>
                      <w:tab w:val="left" w:pos="720"/>
                    </w:tabs>
                    <w:snapToGrid w:val="0"/>
                    <w:spacing w:before="78" w:beforeLines="25" w:after="78" w:afterLines="25"/>
                    <w:jc w:val="left"/>
                    <w:rPr>
                      <w:rFonts w:hint="eastAsia" w:ascii="宋体" w:hAnsi="宋体"/>
                      <w:b/>
                      <w:bCs/>
                      <w:sz w:val="28"/>
                      <w:szCs w:val="28"/>
                      <w:vertAlign w:val="baseline"/>
                    </w:rPr>
                  </w:pPr>
                  <w:r>
                    <w:rPr>
                      <w:rFonts w:hint="eastAsia" w:ascii="楷体" w:hAnsi="楷体" w:eastAsia="楷体" w:cs="楷体"/>
                      <w:lang w:val="en-US" w:eastAsia="zh-CN"/>
                    </w:rPr>
                    <w:t>进行临床试验</w:t>
                  </w:r>
                </w:p>
              </w:tc>
            </w:tr>
            <w:tr w14:paraId="4576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noWrap w:val="0"/>
                  <w:vAlign w:val="center"/>
                </w:tcPr>
                <w:p w14:paraId="2555D1F7">
                  <w:pPr>
                    <w:jc w:val="center"/>
                    <w:rPr>
                      <w:rFonts w:hint="eastAsia" w:ascii="宋体" w:hAnsi="宋体"/>
                      <w:b/>
                      <w:bCs/>
                      <w:sz w:val="28"/>
                      <w:szCs w:val="28"/>
                      <w:vertAlign w:val="baseline"/>
                    </w:rPr>
                  </w:pPr>
                  <w:r>
                    <w:rPr>
                      <w:rFonts w:hint="eastAsia"/>
                      <w:color w:val="000000"/>
                      <w:szCs w:val="21"/>
                    </w:rPr>
                    <w:t>20</w:t>
                  </w:r>
                  <w:r>
                    <w:rPr>
                      <w:rFonts w:hint="eastAsia"/>
                      <w:color w:val="000000"/>
                      <w:szCs w:val="21"/>
                      <w:lang w:val="en-US" w:eastAsia="zh-CN"/>
                    </w:rPr>
                    <w:t>21</w:t>
                  </w:r>
                  <w:r>
                    <w:rPr>
                      <w:rFonts w:hint="eastAsia"/>
                      <w:color w:val="000000"/>
                      <w:szCs w:val="21"/>
                    </w:rPr>
                    <w:t>.01-20</w:t>
                  </w:r>
                  <w:r>
                    <w:rPr>
                      <w:rFonts w:hint="eastAsia"/>
                      <w:color w:val="000000"/>
                      <w:szCs w:val="21"/>
                      <w:lang w:val="en-US" w:eastAsia="zh-CN"/>
                    </w:rPr>
                    <w:t>21</w:t>
                  </w:r>
                  <w:r>
                    <w:rPr>
                      <w:rFonts w:hint="eastAsia"/>
                      <w:color w:val="000000"/>
                      <w:szCs w:val="21"/>
                    </w:rPr>
                    <w:t>.03</w:t>
                  </w:r>
                </w:p>
              </w:tc>
              <w:tc>
                <w:tcPr>
                  <w:tcW w:w="7132" w:type="dxa"/>
                  <w:noWrap w:val="0"/>
                  <w:vAlign w:val="center"/>
                </w:tcPr>
                <w:p w14:paraId="331EB63A">
                  <w:pPr>
                    <w:widowControl/>
                    <w:tabs>
                      <w:tab w:val="left" w:pos="720"/>
                    </w:tabs>
                    <w:snapToGrid w:val="0"/>
                    <w:spacing w:before="78" w:beforeLines="25" w:after="78" w:afterLines="25"/>
                    <w:jc w:val="left"/>
                    <w:rPr>
                      <w:rFonts w:hint="eastAsia" w:ascii="宋体" w:hAnsi="宋体"/>
                      <w:b/>
                      <w:bCs/>
                      <w:sz w:val="28"/>
                      <w:szCs w:val="28"/>
                      <w:vertAlign w:val="baseline"/>
                    </w:rPr>
                  </w:pPr>
                  <w:r>
                    <w:rPr>
                      <w:rFonts w:hint="eastAsia" w:ascii="楷体" w:hAnsi="楷体" w:eastAsia="楷体" w:cs="楷体"/>
                    </w:rPr>
                    <w:t>整理数据，统计分析</w:t>
                  </w:r>
                </w:p>
              </w:tc>
            </w:tr>
            <w:tr w14:paraId="18DA1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8" w:type="dxa"/>
                  <w:noWrap w:val="0"/>
                  <w:vAlign w:val="center"/>
                </w:tcPr>
                <w:p w14:paraId="62841D8E">
                  <w:pPr>
                    <w:jc w:val="center"/>
                    <w:rPr>
                      <w:rFonts w:hint="eastAsia" w:ascii="宋体" w:hAnsi="宋体" w:eastAsia="宋体"/>
                      <w:b/>
                      <w:bCs/>
                      <w:sz w:val="28"/>
                      <w:szCs w:val="28"/>
                      <w:vertAlign w:val="baseline"/>
                      <w:lang w:eastAsia="zh-CN"/>
                    </w:rPr>
                  </w:pPr>
                  <w:r>
                    <w:rPr>
                      <w:rFonts w:hint="eastAsia"/>
                      <w:color w:val="000000"/>
                      <w:szCs w:val="21"/>
                    </w:rPr>
                    <w:t>20</w:t>
                  </w:r>
                  <w:r>
                    <w:rPr>
                      <w:rFonts w:hint="eastAsia"/>
                      <w:color w:val="000000"/>
                      <w:szCs w:val="21"/>
                      <w:lang w:val="en-US" w:eastAsia="zh-CN"/>
                    </w:rPr>
                    <w:t>21</w:t>
                  </w:r>
                  <w:r>
                    <w:rPr>
                      <w:rFonts w:hint="eastAsia"/>
                      <w:color w:val="000000"/>
                      <w:szCs w:val="21"/>
                    </w:rPr>
                    <w:t>.04-20</w:t>
                  </w:r>
                  <w:r>
                    <w:rPr>
                      <w:rFonts w:hint="eastAsia"/>
                      <w:color w:val="000000"/>
                      <w:szCs w:val="21"/>
                      <w:lang w:val="en-US" w:eastAsia="zh-CN"/>
                    </w:rPr>
                    <w:t>21</w:t>
                  </w:r>
                  <w:r>
                    <w:rPr>
                      <w:rFonts w:hint="eastAsia"/>
                      <w:color w:val="000000"/>
                      <w:szCs w:val="21"/>
                    </w:rPr>
                    <w:t>.0</w:t>
                  </w:r>
                  <w:r>
                    <w:rPr>
                      <w:rFonts w:hint="eastAsia"/>
                      <w:color w:val="000000"/>
                      <w:szCs w:val="21"/>
                      <w:lang w:val="en-US" w:eastAsia="zh-CN"/>
                    </w:rPr>
                    <w:t>7</w:t>
                  </w:r>
                </w:p>
              </w:tc>
              <w:tc>
                <w:tcPr>
                  <w:tcW w:w="7132" w:type="dxa"/>
                  <w:noWrap w:val="0"/>
                  <w:vAlign w:val="center"/>
                </w:tcPr>
                <w:p w14:paraId="469244E4">
                  <w:pPr>
                    <w:widowControl/>
                    <w:tabs>
                      <w:tab w:val="left" w:pos="720"/>
                    </w:tabs>
                    <w:snapToGrid w:val="0"/>
                    <w:spacing w:before="78" w:beforeLines="25" w:after="78" w:afterLines="25"/>
                    <w:jc w:val="left"/>
                    <w:rPr>
                      <w:rFonts w:hint="eastAsia" w:ascii="宋体" w:hAnsi="宋体"/>
                      <w:b/>
                      <w:bCs/>
                      <w:sz w:val="28"/>
                      <w:szCs w:val="28"/>
                      <w:vertAlign w:val="baseline"/>
                    </w:rPr>
                  </w:pPr>
                  <w:r>
                    <w:rPr>
                      <w:rFonts w:hint="eastAsia" w:ascii="楷体" w:hAnsi="楷体" w:eastAsia="楷体" w:cs="楷体"/>
                    </w:rPr>
                    <w:t>撰写论文、结题</w:t>
                  </w:r>
                </w:p>
              </w:tc>
            </w:tr>
          </w:tbl>
          <w:p w14:paraId="36549844">
            <w:pPr>
              <w:spacing w:line="360" w:lineRule="auto"/>
              <w:jc w:val="left"/>
              <w:rPr>
                <w:rFonts w:ascii="仿宋" w:hAnsi="仿宋" w:eastAsia="仿宋"/>
                <w:sz w:val="24"/>
                <w:szCs w:val="24"/>
              </w:rPr>
            </w:pPr>
          </w:p>
          <w:p w14:paraId="66622B2A">
            <w:pPr>
              <w:spacing w:line="360" w:lineRule="auto"/>
              <w:jc w:val="left"/>
              <w:rPr>
                <w:rFonts w:ascii="仿宋" w:hAnsi="仿宋" w:eastAsia="仿宋"/>
                <w:sz w:val="24"/>
                <w:szCs w:val="24"/>
              </w:rPr>
            </w:pPr>
          </w:p>
        </w:tc>
      </w:tr>
      <w:tr w14:paraId="036325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Before w:val="1"/>
          <w:gridAfter w:val="2"/>
          <w:wBefore w:w="9" w:type="dxa"/>
          <w:wAfter w:w="9" w:type="dxa"/>
          <w:trHeight w:val="435" w:hRule="atLeast"/>
          <w:jc w:val="center"/>
        </w:trPr>
        <w:tc>
          <w:tcPr>
            <w:tcW w:w="8504" w:type="dxa"/>
            <w:shd w:val="clear" w:color="auto" w:fill="auto"/>
          </w:tcPr>
          <w:p w14:paraId="3AFF5D20">
            <w:pPr>
              <w:spacing w:line="360" w:lineRule="auto"/>
              <w:jc w:val="left"/>
              <w:rPr>
                <w:rFonts w:hint="eastAsia" w:ascii="仿宋" w:hAnsi="仿宋" w:eastAsia="仿宋"/>
                <w:sz w:val="24"/>
                <w:szCs w:val="24"/>
              </w:rPr>
            </w:pPr>
            <w:r>
              <w:rPr>
                <w:rFonts w:hint="eastAsia" w:ascii="仿宋" w:hAnsi="仿宋" w:eastAsia="仿宋"/>
                <w:sz w:val="24"/>
                <w:szCs w:val="24"/>
              </w:rPr>
              <w:t>八、预期研究成果</w:t>
            </w:r>
          </w:p>
          <w:p w14:paraId="0BE52DD5">
            <w:pPr>
              <w:spacing w:line="360" w:lineRule="auto"/>
              <w:jc w:val="left"/>
              <w:rPr>
                <w:rFonts w:hint="eastAsia" w:ascii="仿宋" w:hAnsi="仿宋" w:eastAsia="仿宋"/>
                <w:sz w:val="24"/>
                <w:szCs w:val="24"/>
              </w:rPr>
            </w:pPr>
            <w:r>
              <w:rPr>
                <w:rFonts w:hint="eastAsia" w:ascii="仿宋" w:hAnsi="仿宋" w:eastAsia="仿宋"/>
                <w:sz w:val="24"/>
                <w:szCs w:val="24"/>
              </w:rPr>
              <w:t>1. γδT细胞免疫治疗在耐多药肺结核患者中取得成功，并逐步在临床推广应用。</w:t>
            </w:r>
          </w:p>
          <w:p w14:paraId="124B0F92">
            <w:pPr>
              <w:spacing w:line="360" w:lineRule="auto"/>
              <w:jc w:val="left"/>
              <w:rPr>
                <w:rFonts w:hint="eastAsia" w:ascii="仿宋" w:hAnsi="仿宋" w:eastAsia="仿宋"/>
                <w:sz w:val="24"/>
                <w:szCs w:val="24"/>
              </w:rPr>
            </w:pPr>
            <w:r>
              <w:rPr>
                <w:rFonts w:hint="eastAsia" w:ascii="仿宋" w:hAnsi="仿宋" w:eastAsia="仿宋"/>
                <w:sz w:val="24"/>
                <w:szCs w:val="24"/>
              </w:rPr>
              <w:t>2. 培养</w:t>
            </w:r>
            <w:r>
              <w:rPr>
                <w:rFonts w:hint="eastAsia" w:ascii="仿宋" w:hAnsi="仿宋" w:eastAsia="仿宋"/>
                <w:sz w:val="24"/>
                <w:szCs w:val="24"/>
                <w:lang w:val="en-US" w:eastAsia="zh-CN"/>
              </w:rPr>
              <w:t>博</w:t>
            </w:r>
            <w:r>
              <w:rPr>
                <w:rFonts w:hint="eastAsia" w:ascii="仿宋" w:hAnsi="仿宋" w:eastAsia="仿宋"/>
                <w:sz w:val="24"/>
                <w:szCs w:val="24"/>
              </w:rPr>
              <w:t>士研究生1名。</w:t>
            </w:r>
          </w:p>
          <w:p w14:paraId="566C2780">
            <w:pPr>
              <w:spacing w:line="360" w:lineRule="auto"/>
              <w:jc w:val="left"/>
              <w:rPr>
                <w:rFonts w:ascii="仿宋" w:hAnsi="仿宋" w:eastAsia="仿宋"/>
                <w:sz w:val="24"/>
                <w:szCs w:val="24"/>
              </w:rPr>
            </w:pPr>
            <w:r>
              <w:rPr>
                <w:rFonts w:hint="eastAsia" w:ascii="仿宋" w:hAnsi="仿宋" w:eastAsia="仿宋"/>
                <w:sz w:val="24"/>
                <w:szCs w:val="24"/>
              </w:rPr>
              <w:t>3. 发表SCI论文1-2篇。</w:t>
            </w:r>
          </w:p>
          <w:p w14:paraId="0E3431B2">
            <w:pPr>
              <w:spacing w:line="360" w:lineRule="auto"/>
              <w:jc w:val="left"/>
              <w:rPr>
                <w:rFonts w:ascii="仿宋" w:hAnsi="仿宋" w:eastAsia="仿宋"/>
                <w:sz w:val="24"/>
                <w:szCs w:val="24"/>
              </w:rPr>
            </w:pPr>
          </w:p>
        </w:tc>
      </w:tr>
      <w:tr w14:paraId="14CC6A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Before w:val="1"/>
          <w:gridAfter w:val="2"/>
          <w:wBefore w:w="9" w:type="dxa"/>
          <w:wAfter w:w="9" w:type="dxa"/>
          <w:trHeight w:val="615" w:hRule="atLeast"/>
          <w:jc w:val="center"/>
        </w:trPr>
        <w:tc>
          <w:tcPr>
            <w:tcW w:w="8504" w:type="dxa"/>
            <w:shd w:val="clear" w:color="auto" w:fill="auto"/>
          </w:tcPr>
          <w:p w14:paraId="0D93FD97">
            <w:pPr>
              <w:spacing w:line="360" w:lineRule="auto"/>
              <w:jc w:val="left"/>
              <w:rPr>
                <w:rFonts w:ascii="仿宋" w:hAnsi="仿宋" w:eastAsia="仿宋"/>
                <w:sz w:val="24"/>
                <w:szCs w:val="24"/>
              </w:rPr>
            </w:pPr>
            <w:r>
              <w:rPr>
                <w:rFonts w:hint="eastAsia" w:ascii="仿宋" w:hAnsi="仿宋" w:eastAsia="仿宋"/>
                <w:sz w:val="24"/>
                <w:szCs w:val="24"/>
              </w:rPr>
              <w:t>九、课题经费预算</w:t>
            </w:r>
          </w:p>
          <w:p w14:paraId="01744FD8">
            <w:pPr>
              <w:spacing w:line="360" w:lineRule="auto"/>
              <w:jc w:val="left"/>
              <w:rPr>
                <w:rFonts w:ascii="仿宋" w:hAnsi="仿宋" w:eastAsia="仿宋"/>
                <w:sz w:val="24"/>
                <w:szCs w:val="24"/>
              </w:rPr>
            </w:pPr>
            <w:r>
              <w:rPr>
                <w:rFonts w:hint="eastAsia" w:ascii="仿宋" w:hAnsi="仿宋" w:eastAsia="仿宋"/>
                <w:sz w:val="24"/>
                <w:szCs w:val="24"/>
              </w:rPr>
              <w:t>（如</w:t>
            </w:r>
            <w:r>
              <w:rPr>
                <w:rFonts w:ascii="仿宋" w:hAnsi="仿宋" w:eastAsia="仿宋"/>
                <w:sz w:val="24"/>
                <w:szCs w:val="24"/>
              </w:rPr>
              <w:t>需仪器设备和试剂</w:t>
            </w:r>
            <w:r>
              <w:rPr>
                <w:rFonts w:hint="eastAsia" w:ascii="仿宋" w:hAnsi="仿宋" w:eastAsia="仿宋"/>
                <w:sz w:val="24"/>
                <w:szCs w:val="24"/>
              </w:rPr>
              <w:t>者</w:t>
            </w:r>
            <w:r>
              <w:rPr>
                <w:rFonts w:ascii="仿宋" w:hAnsi="仿宋" w:eastAsia="仿宋"/>
                <w:sz w:val="24"/>
                <w:szCs w:val="24"/>
              </w:rPr>
              <w:t>请写出</w:t>
            </w:r>
            <w:r>
              <w:rPr>
                <w:rFonts w:hint="eastAsia" w:ascii="仿宋" w:hAnsi="仿宋" w:eastAsia="仿宋"/>
                <w:sz w:val="24"/>
                <w:szCs w:val="24"/>
              </w:rPr>
              <w:t>所需</w:t>
            </w:r>
            <w:r>
              <w:rPr>
                <w:rFonts w:ascii="仿宋" w:hAnsi="仿宋" w:eastAsia="仿宋"/>
                <w:sz w:val="24"/>
                <w:szCs w:val="24"/>
              </w:rPr>
              <w:t>的主要仪器设备和试剂</w:t>
            </w:r>
            <w:r>
              <w:rPr>
                <w:rFonts w:hint="eastAsia" w:ascii="仿宋" w:hAnsi="仿宋" w:eastAsia="仿宋"/>
                <w:sz w:val="24"/>
                <w:szCs w:val="24"/>
              </w:rPr>
              <w:t>）</w:t>
            </w:r>
          </w:p>
          <w:p w14:paraId="069F25A4">
            <w:pPr>
              <w:spacing w:line="360" w:lineRule="auto"/>
              <w:jc w:val="left"/>
              <w:rPr>
                <w:rFonts w:hint="eastAsia" w:ascii="仿宋" w:hAnsi="仿宋" w:eastAsia="仿宋"/>
                <w:sz w:val="24"/>
                <w:szCs w:val="24"/>
              </w:rPr>
            </w:pPr>
            <w:r>
              <w:rPr>
                <w:rFonts w:hint="eastAsia" w:ascii="仿宋" w:hAnsi="仿宋" w:eastAsia="仿宋"/>
                <w:sz w:val="24"/>
                <w:szCs w:val="24"/>
              </w:rPr>
              <w:t>1. 实验室耗材：20万元。</w:t>
            </w:r>
          </w:p>
          <w:p w14:paraId="46BFC361">
            <w:pPr>
              <w:spacing w:line="360" w:lineRule="auto"/>
              <w:jc w:val="left"/>
              <w:rPr>
                <w:rFonts w:hint="eastAsia" w:ascii="仿宋" w:hAnsi="仿宋" w:eastAsia="仿宋"/>
                <w:sz w:val="24"/>
                <w:szCs w:val="24"/>
              </w:rPr>
            </w:pPr>
            <w:r>
              <w:rPr>
                <w:rFonts w:hint="eastAsia" w:ascii="仿宋" w:hAnsi="仿宋" w:eastAsia="仿宋"/>
                <w:sz w:val="24"/>
                <w:szCs w:val="24"/>
              </w:rPr>
              <w:t>2. 临床试验补助：10万元。</w:t>
            </w:r>
          </w:p>
          <w:p w14:paraId="48EF2C72">
            <w:pPr>
              <w:spacing w:line="360" w:lineRule="auto"/>
              <w:jc w:val="left"/>
              <w:rPr>
                <w:rFonts w:ascii="仿宋" w:hAnsi="仿宋" w:eastAsia="仿宋"/>
                <w:sz w:val="24"/>
                <w:szCs w:val="24"/>
              </w:rPr>
            </w:pPr>
            <w:r>
              <w:rPr>
                <w:rFonts w:hint="eastAsia" w:ascii="仿宋" w:hAnsi="仿宋" w:eastAsia="仿宋"/>
                <w:sz w:val="24"/>
                <w:szCs w:val="24"/>
              </w:rPr>
              <w:t>合计30万元。</w:t>
            </w:r>
          </w:p>
          <w:p w14:paraId="1A88FFDC">
            <w:pPr>
              <w:spacing w:line="360" w:lineRule="auto"/>
              <w:jc w:val="left"/>
              <w:rPr>
                <w:rFonts w:ascii="仿宋" w:hAnsi="仿宋" w:eastAsia="仿宋"/>
                <w:sz w:val="24"/>
                <w:szCs w:val="24"/>
              </w:rPr>
            </w:pPr>
          </w:p>
        </w:tc>
      </w:tr>
      <w:tr w14:paraId="3CF915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gridBefore w:val="1"/>
          <w:gridAfter w:val="2"/>
          <w:wBefore w:w="9" w:type="dxa"/>
          <w:wAfter w:w="9" w:type="dxa"/>
          <w:trHeight w:val="1315" w:hRule="atLeast"/>
          <w:jc w:val="center"/>
        </w:trPr>
        <w:tc>
          <w:tcPr>
            <w:tcW w:w="8504" w:type="dxa"/>
            <w:shd w:val="clear" w:color="auto" w:fill="auto"/>
          </w:tcPr>
          <w:p w14:paraId="0126FFD8">
            <w:pPr>
              <w:spacing w:line="360" w:lineRule="auto"/>
              <w:jc w:val="left"/>
              <w:rPr>
                <w:rFonts w:ascii="仿宋" w:hAnsi="仿宋" w:eastAsia="仿宋"/>
                <w:sz w:val="24"/>
                <w:szCs w:val="24"/>
              </w:rPr>
            </w:pPr>
            <w:r>
              <w:rPr>
                <w:rFonts w:hint="eastAsia" w:ascii="仿宋" w:hAnsi="仿宋" w:eastAsia="仿宋"/>
                <w:sz w:val="24"/>
                <w:szCs w:val="24"/>
              </w:rPr>
              <w:t>十、参考文献</w:t>
            </w:r>
          </w:p>
          <w:p w14:paraId="5C98959D">
            <w:pPr>
              <w:spacing w:line="360" w:lineRule="auto"/>
              <w:jc w:val="left"/>
              <w:rPr>
                <w:rFonts w:hint="eastAsia"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rPr>
              <w:tab/>
            </w:r>
            <w:r>
              <w:rPr>
                <w:rFonts w:hint="eastAsia" w:ascii="仿宋" w:hAnsi="仿宋" w:eastAsia="仿宋"/>
                <w:sz w:val="24"/>
                <w:szCs w:val="24"/>
              </w:rPr>
              <w:t>WHO. Global tuberculosis report 2017. Geneva: World Health Organization, 2017.</w:t>
            </w:r>
          </w:p>
          <w:p w14:paraId="71C50D4D">
            <w:pPr>
              <w:spacing w:line="360" w:lineRule="auto"/>
              <w:jc w:val="left"/>
              <w:rPr>
                <w:rFonts w:hint="eastAsia" w:ascii="仿宋" w:hAnsi="仿宋" w:eastAsia="仿宋"/>
                <w:sz w:val="24"/>
                <w:szCs w:val="24"/>
              </w:rPr>
            </w:pPr>
            <w:r>
              <w:rPr>
                <w:rFonts w:hint="eastAsia" w:ascii="仿宋" w:hAnsi="仿宋" w:eastAsia="仿宋"/>
                <w:sz w:val="24"/>
                <w:szCs w:val="24"/>
              </w:rPr>
              <w:t xml:space="preserve"> [2]</w:t>
            </w:r>
            <w:r>
              <w:rPr>
                <w:rFonts w:hint="eastAsia" w:ascii="仿宋" w:hAnsi="仿宋" w:eastAsia="仿宋"/>
                <w:sz w:val="24"/>
                <w:szCs w:val="24"/>
              </w:rPr>
              <w:tab/>
            </w:r>
            <w:r>
              <w:rPr>
                <w:rFonts w:hint="eastAsia" w:ascii="仿宋" w:hAnsi="仿宋" w:eastAsia="仿宋"/>
                <w:sz w:val="24"/>
                <w:szCs w:val="24"/>
              </w:rPr>
              <w:t>Zumla A, Maeurer M, Chakaya J, et al. Towards host-directed therapies for tuberculosis[J]. Nat Rev Drug Discov, 2015,14(8):511-512.</w:t>
            </w:r>
          </w:p>
          <w:p w14:paraId="20CDF839">
            <w:pPr>
              <w:spacing w:line="360" w:lineRule="auto"/>
              <w:jc w:val="left"/>
              <w:rPr>
                <w:rFonts w:hint="eastAsia" w:ascii="仿宋" w:hAnsi="仿宋" w:eastAsia="仿宋"/>
                <w:sz w:val="24"/>
                <w:szCs w:val="24"/>
              </w:rPr>
            </w:pPr>
            <w:r>
              <w:rPr>
                <w:rFonts w:hint="eastAsia" w:ascii="仿宋" w:hAnsi="仿宋" w:eastAsia="仿宋"/>
                <w:sz w:val="24"/>
                <w:szCs w:val="24"/>
              </w:rPr>
              <w:t xml:space="preserve"> [3]</w:t>
            </w:r>
            <w:r>
              <w:rPr>
                <w:rFonts w:hint="eastAsia" w:ascii="仿宋" w:hAnsi="仿宋" w:eastAsia="仿宋"/>
                <w:sz w:val="24"/>
                <w:szCs w:val="24"/>
              </w:rPr>
              <w:tab/>
            </w:r>
            <w:r>
              <w:rPr>
                <w:rFonts w:hint="eastAsia" w:ascii="仿宋" w:hAnsi="仿宋" w:eastAsia="仿宋"/>
                <w:sz w:val="24"/>
                <w:szCs w:val="24"/>
              </w:rPr>
              <w:t>Cano-Muniz S, Anthony R, Niemann S, et al. New Approaches and Therapeutic Options for Mycobacterium tuberculosis in a Dormant State[J]. Clin Microbiol Rev, 2018,31(1).</w:t>
            </w:r>
          </w:p>
          <w:p w14:paraId="767BF648">
            <w:pPr>
              <w:spacing w:line="360" w:lineRule="auto"/>
              <w:jc w:val="left"/>
              <w:rPr>
                <w:rFonts w:hint="eastAsia" w:ascii="仿宋" w:hAnsi="仿宋" w:eastAsia="仿宋"/>
                <w:sz w:val="24"/>
                <w:szCs w:val="24"/>
              </w:rPr>
            </w:pPr>
            <w:r>
              <w:rPr>
                <w:rFonts w:hint="eastAsia" w:ascii="仿宋" w:hAnsi="仿宋" w:eastAsia="仿宋"/>
                <w:sz w:val="24"/>
                <w:szCs w:val="24"/>
              </w:rPr>
              <w:t xml:space="preserve"> [4]</w:t>
            </w:r>
            <w:r>
              <w:rPr>
                <w:rFonts w:hint="eastAsia" w:ascii="仿宋" w:hAnsi="仿宋" w:eastAsia="仿宋"/>
                <w:sz w:val="24"/>
                <w:szCs w:val="24"/>
              </w:rPr>
              <w:tab/>
            </w:r>
            <w:r>
              <w:rPr>
                <w:rFonts w:hint="eastAsia" w:ascii="仿宋" w:hAnsi="仿宋" w:eastAsia="仿宋"/>
                <w:sz w:val="24"/>
                <w:szCs w:val="24"/>
              </w:rPr>
              <w:t>Wallis R S, Hafner R. Advancing host-directed therapy for tuberculosis[J]. Nat Rev Immunol, 2015,15(4):255-263.</w:t>
            </w:r>
          </w:p>
          <w:p w14:paraId="5A13797C">
            <w:pPr>
              <w:spacing w:line="360" w:lineRule="auto"/>
              <w:jc w:val="left"/>
              <w:rPr>
                <w:rFonts w:hint="eastAsia" w:ascii="仿宋" w:hAnsi="仿宋" w:eastAsia="仿宋"/>
                <w:sz w:val="24"/>
                <w:szCs w:val="24"/>
              </w:rPr>
            </w:pPr>
            <w:r>
              <w:rPr>
                <w:rFonts w:hint="eastAsia" w:ascii="仿宋" w:hAnsi="仿宋" w:eastAsia="仿宋"/>
                <w:sz w:val="24"/>
                <w:szCs w:val="24"/>
              </w:rPr>
              <w:t xml:space="preserve"> [5]</w:t>
            </w:r>
            <w:r>
              <w:rPr>
                <w:rFonts w:hint="eastAsia" w:ascii="仿宋" w:hAnsi="仿宋" w:eastAsia="仿宋"/>
                <w:sz w:val="24"/>
                <w:szCs w:val="24"/>
              </w:rPr>
              <w:tab/>
            </w:r>
            <w:r>
              <w:rPr>
                <w:rFonts w:hint="eastAsia" w:ascii="仿宋" w:hAnsi="仿宋" w:eastAsia="仿宋"/>
                <w:sz w:val="24"/>
                <w:szCs w:val="24"/>
              </w:rPr>
              <w:t>Vantourout P, Hayday A. Six-of-the-best: unique contributions of gammadelta T cells to immunology[J]. Nat Rev Immunol, 2013,13(2):88-100.</w:t>
            </w:r>
          </w:p>
          <w:p w14:paraId="395A6D04">
            <w:pPr>
              <w:spacing w:line="360" w:lineRule="auto"/>
              <w:jc w:val="left"/>
              <w:rPr>
                <w:rFonts w:hint="eastAsia" w:ascii="仿宋" w:hAnsi="仿宋" w:eastAsia="仿宋"/>
                <w:sz w:val="24"/>
                <w:szCs w:val="24"/>
              </w:rPr>
            </w:pPr>
            <w:r>
              <w:rPr>
                <w:rFonts w:hint="eastAsia" w:ascii="仿宋" w:hAnsi="仿宋" w:eastAsia="仿宋"/>
                <w:sz w:val="24"/>
                <w:szCs w:val="24"/>
              </w:rPr>
              <w:t xml:space="preserve"> [6]</w:t>
            </w:r>
            <w:r>
              <w:rPr>
                <w:rFonts w:hint="eastAsia" w:ascii="仿宋" w:hAnsi="仿宋" w:eastAsia="仿宋"/>
                <w:sz w:val="24"/>
                <w:szCs w:val="24"/>
              </w:rPr>
              <w:tab/>
            </w:r>
            <w:r>
              <w:rPr>
                <w:rFonts w:hint="eastAsia" w:ascii="仿宋" w:hAnsi="仿宋" w:eastAsia="仿宋"/>
                <w:sz w:val="24"/>
                <w:szCs w:val="24"/>
              </w:rPr>
              <w:t>Wu D, Wu P, Qiu F, et al. Human gammadeltaT-cell subsets and their involvement in tumor immunity[J]. Cell Mol Immunol, 2017,14(3):245-253.</w:t>
            </w:r>
          </w:p>
          <w:p w14:paraId="7FD470D8">
            <w:pPr>
              <w:spacing w:line="360" w:lineRule="auto"/>
              <w:jc w:val="left"/>
              <w:rPr>
                <w:rFonts w:hint="eastAsia" w:ascii="仿宋" w:hAnsi="仿宋" w:eastAsia="仿宋"/>
                <w:sz w:val="24"/>
                <w:szCs w:val="24"/>
              </w:rPr>
            </w:pPr>
            <w:r>
              <w:rPr>
                <w:rFonts w:hint="eastAsia" w:ascii="仿宋" w:hAnsi="仿宋" w:eastAsia="仿宋"/>
                <w:sz w:val="24"/>
                <w:szCs w:val="24"/>
              </w:rPr>
              <w:t xml:space="preserve"> [7]</w:t>
            </w:r>
            <w:r>
              <w:rPr>
                <w:rFonts w:hint="eastAsia" w:ascii="仿宋" w:hAnsi="仿宋" w:eastAsia="仿宋"/>
                <w:sz w:val="24"/>
                <w:szCs w:val="24"/>
              </w:rPr>
              <w:tab/>
            </w:r>
            <w:r>
              <w:rPr>
                <w:rFonts w:hint="eastAsia" w:ascii="仿宋" w:hAnsi="仿宋" w:eastAsia="仿宋"/>
                <w:sz w:val="24"/>
                <w:szCs w:val="24"/>
              </w:rPr>
              <w:t>Zhao Y, Niu C, Cui J. Gamma-delta (gammadelta) T cells: friend or foe in cancer development?[J]. J Transl Med, 2018,16(1):3.</w:t>
            </w:r>
          </w:p>
          <w:p w14:paraId="20027E6C">
            <w:pPr>
              <w:spacing w:line="360" w:lineRule="auto"/>
              <w:jc w:val="left"/>
              <w:rPr>
                <w:rFonts w:hint="eastAsia" w:ascii="仿宋" w:hAnsi="仿宋" w:eastAsia="仿宋"/>
                <w:sz w:val="24"/>
                <w:szCs w:val="24"/>
              </w:rPr>
            </w:pPr>
            <w:r>
              <w:rPr>
                <w:rFonts w:hint="eastAsia" w:ascii="仿宋" w:hAnsi="仿宋" w:eastAsia="仿宋"/>
                <w:sz w:val="24"/>
                <w:szCs w:val="24"/>
              </w:rPr>
              <w:t xml:space="preserve"> [8]</w:t>
            </w:r>
            <w:r>
              <w:rPr>
                <w:rFonts w:hint="eastAsia" w:ascii="仿宋" w:hAnsi="仿宋" w:eastAsia="仿宋"/>
                <w:sz w:val="24"/>
                <w:szCs w:val="24"/>
              </w:rPr>
              <w:tab/>
            </w:r>
            <w:r>
              <w:rPr>
                <w:rFonts w:hint="eastAsia" w:ascii="仿宋" w:hAnsi="仿宋" w:eastAsia="仿宋"/>
                <w:sz w:val="24"/>
                <w:szCs w:val="24"/>
              </w:rPr>
              <w:t>Sakamoto M, Nakajima J, Murakawa T, et al. Adoptive immunotherapy for advanced non-small cell lung cancer using zoledronate-expanded gammadeltaTcells: a phase I clinical study[J]. J Immunother, 2011,34(2):202-211.</w:t>
            </w:r>
          </w:p>
          <w:p w14:paraId="6A8392EE">
            <w:pPr>
              <w:spacing w:line="360" w:lineRule="auto"/>
              <w:jc w:val="left"/>
              <w:rPr>
                <w:rFonts w:hint="eastAsia" w:ascii="仿宋" w:hAnsi="仿宋" w:eastAsia="仿宋"/>
                <w:sz w:val="24"/>
                <w:szCs w:val="24"/>
              </w:rPr>
            </w:pPr>
            <w:r>
              <w:rPr>
                <w:rFonts w:hint="eastAsia" w:ascii="仿宋" w:hAnsi="仿宋" w:eastAsia="仿宋"/>
                <w:sz w:val="24"/>
                <w:szCs w:val="24"/>
              </w:rPr>
              <w:t xml:space="preserve"> [9]</w:t>
            </w:r>
            <w:r>
              <w:rPr>
                <w:rFonts w:hint="eastAsia" w:ascii="仿宋" w:hAnsi="仿宋" w:eastAsia="仿宋"/>
                <w:sz w:val="24"/>
                <w:szCs w:val="24"/>
              </w:rPr>
              <w:tab/>
            </w:r>
            <w:r>
              <w:rPr>
                <w:rFonts w:hint="eastAsia" w:ascii="仿宋" w:hAnsi="仿宋" w:eastAsia="仿宋"/>
                <w:sz w:val="24"/>
                <w:szCs w:val="24"/>
              </w:rPr>
              <w:t>Chen C Y, Yao S, Huang D, et al. Phosphoantigen/IL2 expansion and differentiation of Vgamma2Vdelta2 T cells increase resistance to tuberculosis in nonhuman primates[J]. PLoS Pathog, 2013,9(8):e1003501.</w:t>
            </w:r>
          </w:p>
          <w:p w14:paraId="418D4416">
            <w:pPr>
              <w:spacing w:line="360" w:lineRule="auto"/>
              <w:jc w:val="left"/>
              <w:rPr>
                <w:rFonts w:hint="eastAsia" w:ascii="仿宋" w:hAnsi="仿宋" w:eastAsia="仿宋"/>
                <w:sz w:val="24"/>
                <w:szCs w:val="24"/>
              </w:rPr>
            </w:pPr>
            <w:r>
              <w:rPr>
                <w:rFonts w:hint="eastAsia" w:ascii="仿宋" w:hAnsi="仿宋" w:eastAsia="仿宋"/>
                <w:sz w:val="24"/>
                <w:szCs w:val="24"/>
              </w:rPr>
              <w:t>[10]</w:t>
            </w:r>
            <w:r>
              <w:rPr>
                <w:rFonts w:hint="eastAsia" w:ascii="仿宋" w:hAnsi="仿宋" w:eastAsia="仿宋"/>
                <w:sz w:val="24"/>
                <w:szCs w:val="24"/>
              </w:rPr>
              <w:tab/>
            </w:r>
            <w:r>
              <w:rPr>
                <w:rFonts w:hint="eastAsia" w:ascii="仿宋" w:hAnsi="仿宋" w:eastAsia="仿宋"/>
                <w:sz w:val="24"/>
                <w:szCs w:val="24"/>
              </w:rPr>
              <w:t>Kaufmann S H, Lange C, Rao M, et al. Progress in tuberculosis vaccine development and host-directed therapies--a state of the art review[J]. Lancet Respir Med, 2014,2(4):301-320.</w:t>
            </w:r>
          </w:p>
          <w:p w14:paraId="50C27F57">
            <w:pPr>
              <w:spacing w:line="360" w:lineRule="auto"/>
              <w:jc w:val="left"/>
              <w:rPr>
                <w:rFonts w:hint="eastAsia" w:ascii="仿宋" w:hAnsi="仿宋" w:eastAsia="仿宋"/>
                <w:sz w:val="24"/>
                <w:szCs w:val="24"/>
              </w:rPr>
            </w:pPr>
            <w:r>
              <w:rPr>
                <w:rFonts w:hint="eastAsia" w:ascii="仿宋" w:hAnsi="仿宋" w:eastAsia="仿宋"/>
                <w:sz w:val="24"/>
                <w:szCs w:val="24"/>
              </w:rPr>
              <w:t>[11]</w:t>
            </w:r>
            <w:r>
              <w:rPr>
                <w:rFonts w:hint="eastAsia" w:ascii="仿宋" w:hAnsi="仿宋" w:eastAsia="仿宋"/>
                <w:sz w:val="24"/>
                <w:szCs w:val="24"/>
              </w:rPr>
              <w:tab/>
            </w:r>
            <w:r>
              <w:rPr>
                <w:rFonts w:hint="eastAsia" w:ascii="仿宋" w:hAnsi="仿宋" w:eastAsia="仿宋"/>
                <w:sz w:val="24"/>
                <w:szCs w:val="24"/>
              </w:rPr>
              <w:t>Rothchild A C, Jayaraman P, Nunes-Alves C, et al. iNKT cell production of GM-CSF controls Mycobacterium tuberculosis[J]. PLoS Pathog, 2014,10(1):e1003805.</w:t>
            </w:r>
          </w:p>
          <w:p w14:paraId="6C5378C9">
            <w:pPr>
              <w:spacing w:line="360" w:lineRule="auto"/>
              <w:jc w:val="left"/>
              <w:rPr>
                <w:rFonts w:hint="eastAsia" w:ascii="仿宋" w:hAnsi="仿宋" w:eastAsia="仿宋"/>
                <w:sz w:val="24"/>
                <w:szCs w:val="24"/>
              </w:rPr>
            </w:pPr>
            <w:r>
              <w:rPr>
                <w:rFonts w:hint="eastAsia" w:ascii="仿宋" w:hAnsi="仿宋" w:eastAsia="仿宋"/>
                <w:sz w:val="24"/>
                <w:szCs w:val="24"/>
              </w:rPr>
              <w:t>[12]</w:t>
            </w:r>
            <w:r>
              <w:rPr>
                <w:rFonts w:hint="eastAsia" w:ascii="仿宋" w:hAnsi="仿宋" w:eastAsia="仿宋"/>
                <w:sz w:val="24"/>
                <w:szCs w:val="24"/>
              </w:rPr>
              <w:tab/>
            </w:r>
            <w:r>
              <w:rPr>
                <w:rFonts w:hint="eastAsia" w:ascii="仿宋" w:hAnsi="仿宋" w:eastAsia="仿宋"/>
                <w:sz w:val="24"/>
                <w:szCs w:val="24"/>
              </w:rPr>
              <w:t>Qaqish A, Huang D, Chen C Y, et al. Adoptive Transfer of Phosphoantigen-Specific gammadelta T Cell Subset Attenuates  Mycobacterium tuberculosis Infection in Nonhuman Primates[J]. J Immunol, 2017,198(12):4753-4763.</w:t>
            </w:r>
          </w:p>
          <w:p w14:paraId="33B8EE0E">
            <w:pPr>
              <w:spacing w:line="360" w:lineRule="auto"/>
              <w:jc w:val="left"/>
              <w:rPr>
                <w:rFonts w:hint="eastAsia" w:ascii="仿宋" w:hAnsi="仿宋" w:eastAsia="仿宋"/>
                <w:sz w:val="24"/>
                <w:szCs w:val="24"/>
              </w:rPr>
            </w:pPr>
            <w:r>
              <w:rPr>
                <w:rFonts w:hint="eastAsia" w:ascii="仿宋" w:hAnsi="仿宋" w:eastAsia="仿宋"/>
                <w:sz w:val="24"/>
                <w:szCs w:val="24"/>
              </w:rPr>
              <w:t>[13]</w:t>
            </w:r>
            <w:r>
              <w:rPr>
                <w:rFonts w:hint="eastAsia" w:ascii="仿宋" w:hAnsi="仿宋" w:eastAsia="仿宋"/>
                <w:sz w:val="24"/>
                <w:szCs w:val="24"/>
              </w:rPr>
              <w:tab/>
            </w:r>
            <w:r>
              <w:rPr>
                <w:rFonts w:hint="eastAsia" w:ascii="仿宋" w:hAnsi="仿宋" w:eastAsia="仿宋"/>
                <w:sz w:val="24"/>
                <w:szCs w:val="24"/>
              </w:rPr>
              <w:t>Campbell J J, Brightling C E, Symon F A, et al. Expression of chemokine receptors by lung T cells from normal and asthmatic subjects[J]. J Immunol, 2001,166(4):2842-2848.</w:t>
            </w:r>
          </w:p>
          <w:p w14:paraId="70087B1B">
            <w:pPr>
              <w:spacing w:line="360" w:lineRule="auto"/>
              <w:jc w:val="left"/>
              <w:rPr>
                <w:rFonts w:hint="eastAsia" w:ascii="仿宋" w:hAnsi="仿宋" w:eastAsia="仿宋"/>
                <w:sz w:val="24"/>
                <w:szCs w:val="24"/>
              </w:rPr>
            </w:pPr>
            <w:r>
              <w:rPr>
                <w:rFonts w:hint="eastAsia" w:ascii="仿宋" w:hAnsi="仿宋" w:eastAsia="仿宋"/>
                <w:sz w:val="24"/>
                <w:szCs w:val="24"/>
              </w:rPr>
              <w:t>[14]</w:t>
            </w:r>
            <w:r>
              <w:rPr>
                <w:rFonts w:hint="eastAsia" w:ascii="仿宋" w:hAnsi="仿宋" w:eastAsia="仿宋"/>
                <w:sz w:val="24"/>
                <w:szCs w:val="24"/>
              </w:rPr>
              <w:tab/>
            </w:r>
            <w:r>
              <w:rPr>
                <w:rFonts w:hint="eastAsia" w:ascii="仿宋" w:hAnsi="仿宋" w:eastAsia="仿宋"/>
                <w:sz w:val="24"/>
                <w:szCs w:val="24"/>
              </w:rPr>
              <w:t>El D S, Sacchi A, Montesano C, et al. An abnormal phenotype of lung Vgamma9Vdelta2 T cells impairs their responsiveness in tuberculosis patients[J]. Cell Immunol, 2013,282(2):106-112.</w:t>
            </w:r>
          </w:p>
          <w:p w14:paraId="7A665470">
            <w:pPr>
              <w:spacing w:line="360" w:lineRule="auto"/>
              <w:jc w:val="left"/>
              <w:rPr>
                <w:rFonts w:hint="eastAsia" w:ascii="仿宋" w:hAnsi="仿宋" w:eastAsia="仿宋"/>
                <w:sz w:val="24"/>
                <w:szCs w:val="24"/>
              </w:rPr>
            </w:pPr>
            <w:r>
              <w:rPr>
                <w:rFonts w:hint="eastAsia" w:ascii="仿宋" w:hAnsi="仿宋" w:eastAsia="仿宋"/>
                <w:sz w:val="24"/>
                <w:szCs w:val="24"/>
              </w:rPr>
              <w:t>[15]</w:t>
            </w:r>
            <w:r>
              <w:rPr>
                <w:rFonts w:hint="eastAsia" w:ascii="仿宋" w:hAnsi="仿宋" w:eastAsia="仿宋"/>
                <w:sz w:val="24"/>
                <w:szCs w:val="24"/>
              </w:rPr>
              <w:tab/>
            </w:r>
            <w:r>
              <w:rPr>
                <w:rFonts w:hint="eastAsia" w:ascii="仿宋" w:hAnsi="仿宋" w:eastAsia="仿宋"/>
                <w:sz w:val="24"/>
                <w:szCs w:val="24"/>
              </w:rPr>
              <w:t>Cassidy J P, Martineau A R. Innate resistance to tuberculosis in man, cattle and laboratory animal models: nipping disease in the bud?[J]. J Comp Pathol, 2014,151(4):291-308.</w:t>
            </w:r>
          </w:p>
          <w:p w14:paraId="5349F2D2">
            <w:pPr>
              <w:spacing w:line="360" w:lineRule="auto"/>
              <w:jc w:val="left"/>
              <w:rPr>
                <w:rFonts w:hint="eastAsia" w:ascii="仿宋" w:hAnsi="仿宋" w:eastAsia="仿宋"/>
                <w:sz w:val="24"/>
                <w:szCs w:val="24"/>
              </w:rPr>
            </w:pPr>
            <w:r>
              <w:rPr>
                <w:rFonts w:hint="eastAsia" w:ascii="仿宋" w:hAnsi="仿宋" w:eastAsia="仿宋"/>
                <w:sz w:val="24"/>
                <w:szCs w:val="24"/>
              </w:rPr>
              <w:t>[16]</w:t>
            </w:r>
            <w:r>
              <w:rPr>
                <w:rFonts w:hint="eastAsia" w:ascii="仿宋" w:hAnsi="仿宋" w:eastAsia="仿宋"/>
                <w:sz w:val="24"/>
                <w:szCs w:val="24"/>
              </w:rPr>
              <w:tab/>
            </w:r>
            <w:r>
              <w:rPr>
                <w:rFonts w:hint="eastAsia" w:ascii="仿宋" w:hAnsi="仿宋" w:eastAsia="仿宋"/>
                <w:sz w:val="24"/>
                <w:szCs w:val="24"/>
              </w:rPr>
              <w:t>Alsaad N, Wilffert B, van Altena R, et al. Potential antimicrobial agents for the treatment of multidrug-resistant tuberculosis[J]. Eur Respir J, 2014,43(3):884-897.</w:t>
            </w:r>
          </w:p>
          <w:p w14:paraId="30F34649">
            <w:pPr>
              <w:spacing w:line="360" w:lineRule="auto"/>
              <w:jc w:val="left"/>
              <w:rPr>
                <w:rFonts w:hint="eastAsia" w:ascii="仿宋" w:hAnsi="仿宋" w:eastAsia="仿宋"/>
                <w:sz w:val="24"/>
                <w:szCs w:val="24"/>
              </w:rPr>
            </w:pPr>
            <w:r>
              <w:rPr>
                <w:rFonts w:hint="eastAsia" w:ascii="仿宋" w:hAnsi="仿宋" w:eastAsia="仿宋"/>
                <w:sz w:val="24"/>
                <w:szCs w:val="24"/>
              </w:rPr>
              <w:t>[17]</w:t>
            </w:r>
            <w:r>
              <w:rPr>
                <w:rFonts w:hint="eastAsia" w:ascii="仿宋" w:hAnsi="仿宋" w:eastAsia="仿宋"/>
                <w:sz w:val="24"/>
                <w:szCs w:val="24"/>
              </w:rPr>
              <w:tab/>
            </w:r>
            <w:r>
              <w:rPr>
                <w:rFonts w:hint="eastAsia" w:ascii="仿宋" w:hAnsi="仿宋" w:eastAsia="仿宋"/>
                <w:sz w:val="24"/>
                <w:szCs w:val="24"/>
              </w:rPr>
              <w:t>Ordway D J, Pinto L, Costa L, et al. Gamma delta T cell responses associated with the development of tuberculosis in health care workers[J]. FEMS Immunol Med Microbiol, 2005,43(3):339-350.</w:t>
            </w:r>
          </w:p>
          <w:p w14:paraId="16AC6CCB">
            <w:pPr>
              <w:spacing w:line="360" w:lineRule="auto"/>
              <w:jc w:val="left"/>
              <w:rPr>
                <w:rFonts w:hint="eastAsia" w:ascii="仿宋" w:hAnsi="仿宋" w:eastAsia="仿宋"/>
                <w:sz w:val="24"/>
                <w:szCs w:val="24"/>
              </w:rPr>
            </w:pPr>
            <w:r>
              <w:rPr>
                <w:rFonts w:hint="eastAsia" w:ascii="仿宋" w:hAnsi="仿宋" w:eastAsia="仿宋"/>
                <w:sz w:val="24"/>
                <w:szCs w:val="24"/>
              </w:rPr>
              <w:t>[18]</w:t>
            </w:r>
            <w:r>
              <w:rPr>
                <w:rFonts w:hint="eastAsia" w:ascii="仿宋" w:hAnsi="仿宋" w:eastAsia="仿宋"/>
                <w:sz w:val="24"/>
                <w:szCs w:val="24"/>
              </w:rPr>
              <w:tab/>
            </w:r>
            <w:r>
              <w:rPr>
                <w:rFonts w:hint="eastAsia" w:ascii="仿宋" w:hAnsi="仿宋" w:eastAsia="仿宋"/>
                <w:sz w:val="24"/>
                <w:szCs w:val="24"/>
              </w:rPr>
              <w:t>Juno J A, Waruk J, Harris A, et al. gammadelta T-cell function is inhibited in end-stage renal disease and impacted by latent tuberculosis infection[J]. Kidney Int, 2017,92(4):1003-1014.</w:t>
            </w:r>
          </w:p>
          <w:p w14:paraId="37EA33DE">
            <w:pPr>
              <w:spacing w:line="360" w:lineRule="auto"/>
              <w:jc w:val="left"/>
              <w:rPr>
                <w:rFonts w:hint="eastAsia" w:ascii="仿宋" w:hAnsi="仿宋" w:eastAsia="仿宋"/>
                <w:sz w:val="24"/>
                <w:szCs w:val="24"/>
              </w:rPr>
            </w:pPr>
            <w:r>
              <w:rPr>
                <w:rFonts w:hint="eastAsia" w:ascii="仿宋" w:hAnsi="仿宋" w:eastAsia="仿宋"/>
                <w:sz w:val="24"/>
                <w:szCs w:val="24"/>
              </w:rPr>
              <w:t>[19]</w:t>
            </w:r>
            <w:r>
              <w:rPr>
                <w:rFonts w:hint="eastAsia" w:ascii="仿宋" w:hAnsi="仿宋" w:eastAsia="仿宋"/>
                <w:sz w:val="24"/>
                <w:szCs w:val="24"/>
              </w:rPr>
              <w:tab/>
            </w:r>
            <w:r>
              <w:rPr>
                <w:rFonts w:hint="eastAsia" w:ascii="仿宋" w:hAnsi="仿宋" w:eastAsia="仿宋"/>
                <w:sz w:val="24"/>
                <w:szCs w:val="24"/>
              </w:rPr>
              <w:t>WHO. World Health Organization treatment guidelines for drug-resistant tuberculosis, 2016 update. Geneva: World Health Organization, 2016.</w:t>
            </w:r>
          </w:p>
          <w:p w14:paraId="202AE03E">
            <w:pPr>
              <w:spacing w:line="360" w:lineRule="auto"/>
              <w:jc w:val="left"/>
              <w:rPr>
                <w:rFonts w:ascii="仿宋" w:hAnsi="仿宋" w:eastAsia="仿宋"/>
                <w:sz w:val="24"/>
                <w:szCs w:val="24"/>
              </w:rPr>
            </w:pPr>
            <w:r>
              <w:rPr>
                <w:rFonts w:hint="eastAsia" w:ascii="仿宋" w:hAnsi="仿宋" w:eastAsia="仿宋"/>
                <w:sz w:val="24"/>
                <w:szCs w:val="24"/>
              </w:rPr>
              <w:t>[20]</w:t>
            </w:r>
            <w:r>
              <w:rPr>
                <w:rFonts w:hint="eastAsia" w:ascii="仿宋" w:hAnsi="仿宋" w:eastAsia="仿宋"/>
                <w:sz w:val="24"/>
                <w:szCs w:val="24"/>
              </w:rPr>
              <w:tab/>
            </w:r>
            <w:r>
              <w:rPr>
                <w:rFonts w:hint="eastAsia" w:ascii="仿宋" w:hAnsi="仿宋" w:eastAsia="仿宋"/>
                <w:sz w:val="24"/>
                <w:szCs w:val="24"/>
              </w:rPr>
              <w:t>WHO.  EN TB - Active tuberculosis drug-safety monitoring and management (aDSM). Geneva: World Health Organization, 2016.</w:t>
            </w:r>
          </w:p>
          <w:p w14:paraId="27E966EB">
            <w:pPr>
              <w:spacing w:line="360" w:lineRule="auto"/>
              <w:jc w:val="left"/>
              <w:rPr>
                <w:rFonts w:ascii="仿宋" w:hAnsi="仿宋" w:eastAsia="仿宋"/>
                <w:sz w:val="24"/>
                <w:szCs w:val="24"/>
              </w:rPr>
            </w:pPr>
          </w:p>
          <w:p w14:paraId="401E0848">
            <w:pPr>
              <w:spacing w:line="360" w:lineRule="auto"/>
              <w:jc w:val="left"/>
              <w:rPr>
                <w:rFonts w:ascii="仿宋" w:hAnsi="仿宋" w:eastAsia="仿宋"/>
                <w:sz w:val="24"/>
                <w:szCs w:val="24"/>
              </w:rPr>
            </w:pPr>
          </w:p>
          <w:p w14:paraId="5B3093DD">
            <w:pPr>
              <w:tabs>
                <w:tab w:val="left" w:pos="860"/>
                <w:tab w:val="left" w:pos="4714"/>
                <w:tab w:val="left" w:pos="8850"/>
              </w:tabs>
              <w:spacing w:line="360" w:lineRule="auto"/>
              <w:jc w:val="right"/>
              <w:rPr>
                <w:rFonts w:hint="eastAsia" w:ascii="仿宋" w:hAnsi="仿宋" w:eastAsia="仿宋"/>
                <w:sz w:val="24"/>
                <w:szCs w:val="24"/>
                <w:lang w:val="en-US" w:eastAsia="zh-CN"/>
              </w:rPr>
            </w:pPr>
            <w:r>
              <w:rPr>
                <w:rFonts w:hint="eastAsia" w:ascii="仿宋" w:hAnsi="仿宋" w:eastAsia="仿宋"/>
                <w:sz w:val="24"/>
                <w:szCs w:val="24"/>
              </w:rPr>
              <w:t>研究生签字：</w:t>
            </w:r>
            <w:r>
              <w:rPr>
                <w:rFonts w:hint="eastAsia" w:ascii="仿宋" w:hAnsi="仿宋" w:eastAsia="仿宋"/>
                <w:sz w:val="24"/>
                <w:szCs w:val="24"/>
                <w:lang w:val="en-US" w:eastAsia="zh-CN"/>
              </w:rPr>
              <w:drawing>
                <wp:inline distT="0" distB="0" distL="114300" distR="114300">
                  <wp:extent cx="408940" cy="349885"/>
                  <wp:effectExtent l="0" t="0" r="10160" b="12065"/>
                  <wp:docPr id="10" name="图片 10" descr="60c759c98027593d4760a85fccce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0c759c98027593d4760a85fcccea5a"/>
                          <pic:cNvPicPr>
                            <a:picLocks noChangeAspect="1"/>
                          </pic:cNvPicPr>
                        </pic:nvPicPr>
                        <pic:blipFill>
                          <a:blip r:embed="rId14"/>
                          <a:stretch>
                            <a:fillRect/>
                          </a:stretch>
                        </pic:blipFill>
                        <pic:spPr>
                          <a:xfrm>
                            <a:off x="0" y="0"/>
                            <a:ext cx="408940" cy="349885"/>
                          </a:xfrm>
                          <a:prstGeom prst="rect">
                            <a:avLst/>
                          </a:prstGeom>
                        </pic:spPr>
                      </pic:pic>
                    </a:graphicData>
                  </a:graphic>
                </wp:inline>
              </w:drawing>
            </w:r>
          </w:p>
          <w:p w14:paraId="71A559BA">
            <w:pPr>
              <w:tabs>
                <w:tab w:val="left" w:pos="860"/>
                <w:tab w:val="left" w:pos="4714"/>
                <w:tab w:val="left" w:pos="8850"/>
              </w:tabs>
              <w:spacing w:line="360" w:lineRule="auto"/>
              <w:jc w:val="right"/>
              <w:rPr>
                <w:rFonts w:ascii="仿宋" w:hAnsi="仿宋" w:eastAsia="仿宋"/>
                <w:sz w:val="24"/>
                <w:szCs w:val="24"/>
              </w:rPr>
            </w:pPr>
          </w:p>
          <w:p w14:paraId="6F70299B">
            <w:pPr>
              <w:spacing w:line="360" w:lineRule="auto"/>
              <w:ind w:right="120"/>
              <w:jc w:val="right"/>
              <w:rPr>
                <w:rFonts w:hint="default" w:ascii="仿宋" w:hAnsi="仿宋" w:eastAsia="仿宋"/>
                <w:sz w:val="24"/>
                <w:szCs w:val="24"/>
                <w:lang w:val="en-US" w:eastAsia="zh-CN"/>
              </w:rPr>
            </w:pPr>
            <w:r>
              <w:rPr>
                <w:rFonts w:hint="eastAsia" w:ascii="仿宋" w:hAnsi="仿宋" w:eastAsia="仿宋"/>
                <w:sz w:val="24"/>
                <w:szCs w:val="24"/>
              </w:rPr>
              <w:t>日期</w:t>
            </w:r>
            <w:r>
              <w:rPr>
                <w:rFonts w:ascii="仿宋" w:hAnsi="仿宋" w:eastAsia="仿宋"/>
                <w:sz w:val="24"/>
                <w:szCs w:val="24"/>
              </w:rPr>
              <w:t>：</w:t>
            </w:r>
            <w:r>
              <w:rPr>
                <w:rFonts w:hint="eastAsia" w:ascii="仿宋" w:hAnsi="仿宋" w:eastAsia="仿宋"/>
                <w:sz w:val="24"/>
                <w:szCs w:val="24"/>
                <w:lang w:val="en-US" w:eastAsia="zh-CN"/>
              </w:rPr>
              <w:t>2018-08-20</w:t>
            </w:r>
          </w:p>
        </w:tc>
      </w:tr>
    </w:tbl>
    <w:p w14:paraId="2B7E1CF2">
      <w:pPr>
        <w:widowControl/>
        <w:jc w:val="left"/>
        <w:rPr>
          <w:rFonts w:ascii="仿宋" w:hAnsi="仿宋" w:eastAsia="仿宋"/>
          <w:szCs w:val="28"/>
        </w:rPr>
        <w:sectPr>
          <w:pgSz w:w="11906" w:h="16838"/>
          <w:pgMar w:top="1440" w:right="1800" w:bottom="1440" w:left="1800" w:header="851" w:footer="992" w:gutter="0"/>
          <w:pgNumType w:fmt="decimal"/>
          <w:cols w:space="425" w:num="1"/>
          <w:titlePg/>
          <w:docGrid w:type="lines" w:linePitch="312" w:charSpace="0"/>
        </w:sectPr>
      </w:pPr>
      <w:r>
        <w:rPr>
          <w:rFonts w:hint="eastAsia" w:ascii="仿宋" w:hAnsi="仿宋" w:eastAsia="仿宋"/>
          <w:szCs w:val="28"/>
        </w:rPr>
        <w:t>备注</w:t>
      </w:r>
      <w:r>
        <w:rPr>
          <w:rFonts w:ascii="仿宋" w:hAnsi="仿宋" w:eastAsia="仿宋"/>
          <w:szCs w:val="28"/>
        </w:rPr>
        <w:t>：</w:t>
      </w:r>
      <w:r>
        <w:rPr>
          <w:rFonts w:hint="eastAsia" w:ascii="仿宋" w:hAnsi="仿宋" w:eastAsia="仿宋"/>
          <w:szCs w:val="28"/>
        </w:rPr>
        <w:t>学位论文开题报告字数博士不少于4000字，硕士不少于2000字。</w:t>
      </w:r>
    </w:p>
    <w:p w14:paraId="64EFF8E8">
      <w:pPr>
        <w:widowControl/>
        <w:jc w:val="center"/>
        <w:rPr>
          <w:rFonts w:ascii="华文中宋" w:hAnsi="华文中宋" w:eastAsia="华文中宋"/>
          <w:sz w:val="36"/>
          <w:szCs w:val="44"/>
        </w:rPr>
      </w:pPr>
      <w:r>
        <w:rPr>
          <w:rFonts w:hint="eastAsia" w:ascii="华文中宋" w:hAnsi="华文中宋" w:eastAsia="华文中宋"/>
          <w:sz w:val="36"/>
          <w:szCs w:val="44"/>
        </w:rPr>
        <w:t>首都医科大学学位论文开题报告考核记录</w:t>
      </w:r>
    </w:p>
    <w:tbl>
      <w:tblPr>
        <w:tblStyle w:val="7"/>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1416"/>
        <w:gridCol w:w="1407"/>
        <w:gridCol w:w="3982"/>
      </w:tblGrid>
      <w:tr w14:paraId="661B6A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0" w:type="dxa"/>
            <w:tcBorders>
              <w:top w:val="single" w:color="auto" w:sz="12" w:space="0"/>
              <w:left w:val="single" w:color="auto" w:sz="12" w:space="0"/>
            </w:tcBorders>
            <w:vAlign w:val="center"/>
          </w:tcPr>
          <w:p w14:paraId="652CBEA9">
            <w:pPr>
              <w:pStyle w:val="16"/>
              <w:framePr w:wrap="auto" w:vAnchor="margin" w:hAnchor="text" w:yAlign="inline"/>
              <w:jc w:val="center"/>
              <w:rPr>
                <w:rFonts w:ascii="仿宋" w:hAnsi="仿宋" w:eastAsia="仿宋"/>
                <w:color w:val="000000"/>
                <w:sz w:val="24"/>
                <w:szCs w:val="24"/>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414" w:type="dxa"/>
            <w:tcBorders>
              <w:top w:val="single" w:color="auto" w:sz="12" w:space="0"/>
            </w:tcBorders>
            <w:vAlign w:val="center"/>
          </w:tcPr>
          <w:p w14:paraId="009B4632">
            <w:pPr>
              <w:rPr>
                <w:rFonts w:ascii="仿宋" w:hAnsi="仿宋" w:eastAsia="仿宋"/>
                <w:color w:val="000000"/>
                <w:sz w:val="24"/>
                <w:szCs w:val="24"/>
              </w:rPr>
            </w:pPr>
            <w:r>
              <w:rPr>
                <w:rFonts w:hint="eastAsia" w:ascii="仿宋" w:hAnsi="仿宋" w:eastAsia="仿宋" w:cs="仿宋"/>
                <w:lang w:eastAsia="zh-CN"/>
              </w:rPr>
              <w:t>付亮</w:t>
            </w:r>
          </w:p>
        </w:tc>
        <w:tc>
          <w:tcPr>
            <w:tcW w:w="1407" w:type="dxa"/>
            <w:tcBorders>
              <w:top w:val="single" w:color="auto" w:sz="12" w:space="0"/>
            </w:tcBorders>
            <w:vAlign w:val="center"/>
          </w:tcPr>
          <w:p w14:paraId="5FE095BF">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学号</w:t>
            </w:r>
          </w:p>
        </w:tc>
        <w:tc>
          <w:tcPr>
            <w:tcW w:w="3983" w:type="dxa"/>
            <w:tcBorders>
              <w:top w:val="single" w:color="auto" w:sz="12" w:space="0"/>
              <w:right w:val="single" w:color="auto" w:sz="12" w:space="0"/>
            </w:tcBorders>
            <w:vAlign w:val="center"/>
          </w:tcPr>
          <w:p w14:paraId="45DDB952">
            <w:pPr>
              <w:rPr>
                <w:rFonts w:ascii="仿宋" w:hAnsi="仿宋" w:eastAsia="仿宋"/>
                <w:sz w:val="24"/>
                <w:szCs w:val="24"/>
              </w:rPr>
            </w:pPr>
            <w:r>
              <w:rPr>
                <w:rFonts w:hint="default" w:ascii="Times New Roman" w:hAnsi="Times New Roman" w:eastAsia="宋体" w:cs="Times New Roman"/>
                <w:sz w:val="24"/>
                <w:szCs w:val="24"/>
              </w:rPr>
              <w:t>132017100062</w:t>
            </w:r>
          </w:p>
        </w:tc>
      </w:tr>
      <w:tr w14:paraId="2FA9B4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0" w:type="dxa"/>
            <w:tcBorders>
              <w:left w:val="single" w:color="auto" w:sz="12" w:space="0"/>
            </w:tcBorders>
            <w:vAlign w:val="center"/>
          </w:tcPr>
          <w:p w14:paraId="44D2EB40">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学科专业</w:t>
            </w:r>
          </w:p>
        </w:tc>
        <w:tc>
          <w:tcPr>
            <w:tcW w:w="1414" w:type="dxa"/>
            <w:vAlign w:val="center"/>
          </w:tcPr>
          <w:p w14:paraId="6A97DC26">
            <w:pPr>
              <w:rPr>
                <w:rFonts w:ascii="仿宋" w:hAnsi="仿宋" w:eastAsia="仿宋"/>
                <w:color w:val="000000"/>
                <w:sz w:val="24"/>
                <w:szCs w:val="24"/>
              </w:rPr>
            </w:pPr>
            <w:r>
              <w:rPr>
                <w:rFonts w:hint="default" w:ascii="Times New Roman" w:hAnsi="Times New Roman" w:eastAsia="仿宋" w:cs="Times New Roman"/>
                <w:lang w:eastAsia="zh-CN"/>
              </w:rPr>
              <w:t>内科学（传染病）</w:t>
            </w:r>
          </w:p>
        </w:tc>
        <w:tc>
          <w:tcPr>
            <w:tcW w:w="1407" w:type="dxa"/>
            <w:vAlign w:val="center"/>
          </w:tcPr>
          <w:p w14:paraId="5EE59F34">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学位类型</w:t>
            </w:r>
          </w:p>
        </w:tc>
        <w:tc>
          <w:tcPr>
            <w:tcW w:w="3983" w:type="dxa"/>
            <w:tcBorders>
              <w:right w:val="single" w:color="auto" w:sz="12" w:space="0"/>
            </w:tcBorders>
            <w:vAlign w:val="center"/>
          </w:tcPr>
          <w:p w14:paraId="2A198255">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028390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0" w:type="dxa"/>
            <w:tcBorders>
              <w:left w:val="single" w:color="auto" w:sz="12" w:space="0"/>
            </w:tcBorders>
            <w:vAlign w:val="center"/>
          </w:tcPr>
          <w:p w14:paraId="1C85E4E3">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导师姓名</w:t>
            </w:r>
          </w:p>
        </w:tc>
        <w:tc>
          <w:tcPr>
            <w:tcW w:w="1414" w:type="dxa"/>
            <w:vAlign w:val="center"/>
          </w:tcPr>
          <w:p w14:paraId="57AA923C">
            <w:pPr>
              <w:rPr>
                <w:rFonts w:ascii="仿宋" w:hAnsi="仿宋" w:eastAsia="仿宋"/>
                <w:color w:val="000000"/>
                <w:sz w:val="24"/>
                <w:szCs w:val="24"/>
              </w:rPr>
            </w:pPr>
            <w:r>
              <w:rPr>
                <w:rFonts w:hint="eastAsia" w:ascii="仿宋" w:hAnsi="仿宋" w:eastAsia="仿宋" w:cs="仿宋"/>
                <w:lang w:eastAsia="zh-CN"/>
              </w:rPr>
              <w:t>唐神结</w:t>
            </w:r>
          </w:p>
        </w:tc>
        <w:tc>
          <w:tcPr>
            <w:tcW w:w="1407" w:type="dxa"/>
            <w:vAlign w:val="center"/>
          </w:tcPr>
          <w:p w14:paraId="45B8E35C">
            <w:pPr>
              <w:pStyle w:val="16"/>
              <w:framePr w:wrap="auto" w:vAnchor="margin" w:hAnchor="text" w:yAlign="inline"/>
              <w:jc w:val="center"/>
              <w:rPr>
                <w:rFonts w:ascii="仿宋" w:hAnsi="仿宋" w:eastAsia="仿宋"/>
                <w:color w:val="000000"/>
                <w:sz w:val="24"/>
                <w:szCs w:val="24"/>
              </w:rPr>
            </w:pPr>
            <w:r>
              <w:rPr>
                <w:rFonts w:ascii="仿宋" w:hAnsi="仿宋" w:eastAsia="仿宋" w:cs="仿宋"/>
                <w:sz w:val="24"/>
                <w:szCs w:val="24"/>
                <w:lang w:val="zh-TW" w:eastAsia="zh-TW"/>
              </w:rPr>
              <w:t>培养单位</w:t>
            </w:r>
          </w:p>
        </w:tc>
        <w:tc>
          <w:tcPr>
            <w:tcW w:w="3983" w:type="dxa"/>
            <w:tcBorders>
              <w:right w:val="single" w:color="auto" w:sz="12" w:space="0"/>
            </w:tcBorders>
            <w:vAlign w:val="center"/>
          </w:tcPr>
          <w:p w14:paraId="60F718E9">
            <w:pPr>
              <w:rPr>
                <w:rFonts w:ascii="仿宋" w:hAnsi="仿宋" w:eastAsia="仿宋"/>
                <w:sz w:val="24"/>
                <w:szCs w:val="24"/>
              </w:rPr>
            </w:pPr>
            <w:r>
              <w:rPr>
                <w:rFonts w:hint="default" w:ascii="Times New Roman" w:hAnsi="Times New Roman" w:eastAsia="仿宋" w:cs="Times New Roman"/>
                <w:lang w:eastAsia="zh-CN"/>
              </w:rPr>
              <w:t>首都医科大学附属北京胸科医院（第十临床医学院）</w:t>
            </w:r>
          </w:p>
        </w:tc>
      </w:tr>
      <w:tr w14:paraId="7B4BA1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0" w:type="dxa"/>
            <w:tcBorders>
              <w:left w:val="single" w:color="auto" w:sz="12" w:space="0"/>
            </w:tcBorders>
            <w:vAlign w:val="center"/>
          </w:tcPr>
          <w:p w14:paraId="0C453073">
            <w:pPr>
              <w:spacing w:line="276" w:lineRule="auto"/>
              <w:jc w:val="center"/>
              <w:rPr>
                <w:rFonts w:ascii="仿宋" w:hAnsi="仿宋" w:eastAsia="仿宋"/>
                <w:color w:val="000000"/>
                <w:sz w:val="24"/>
                <w:szCs w:val="24"/>
              </w:rPr>
            </w:pPr>
            <w:r>
              <w:rPr>
                <w:rFonts w:hint="eastAsia" w:ascii="仿宋" w:hAnsi="仿宋" w:eastAsia="仿宋"/>
                <w:sz w:val="24"/>
                <w:szCs w:val="28"/>
              </w:rPr>
              <w:t>考核日期</w:t>
            </w:r>
          </w:p>
        </w:tc>
        <w:tc>
          <w:tcPr>
            <w:tcW w:w="1414" w:type="dxa"/>
            <w:vAlign w:val="center"/>
          </w:tcPr>
          <w:p w14:paraId="55607343">
            <w:pPr>
              <w:spacing w:line="276" w:lineRule="auto"/>
              <w:jc w:val="center"/>
              <w:rPr>
                <w:rFonts w:ascii="仿宋" w:hAnsi="仿宋" w:eastAsia="仿宋"/>
                <w:color w:val="000000"/>
                <w:sz w:val="24"/>
                <w:szCs w:val="24"/>
              </w:rPr>
            </w:pPr>
            <w:r>
              <w:rPr>
                <w:rFonts w:hint="eastAsia" w:ascii="仿宋" w:hAnsi="仿宋" w:eastAsia="仿宋"/>
                <w:color w:val="000000"/>
                <w:sz w:val="24"/>
                <w:szCs w:val="24"/>
              </w:rPr>
              <w:t>2018-08-20</w:t>
            </w:r>
          </w:p>
        </w:tc>
        <w:tc>
          <w:tcPr>
            <w:tcW w:w="1407" w:type="dxa"/>
            <w:vAlign w:val="center"/>
          </w:tcPr>
          <w:p w14:paraId="7032A6BF">
            <w:pPr>
              <w:spacing w:line="276" w:lineRule="auto"/>
              <w:jc w:val="center"/>
              <w:rPr>
                <w:rFonts w:ascii="仿宋" w:hAnsi="仿宋" w:eastAsia="仿宋"/>
                <w:color w:val="000000"/>
                <w:sz w:val="24"/>
                <w:szCs w:val="24"/>
              </w:rPr>
            </w:pPr>
            <w:r>
              <w:rPr>
                <w:rFonts w:hint="eastAsia" w:ascii="仿宋" w:hAnsi="仿宋" w:eastAsia="仿宋"/>
                <w:sz w:val="24"/>
                <w:szCs w:val="28"/>
              </w:rPr>
              <w:t>考核地点</w:t>
            </w:r>
          </w:p>
        </w:tc>
        <w:tc>
          <w:tcPr>
            <w:tcW w:w="3983" w:type="dxa"/>
            <w:tcBorders>
              <w:right w:val="single" w:color="auto" w:sz="12" w:space="0"/>
            </w:tcBorders>
            <w:vAlign w:val="center"/>
          </w:tcPr>
          <w:p w14:paraId="6233E100">
            <w:pPr>
              <w:tabs>
                <w:tab w:val="left" w:pos="860"/>
                <w:tab w:val="left" w:pos="4714"/>
                <w:tab w:val="left" w:pos="8850"/>
              </w:tabs>
              <w:spacing w:line="276" w:lineRule="auto"/>
              <w:jc w:val="center"/>
              <w:rPr>
                <w:rFonts w:ascii="仿宋" w:hAnsi="仿宋" w:eastAsia="仿宋"/>
                <w:sz w:val="24"/>
                <w:szCs w:val="24"/>
              </w:rPr>
            </w:pPr>
            <w:r>
              <w:rPr>
                <w:rFonts w:hint="eastAsia" w:ascii="仿宋" w:hAnsi="仿宋" w:eastAsia="仿宋"/>
                <w:sz w:val="24"/>
                <w:szCs w:val="24"/>
              </w:rPr>
              <w:t>北京胸科医院门诊四层第二会议室</w:t>
            </w:r>
          </w:p>
        </w:tc>
      </w:tr>
      <w:tr w14:paraId="0175C1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1700" w:type="dxa"/>
            <w:tcBorders>
              <w:left w:val="single" w:color="auto" w:sz="12" w:space="0"/>
              <w:bottom w:val="single" w:color="auto" w:sz="12" w:space="0"/>
            </w:tcBorders>
            <w:vAlign w:val="center"/>
          </w:tcPr>
          <w:p w14:paraId="1F78F5AD">
            <w:pPr>
              <w:spacing w:line="276" w:lineRule="auto"/>
              <w:jc w:val="center"/>
              <w:rPr>
                <w:rFonts w:ascii="仿宋" w:hAnsi="仿宋" w:eastAsia="仿宋"/>
                <w:sz w:val="24"/>
                <w:szCs w:val="28"/>
              </w:rPr>
            </w:pPr>
            <w:r>
              <w:rPr>
                <w:rFonts w:hint="eastAsia" w:ascii="仿宋" w:hAnsi="仿宋" w:eastAsia="仿宋"/>
                <w:sz w:val="24"/>
                <w:szCs w:val="28"/>
              </w:rPr>
              <w:t>课题</w:t>
            </w:r>
            <w:r>
              <w:rPr>
                <w:rFonts w:ascii="仿宋" w:hAnsi="仿宋" w:eastAsia="仿宋"/>
                <w:sz w:val="24"/>
                <w:szCs w:val="28"/>
              </w:rPr>
              <w:t>名称</w:t>
            </w:r>
          </w:p>
        </w:tc>
        <w:tc>
          <w:tcPr>
            <w:tcW w:w="6804" w:type="dxa"/>
            <w:gridSpan w:val="3"/>
            <w:tcBorders>
              <w:bottom w:val="single" w:color="auto" w:sz="12" w:space="0"/>
              <w:right w:val="single" w:color="auto" w:sz="12" w:space="0"/>
            </w:tcBorders>
            <w:vAlign w:val="center"/>
          </w:tcPr>
          <w:p w14:paraId="7E759F86">
            <w:pPr>
              <w:tabs>
                <w:tab w:val="left" w:pos="860"/>
                <w:tab w:val="left" w:pos="4714"/>
                <w:tab w:val="left" w:pos="8850"/>
              </w:tabs>
              <w:spacing w:line="276" w:lineRule="auto"/>
              <w:jc w:val="center"/>
              <w:rPr>
                <w:rFonts w:ascii="仿宋" w:hAnsi="仿宋" w:eastAsia="仿宋"/>
                <w:sz w:val="24"/>
                <w:szCs w:val="24"/>
              </w:rPr>
            </w:pPr>
            <w:r>
              <w:rPr>
                <w:rFonts w:hint="eastAsia" w:ascii="仿宋" w:hAnsi="仿宋" w:eastAsia="仿宋"/>
                <w:sz w:val="24"/>
                <w:szCs w:val="28"/>
              </w:rPr>
              <w:t>同种异体γδT细胞治疗耐多药肺结核的临床研究</w:t>
            </w:r>
          </w:p>
        </w:tc>
      </w:tr>
      <w:tr w14:paraId="1925BB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376" w:hRule="atLeast"/>
          <w:jc w:val="center"/>
        </w:trPr>
        <w:tc>
          <w:tcPr>
            <w:tcW w:w="8504" w:type="dxa"/>
            <w:gridSpan w:val="4"/>
            <w:tcBorders>
              <w:top w:val="single" w:color="auto" w:sz="12" w:space="0"/>
              <w:left w:val="single" w:color="auto" w:sz="12" w:space="0"/>
              <w:bottom w:val="single" w:color="auto" w:sz="12" w:space="0"/>
              <w:right w:val="single" w:color="auto" w:sz="12" w:space="0"/>
            </w:tcBorders>
            <w:vAlign w:val="center"/>
          </w:tcPr>
          <w:p w14:paraId="1D9D90D1">
            <w:pPr>
              <w:spacing w:line="360" w:lineRule="auto"/>
              <w:jc w:val="left"/>
              <w:rPr>
                <w:rFonts w:ascii="仿宋" w:hAnsi="仿宋" w:eastAsia="仿宋"/>
                <w:sz w:val="24"/>
                <w:szCs w:val="28"/>
              </w:rPr>
            </w:pPr>
            <w:r>
              <w:rPr>
                <w:rFonts w:hint="eastAsia" w:ascii="仿宋" w:hAnsi="仿宋" w:eastAsia="仿宋"/>
                <w:sz w:val="24"/>
                <w:szCs w:val="28"/>
              </w:rPr>
              <w:t>开题</w:t>
            </w:r>
            <w:r>
              <w:rPr>
                <w:rFonts w:ascii="仿宋" w:hAnsi="仿宋" w:eastAsia="仿宋"/>
                <w:sz w:val="24"/>
                <w:szCs w:val="28"/>
              </w:rPr>
              <w:t>报告</w:t>
            </w:r>
            <w:r>
              <w:rPr>
                <w:rFonts w:hint="eastAsia" w:ascii="仿宋" w:hAnsi="仿宋" w:eastAsia="仿宋"/>
                <w:sz w:val="24"/>
                <w:szCs w:val="28"/>
              </w:rPr>
              <w:t>考核记录：</w:t>
            </w:r>
          </w:p>
          <w:p w14:paraId="40C97519">
            <w:pPr>
              <w:spacing w:line="360" w:lineRule="auto"/>
              <w:jc w:val="left"/>
              <w:rPr>
                <w:rFonts w:hint="eastAsia" w:ascii="仿宋" w:hAnsi="仿宋" w:eastAsia="仿宋"/>
                <w:sz w:val="24"/>
                <w:szCs w:val="28"/>
                <w:lang w:val="en-US" w:eastAsia="zh-CN"/>
              </w:rPr>
            </w:pPr>
            <w:r>
              <w:rPr>
                <w:rFonts w:hint="eastAsia" w:ascii="仿宋" w:hAnsi="仿宋" w:eastAsia="仿宋"/>
                <w:sz w:val="24"/>
                <w:szCs w:val="28"/>
              </w:rPr>
              <w:t>记录人：</w:t>
            </w:r>
            <w:r>
              <w:rPr>
                <w:rFonts w:hint="eastAsia" w:ascii="仿宋" w:hAnsi="仿宋" w:eastAsia="仿宋"/>
                <w:sz w:val="24"/>
                <w:szCs w:val="28"/>
                <w:lang w:val="en-US" w:eastAsia="zh-CN"/>
              </w:rPr>
              <w:t>付亮</w:t>
            </w:r>
          </w:p>
          <w:p w14:paraId="6FE03DF0">
            <w:pPr>
              <w:spacing w:line="360" w:lineRule="auto"/>
              <w:rPr>
                <w:rFonts w:hint="eastAsia" w:ascii="宋体" w:hAnsi="宋体" w:eastAsia="宋体" w:cs="Times New Roman"/>
                <w:lang w:val="en-US" w:eastAsia="zh-CN"/>
              </w:rPr>
            </w:pPr>
            <w:r>
              <w:rPr>
                <w:rFonts w:hint="eastAsia" w:ascii="宋体" w:hAnsi="宋体" w:eastAsia="宋体" w:cs="Times New Roman"/>
                <w:lang w:val="en-US" w:eastAsia="zh-CN"/>
              </w:rPr>
              <w:t>1、</w:t>
            </w:r>
            <w:r>
              <w:rPr>
                <w:rFonts w:hint="eastAsia" w:ascii="宋体" w:hAnsi="宋体" w:eastAsia="宋体" w:cs="Times New Roman"/>
              </w:rPr>
              <w:t>注意此项研究的潜在价值和意义，是否值得深入研究和临床应用推广。</w:t>
            </w:r>
          </w:p>
          <w:p w14:paraId="783C55CE">
            <w:pPr>
              <w:spacing w:line="360" w:lineRule="auto"/>
              <w:rPr>
                <w:rFonts w:hint="eastAsia" w:ascii="宋体" w:hAnsi="宋体" w:eastAsia="宋体" w:cs="Times New Roman"/>
              </w:rPr>
            </w:pPr>
            <w:r>
              <w:rPr>
                <w:rFonts w:hint="eastAsia" w:ascii="宋体" w:hAnsi="宋体" w:eastAsia="宋体" w:cs="Times New Roman"/>
                <w:lang w:val="en-US" w:eastAsia="zh-CN"/>
              </w:rPr>
              <w:t>2</w:t>
            </w:r>
            <w:r>
              <w:rPr>
                <w:rFonts w:hint="eastAsia" w:ascii="宋体" w:hAnsi="宋体" w:eastAsia="宋体" w:cs="Times New Roman"/>
              </w:rPr>
              <w:t>、样本量计算需进一步核查，依据主要观察指标及研究设计而使用合适的计算公式。目前初治MDR-TB 的治愈率较高，而复治MDR-TB的治愈率较低。在选择研究对象（病例数量是否足够）和确定主要观察指标（如6月末阴转率）时需要注意。研究对象的准入条件需要明确界定。样本量的病例数是否足够支撑结论。</w:t>
            </w:r>
          </w:p>
          <w:p w14:paraId="58BFFE00">
            <w:pPr>
              <w:spacing w:line="360" w:lineRule="auto"/>
              <w:rPr>
                <w:rFonts w:hint="eastAsia" w:ascii="宋体" w:hAnsi="宋体" w:eastAsia="宋体" w:cs="Times New Roman"/>
              </w:rPr>
            </w:pPr>
            <w:r>
              <w:rPr>
                <w:rFonts w:hint="eastAsia" w:ascii="宋体" w:hAnsi="宋体" w:eastAsia="宋体" w:cs="Times New Roman"/>
                <w:lang w:val="en-US" w:eastAsia="zh-CN"/>
              </w:rPr>
              <w:t>3</w:t>
            </w:r>
            <w:r>
              <w:rPr>
                <w:rFonts w:hint="eastAsia" w:ascii="宋体" w:hAnsi="宋体" w:eastAsia="宋体" w:cs="Times New Roman"/>
              </w:rPr>
              <w:t>、开题报告的研究内容较多，但要注意博士研究课题的深度和广度，注意在博士期间能否完成全部任务。研究内容较多，可以侧重某一个方面进行研究、突破。平衡实验室部分与临床研究部分的比重。</w:t>
            </w:r>
          </w:p>
          <w:p w14:paraId="63A67B1C">
            <w:pPr>
              <w:spacing w:line="360" w:lineRule="auto"/>
              <w:rPr>
                <w:rFonts w:hint="eastAsia" w:ascii="宋体" w:hAnsi="宋体" w:eastAsia="宋体" w:cs="Times New Roman"/>
              </w:rPr>
            </w:pPr>
            <w:r>
              <w:rPr>
                <w:rFonts w:hint="eastAsia" w:ascii="宋体" w:hAnsi="宋体" w:eastAsia="宋体" w:cs="Times New Roman"/>
                <w:lang w:val="en-US" w:eastAsia="zh-CN"/>
              </w:rPr>
              <w:t>4、</w:t>
            </w:r>
            <w:r>
              <w:rPr>
                <w:rFonts w:hint="eastAsia" w:ascii="宋体" w:hAnsi="宋体" w:eastAsia="宋体" w:cs="Times New Roman"/>
              </w:rPr>
              <w:t>自体T细胞免疫治疗已经研究较多，但异体T细胞免疫治疗需要注意伦理问题。健康</w:t>
            </w:r>
            <w:r>
              <w:rPr>
                <w:rFonts w:hint="eastAsia" w:ascii="宋体" w:hAnsi="宋体" w:eastAsia="宋体" w:cs="Times New Roman"/>
                <w:lang w:val="en-US" w:eastAsia="zh-CN"/>
              </w:rPr>
              <w:t>供</w:t>
            </w:r>
            <w:r>
              <w:rPr>
                <w:rFonts w:hint="eastAsia" w:ascii="宋体" w:hAnsi="宋体" w:eastAsia="宋体" w:cs="Times New Roman"/>
              </w:rPr>
              <w:t>体的血源获取可能存在困难。在开展课题研究时，需通过当地机构的医学伦理委员会审议。</w:t>
            </w:r>
          </w:p>
          <w:p w14:paraId="51A513E6">
            <w:pPr>
              <w:spacing w:line="360" w:lineRule="auto"/>
              <w:rPr>
                <w:rFonts w:hint="eastAsia" w:ascii="宋体" w:hAnsi="宋体" w:eastAsia="宋体" w:cs="Times New Roman"/>
              </w:rPr>
            </w:pPr>
            <w:r>
              <w:rPr>
                <w:rFonts w:hint="eastAsia" w:ascii="宋体" w:hAnsi="宋体" w:eastAsia="宋体" w:cs="Times New Roman"/>
              </w:rPr>
              <w:t>需注意伦理问题。</w:t>
            </w:r>
          </w:p>
          <w:p w14:paraId="4785FDC6">
            <w:pPr>
              <w:spacing w:line="360" w:lineRule="auto"/>
              <w:jc w:val="left"/>
              <w:rPr>
                <w:rFonts w:ascii="仿宋" w:hAnsi="仿宋" w:eastAsia="仿宋"/>
                <w:sz w:val="24"/>
                <w:szCs w:val="28"/>
              </w:rPr>
            </w:pPr>
            <w:r>
              <w:rPr>
                <w:rFonts w:hint="eastAsia" w:ascii="宋体" w:hAnsi="宋体" w:eastAsia="宋体" w:cs="Times New Roman"/>
                <w:lang w:val="en-US" w:eastAsia="zh-CN"/>
              </w:rPr>
              <w:t>5、</w:t>
            </w:r>
            <w:r>
              <w:rPr>
                <w:rFonts w:hint="eastAsia" w:ascii="宋体" w:hAnsi="宋体" w:eastAsia="宋体" w:cs="Times New Roman"/>
              </w:rPr>
              <w:t>同种异体T细胞的培育技术是否成熟？同种异体T细胞的实验室测定标准有哪些？是否能保证细胞的体外杀伤效果？需要重新建立培育体系吗？</w:t>
            </w:r>
          </w:p>
          <w:p w14:paraId="198B897A">
            <w:pPr>
              <w:tabs>
                <w:tab w:val="left" w:pos="860"/>
                <w:tab w:val="left" w:pos="4714"/>
                <w:tab w:val="left" w:pos="8850"/>
              </w:tabs>
              <w:spacing w:line="276" w:lineRule="auto"/>
              <w:jc w:val="left"/>
              <w:rPr>
                <w:rFonts w:ascii="仿宋" w:hAnsi="仿宋" w:eastAsia="仿宋"/>
                <w:sz w:val="24"/>
                <w:szCs w:val="24"/>
              </w:rPr>
            </w:pPr>
          </w:p>
        </w:tc>
      </w:tr>
    </w:tbl>
    <w:p w14:paraId="7E829588">
      <w:pPr>
        <w:tabs>
          <w:tab w:val="left" w:pos="520"/>
        </w:tabs>
        <w:ind w:firstLine="640" w:firstLineChars="200"/>
        <w:rPr>
          <w:rFonts w:ascii="宋体" w:hAnsi="宋体"/>
          <w:sz w:val="32"/>
          <w:szCs w:val="52"/>
        </w:rPr>
        <w:sectPr>
          <w:pgSz w:w="11906" w:h="16838"/>
          <w:pgMar w:top="1440" w:right="1800" w:bottom="1440" w:left="1800" w:header="851" w:footer="992" w:gutter="0"/>
          <w:pgNumType w:fmt="decimal"/>
          <w:cols w:space="425" w:num="1"/>
          <w:titlePg/>
          <w:docGrid w:type="lines" w:linePitch="312" w:charSpace="0"/>
        </w:sectPr>
      </w:pPr>
    </w:p>
    <w:p w14:paraId="0B1C195C">
      <w:pPr>
        <w:jc w:val="center"/>
        <w:rPr>
          <w:rFonts w:ascii="华文中宋" w:hAnsi="华文中宋" w:eastAsia="华文中宋"/>
          <w:sz w:val="36"/>
          <w:szCs w:val="44"/>
        </w:rPr>
      </w:pPr>
      <w:r>
        <w:rPr>
          <w:rFonts w:hint="eastAsia" w:ascii="华文中宋" w:hAnsi="华文中宋" w:eastAsia="华文中宋"/>
          <w:sz w:val="36"/>
          <w:szCs w:val="44"/>
        </w:rPr>
        <w:t>首都医科大学学位论文开题报告考核评分表</w:t>
      </w:r>
    </w:p>
    <w:tbl>
      <w:tblPr>
        <w:tblStyle w:val="6"/>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4"/>
        <w:gridCol w:w="1272"/>
        <w:gridCol w:w="1559"/>
        <w:gridCol w:w="1276"/>
        <w:gridCol w:w="1418"/>
        <w:gridCol w:w="1279"/>
      </w:tblGrid>
      <w:tr w14:paraId="59E0A7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top w:val="single" w:color="auto" w:sz="12" w:space="0"/>
              <w:left w:val="single" w:color="auto" w:sz="12" w:space="0"/>
            </w:tcBorders>
            <w:vAlign w:val="center"/>
          </w:tcPr>
          <w:p w14:paraId="5005902C">
            <w:pPr>
              <w:pStyle w:val="16"/>
              <w:framePr w:wrap="auto" w:vAnchor="margin" w:hAnchor="text" w:yAlign="inline"/>
              <w:jc w:val="center"/>
              <w:rPr>
                <w:rFonts w:ascii="仿宋" w:hAnsi="仿宋" w:eastAsia="仿宋"/>
                <w:spacing w:val="0"/>
                <w:szCs w:val="24"/>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272" w:type="dxa"/>
            <w:tcBorders>
              <w:top w:val="single" w:color="auto" w:sz="12" w:space="0"/>
            </w:tcBorders>
            <w:vAlign w:val="center"/>
          </w:tcPr>
          <w:p w14:paraId="0078D935">
            <w:pPr>
              <w:rPr>
                <w:rFonts w:ascii="仿宋" w:hAnsi="仿宋" w:eastAsia="仿宋"/>
                <w:spacing w:val="0"/>
                <w:szCs w:val="24"/>
              </w:rPr>
            </w:pPr>
            <w:r>
              <w:rPr>
                <w:rFonts w:hint="eastAsia" w:ascii="仿宋" w:hAnsi="仿宋" w:eastAsia="仿宋" w:cs="仿宋"/>
                <w:lang w:eastAsia="zh-CN"/>
              </w:rPr>
              <w:t>付亮</w:t>
            </w:r>
          </w:p>
        </w:tc>
        <w:tc>
          <w:tcPr>
            <w:tcW w:w="1559" w:type="dxa"/>
            <w:tcBorders>
              <w:top w:val="single" w:color="auto" w:sz="12" w:space="0"/>
            </w:tcBorders>
            <w:vAlign w:val="center"/>
          </w:tcPr>
          <w:p w14:paraId="373164FA">
            <w:pPr>
              <w:pStyle w:val="16"/>
              <w:framePr w:wrap="auto" w:vAnchor="margin" w:hAnchor="text" w:yAlign="inline"/>
              <w:jc w:val="center"/>
              <w:rPr>
                <w:rFonts w:ascii="仿宋" w:hAnsi="仿宋" w:eastAsia="仿宋"/>
                <w:spacing w:val="0"/>
                <w:szCs w:val="24"/>
              </w:rPr>
            </w:pPr>
            <w:r>
              <w:rPr>
                <w:rFonts w:ascii="仿宋" w:hAnsi="仿宋" w:eastAsia="仿宋" w:cs="仿宋"/>
                <w:sz w:val="24"/>
                <w:szCs w:val="24"/>
                <w:lang w:val="zh-TW" w:eastAsia="zh-TW"/>
              </w:rPr>
              <w:t>学号</w:t>
            </w:r>
          </w:p>
        </w:tc>
        <w:tc>
          <w:tcPr>
            <w:tcW w:w="3973" w:type="dxa"/>
            <w:gridSpan w:val="3"/>
            <w:tcBorders>
              <w:top w:val="single" w:color="auto" w:sz="12" w:space="0"/>
              <w:right w:val="single" w:color="auto" w:sz="12" w:space="0"/>
            </w:tcBorders>
            <w:vAlign w:val="center"/>
          </w:tcPr>
          <w:p w14:paraId="7CFB906D">
            <w:pPr>
              <w:rPr>
                <w:rFonts w:ascii="仿宋" w:hAnsi="仿宋" w:eastAsia="仿宋"/>
                <w:spacing w:val="0"/>
                <w:szCs w:val="24"/>
              </w:rPr>
            </w:pPr>
            <w:r>
              <w:rPr>
                <w:rFonts w:hint="default" w:ascii="Times New Roman" w:hAnsi="Times New Roman" w:eastAsia="宋体" w:cs="Times New Roman"/>
                <w:sz w:val="24"/>
                <w:szCs w:val="24"/>
              </w:rPr>
              <w:t>132017100062</w:t>
            </w:r>
          </w:p>
        </w:tc>
      </w:tr>
      <w:tr w14:paraId="09DB76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left w:val="single" w:color="auto" w:sz="12" w:space="0"/>
            </w:tcBorders>
            <w:vAlign w:val="center"/>
          </w:tcPr>
          <w:p w14:paraId="1A84B860">
            <w:pPr>
              <w:pStyle w:val="16"/>
              <w:framePr w:wrap="auto" w:vAnchor="margin" w:hAnchor="text" w:yAlign="inline"/>
              <w:jc w:val="center"/>
              <w:rPr>
                <w:rFonts w:ascii="仿宋" w:hAnsi="仿宋" w:eastAsia="仿宋"/>
                <w:szCs w:val="24"/>
              </w:rPr>
            </w:pPr>
            <w:r>
              <w:rPr>
                <w:rFonts w:ascii="仿宋" w:hAnsi="仿宋" w:eastAsia="仿宋" w:cs="仿宋"/>
                <w:sz w:val="24"/>
                <w:szCs w:val="24"/>
                <w:lang w:val="zh-TW" w:eastAsia="zh-TW"/>
              </w:rPr>
              <w:t>学科专业</w:t>
            </w:r>
          </w:p>
        </w:tc>
        <w:tc>
          <w:tcPr>
            <w:tcW w:w="1272" w:type="dxa"/>
            <w:vAlign w:val="center"/>
          </w:tcPr>
          <w:p w14:paraId="70A20D4B">
            <w:pPr>
              <w:rPr>
                <w:rFonts w:ascii="仿宋" w:hAnsi="仿宋" w:eastAsia="仿宋"/>
                <w:spacing w:val="0"/>
                <w:szCs w:val="24"/>
              </w:rPr>
            </w:pPr>
            <w:r>
              <w:rPr>
                <w:rFonts w:hint="default" w:ascii="Times New Roman" w:hAnsi="Times New Roman" w:eastAsia="仿宋" w:cs="Times New Roman"/>
                <w:lang w:eastAsia="zh-CN"/>
              </w:rPr>
              <w:t>内科学（传染病）</w:t>
            </w:r>
          </w:p>
        </w:tc>
        <w:tc>
          <w:tcPr>
            <w:tcW w:w="1559" w:type="dxa"/>
            <w:vAlign w:val="center"/>
          </w:tcPr>
          <w:p w14:paraId="13E4EEF5">
            <w:pPr>
              <w:pStyle w:val="16"/>
              <w:framePr w:wrap="auto" w:vAnchor="margin" w:hAnchor="text" w:yAlign="inline"/>
              <w:jc w:val="center"/>
              <w:rPr>
                <w:rFonts w:ascii="仿宋" w:hAnsi="仿宋" w:eastAsia="仿宋"/>
                <w:szCs w:val="24"/>
              </w:rPr>
            </w:pPr>
            <w:r>
              <w:rPr>
                <w:rFonts w:ascii="仿宋" w:hAnsi="仿宋" w:eastAsia="仿宋" w:cs="仿宋"/>
                <w:sz w:val="24"/>
                <w:szCs w:val="24"/>
                <w:lang w:val="zh-TW" w:eastAsia="zh-TW"/>
              </w:rPr>
              <w:t>学位类型</w:t>
            </w:r>
          </w:p>
        </w:tc>
        <w:tc>
          <w:tcPr>
            <w:tcW w:w="3973" w:type="dxa"/>
            <w:gridSpan w:val="3"/>
            <w:tcBorders>
              <w:right w:val="single" w:color="auto" w:sz="12" w:space="0"/>
            </w:tcBorders>
            <w:vAlign w:val="center"/>
          </w:tcPr>
          <w:p w14:paraId="50AFF875">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713B15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left w:val="single" w:color="auto" w:sz="12" w:space="0"/>
              <w:bottom w:val="single" w:color="auto" w:sz="12" w:space="0"/>
            </w:tcBorders>
            <w:vAlign w:val="center"/>
          </w:tcPr>
          <w:p w14:paraId="436FF976">
            <w:pPr>
              <w:pStyle w:val="16"/>
              <w:framePr w:wrap="auto" w:vAnchor="margin" w:hAnchor="text" w:yAlign="inline"/>
              <w:jc w:val="center"/>
              <w:rPr>
                <w:rFonts w:ascii="仿宋" w:hAnsi="仿宋" w:eastAsia="仿宋"/>
                <w:szCs w:val="24"/>
              </w:rPr>
            </w:pPr>
            <w:r>
              <w:rPr>
                <w:rFonts w:ascii="仿宋" w:hAnsi="仿宋" w:eastAsia="仿宋" w:cs="仿宋"/>
                <w:sz w:val="24"/>
                <w:szCs w:val="24"/>
                <w:lang w:val="zh-TW" w:eastAsia="zh-TW"/>
              </w:rPr>
              <w:t>导师姓名</w:t>
            </w:r>
          </w:p>
        </w:tc>
        <w:tc>
          <w:tcPr>
            <w:tcW w:w="1272" w:type="dxa"/>
            <w:tcBorders>
              <w:bottom w:val="single" w:color="auto" w:sz="12" w:space="0"/>
            </w:tcBorders>
            <w:vAlign w:val="center"/>
          </w:tcPr>
          <w:p w14:paraId="39C1F6E3">
            <w:pPr>
              <w:rPr>
                <w:rFonts w:ascii="仿宋" w:hAnsi="仿宋" w:eastAsia="仿宋"/>
                <w:spacing w:val="0"/>
                <w:szCs w:val="24"/>
              </w:rPr>
            </w:pPr>
            <w:r>
              <w:rPr>
                <w:rFonts w:hint="eastAsia" w:ascii="仿宋" w:hAnsi="仿宋" w:eastAsia="仿宋" w:cs="仿宋"/>
                <w:lang w:eastAsia="zh-CN"/>
              </w:rPr>
              <w:t>唐神结</w:t>
            </w:r>
          </w:p>
        </w:tc>
        <w:tc>
          <w:tcPr>
            <w:tcW w:w="1559" w:type="dxa"/>
            <w:tcBorders>
              <w:bottom w:val="single" w:color="auto" w:sz="12" w:space="0"/>
            </w:tcBorders>
            <w:vAlign w:val="center"/>
          </w:tcPr>
          <w:p w14:paraId="61294631">
            <w:pPr>
              <w:pStyle w:val="16"/>
              <w:framePr w:wrap="auto" w:vAnchor="margin" w:hAnchor="text" w:yAlign="inline"/>
              <w:jc w:val="center"/>
              <w:rPr>
                <w:rFonts w:ascii="仿宋" w:hAnsi="仿宋" w:eastAsia="仿宋"/>
                <w:szCs w:val="24"/>
              </w:rPr>
            </w:pPr>
            <w:r>
              <w:rPr>
                <w:rFonts w:ascii="仿宋" w:hAnsi="仿宋" w:eastAsia="仿宋" w:cs="仿宋"/>
                <w:sz w:val="24"/>
                <w:szCs w:val="24"/>
                <w:lang w:val="zh-TW" w:eastAsia="zh-TW"/>
              </w:rPr>
              <w:t>培养单位</w:t>
            </w:r>
          </w:p>
        </w:tc>
        <w:tc>
          <w:tcPr>
            <w:tcW w:w="3973" w:type="dxa"/>
            <w:gridSpan w:val="3"/>
            <w:tcBorders>
              <w:right w:val="single" w:color="auto" w:sz="12" w:space="0"/>
            </w:tcBorders>
            <w:vAlign w:val="center"/>
          </w:tcPr>
          <w:p w14:paraId="0776BCF1">
            <w:pPr>
              <w:rPr>
                <w:rFonts w:ascii="仿宋" w:hAnsi="仿宋" w:eastAsia="仿宋"/>
                <w:spacing w:val="0"/>
                <w:szCs w:val="24"/>
              </w:rPr>
            </w:pPr>
            <w:r>
              <w:rPr>
                <w:rFonts w:hint="default" w:ascii="Times New Roman" w:hAnsi="Times New Roman" w:eastAsia="仿宋" w:cs="Times New Roman"/>
                <w:lang w:eastAsia="zh-CN"/>
              </w:rPr>
              <w:t>首都医科大学附属北京胸科医院（第十临床医学院）</w:t>
            </w:r>
          </w:p>
        </w:tc>
      </w:tr>
      <w:tr w14:paraId="1D1277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5807" w:type="dxa"/>
            <w:gridSpan w:val="5"/>
            <w:tcBorders>
              <w:top w:val="single" w:color="auto" w:sz="12" w:space="0"/>
              <w:left w:val="single" w:color="auto" w:sz="12" w:space="0"/>
            </w:tcBorders>
            <w:vAlign w:val="center"/>
          </w:tcPr>
          <w:p w14:paraId="02BBB3E5">
            <w:pPr>
              <w:pStyle w:val="2"/>
              <w:spacing w:line="240" w:lineRule="auto"/>
              <w:jc w:val="center"/>
              <w:rPr>
                <w:rFonts w:ascii="仿宋" w:hAnsi="仿宋" w:eastAsia="仿宋"/>
                <w:spacing w:val="0"/>
                <w:szCs w:val="24"/>
              </w:rPr>
            </w:pPr>
            <w:r>
              <w:rPr>
                <w:rFonts w:hint="eastAsia" w:ascii="仿宋" w:hAnsi="仿宋" w:eastAsia="仿宋"/>
                <w:spacing w:val="0"/>
                <w:szCs w:val="24"/>
              </w:rPr>
              <w:t>考核项目</w:t>
            </w:r>
          </w:p>
        </w:tc>
        <w:tc>
          <w:tcPr>
            <w:tcW w:w="1418" w:type="dxa"/>
            <w:tcBorders>
              <w:top w:val="single" w:color="auto" w:sz="12" w:space="0"/>
            </w:tcBorders>
            <w:vAlign w:val="center"/>
          </w:tcPr>
          <w:p w14:paraId="75F0F915">
            <w:pPr>
              <w:pStyle w:val="2"/>
              <w:spacing w:line="240" w:lineRule="auto"/>
              <w:jc w:val="center"/>
              <w:rPr>
                <w:rFonts w:ascii="仿宋" w:hAnsi="仿宋" w:eastAsia="仿宋"/>
                <w:spacing w:val="0"/>
                <w:szCs w:val="24"/>
              </w:rPr>
            </w:pPr>
            <w:r>
              <w:rPr>
                <w:rFonts w:hint="eastAsia" w:ascii="仿宋" w:hAnsi="仿宋" w:eastAsia="仿宋"/>
                <w:spacing w:val="0"/>
                <w:szCs w:val="24"/>
              </w:rPr>
              <w:t>满分</w:t>
            </w:r>
          </w:p>
        </w:tc>
        <w:tc>
          <w:tcPr>
            <w:tcW w:w="1279" w:type="dxa"/>
            <w:tcBorders>
              <w:top w:val="single" w:color="auto" w:sz="12" w:space="0"/>
              <w:right w:val="single" w:color="auto" w:sz="12" w:space="0"/>
            </w:tcBorders>
            <w:vAlign w:val="center"/>
          </w:tcPr>
          <w:p w14:paraId="389090DE">
            <w:pPr>
              <w:pStyle w:val="2"/>
              <w:spacing w:line="240" w:lineRule="auto"/>
              <w:jc w:val="center"/>
              <w:rPr>
                <w:rFonts w:ascii="仿宋" w:hAnsi="仿宋" w:eastAsia="仿宋"/>
                <w:spacing w:val="0"/>
                <w:szCs w:val="24"/>
              </w:rPr>
            </w:pPr>
            <w:r>
              <w:rPr>
                <w:rFonts w:hint="eastAsia" w:ascii="仿宋" w:hAnsi="仿宋" w:eastAsia="仿宋"/>
                <w:spacing w:val="0"/>
                <w:szCs w:val="24"/>
              </w:rPr>
              <w:t>评分</w:t>
            </w:r>
          </w:p>
        </w:tc>
      </w:tr>
      <w:tr w14:paraId="05AEA1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restart"/>
            <w:tcBorders>
              <w:left w:val="single" w:color="auto" w:sz="12" w:space="0"/>
            </w:tcBorders>
            <w:vAlign w:val="center"/>
          </w:tcPr>
          <w:p w14:paraId="6878B3D2">
            <w:pPr>
              <w:pStyle w:val="2"/>
              <w:spacing w:line="480" w:lineRule="auto"/>
              <w:jc w:val="center"/>
              <w:rPr>
                <w:rFonts w:ascii="仿宋" w:hAnsi="仿宋" w:eastAsia="仿宋"/>
                <w:spacing w:val="0"/>
                <w:szCs w:val="24"/>
              </w:rPr>
            </w:pPr>
            <w:r>
              <w:rPr>
                <w:rFonts w:hint="eastAsia" w:ascii="仿宋" w:hAnsi="仿宋" w:eastAsia="仿宋"/>
                <w:spacing w:val="0"/>
                <w:szCs w:val="24"/>
              </w:rPr>
              <w:t>文献综述</w:t>
            </w:r>
          </w:p>
        </w:tc>
        <w:tc>
          <w:tcPr>
            <w:tcW w:w="4961" w:type="dxa"/>
            <w:gridSpan w:val="4"/>
            <w:vAlign w:val="center"/>
          </w:tcPr>
          <w:p w14:paraId="7997651D">
            <w:pPr>
              <w:pStyle w:val="2"/>
              <w:spacing w:line="240" w:lineRule="auto"/>
              <w:jc w:val="left"/>
              <w:rPr>
                <w:rFonts w:ascii="仿宋" w:hAnsi="仿宋" w:eastAsia="仿宋"/>
                <w:spacing w:val="0"/>
                <w:szCs w:val="24"/>
              </w:rPr>
            </w:pPr>
            <w:r>
              <w:rPr>
                <w:rFonts w:hint="eastAsia" w:ascii="仿宋" w:hAnsi="仿宋" w:eastAsia="仿宋"/>
                <w:spacing w:val="0"/>
                <w:szCs w:val="24"/>
              </w:rPr>
              <w:t>收集了与研究领域有关的主要文献资料</w:t>
            </w:r>
          </w:p>
        </w:tc>
        <w:tc>
          <w:tcPr>
            <w:tcW w:w="1418" w:type="dxa"/>
            <w:vAlign w:val="center"/>
          </w:tcPr>
          <w:p w14:paraId="400F03F8">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1B181371">
            <w:pPr>
              <w:pStyle w:val="2"/>
              <w:spacing w:line="240" w:lineRule="auto"/>
              <w:jc w:val="center"/>
              <w:rPr>
                <w:rFonts w:ascii="仿宋" w:hAnsi="仿宋" w:eastAsia="仿宋"/>
                <w:spacing w:val="0"/>
                <w:szCs w:val="24"/>
              </w:rPr>
            </w:pPr>
          </w:p>
        </w:tc>
      </w:tr>
      <w:tr w14:paraId="451FCA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1773C876">
            <w:pPr>
              <w:pStyle w:val="2"/>
              <w:spacing w:line="480" w:lineRule="auto"/>
              <w:jc w:val="center"/>
              <w:rPr>
                <w:rFonts w:ascii="仿宋" w:hAnsi="仿宋" w:eastAsia="仿宋"/>
                <w:spacing w:val="0"/>
                <w:szCs w:val="24"/>
              </w:rPr>
            </w:pPr>
          </w:p>
        </w:tc>
        <w:tc>
          <w:tcPr>
            <w:tcW w:w="4961" w:type="dxa"/>
            <w:gridSpan w:val="4"/>
            <w:vAlign w:val="center"/>
          </w:tcPr>
          <w:p w14:paraId="4FDE25FE">
            <w:pPr>
              <w:pStyle w:val="2"/>
              <w:spacing w:line="240" w:lineRule="auto"/>
              <w:jc w:val="left"/>
              <w:rPr>
                <w:rFonts w:ascii="仿宋" w:hAnsi="仿宋" w:eastAsia="仿宋"/>
                <w:spacing w:val="0"/>
                <w:szCs w:val="24"/>
              </w:rPr>
            </w:pPr>
            <w:r>
              <w:rPr>
                <w:rFonts w:hint="eastAsia" w:ascii="仿宋" w:hAnsi="仿宋" w:eastAsia="仿宋"/>
                <w:spacing w:val="0"/>
                <w:szCs w:val="24"/>
              </w:rPr>
              <w:t>充分分析并科学评价主要的学术观点和学派</w:t>
            </w:r>
          </w:p>
        </w:tc>
        <w:tc>
          <w:tcPr>
            <w:tcW w:w="1418" w:type="dxa"/>
            <w:vAlign w:val="center"/>
          </w:tcPr>
          <w:p w14:paraId="186453EC">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5BF4459F">
            <w:pPr>
              <w:pStyle w:val="2"/>
              <w:spacing w:line="240" w:lineRule="auto"/>
              <w:jc w:val="center"/>
              <w:rPr>
                <w:rFonts w:ascii="仿宋" w:hAnsi="仿宋" w:eastAsia="仿宋"/>
                <w:spacing w:val="0"/>
                <w:szCs w:val="24"/>
              </w:rPr>
            </w:pPr>
          </w:p>
        </w:tc>
      </w:tr>
      <w:tr w14:paraId="4E2F2B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6F9A97B3">
            <w:pPr>
              <w:pStyle w:val="2"/>
              <w:spacing w:line="480" w:lineRule="auto"/>
              <w:jc w:val="center"/>
              <w:rPr>
                <w:rFonts w:ascii="仿宋" w:hAnsi="仿宋" w:eastAsia="仿宋"/>
                <w:spacing w:val="0"/>
                <w:szCs w:val="24"/>
              </w:rPr>
            </w:pPr>
          </w:p>
        </w:tc>
        <w:tc>
          <w:tcPr>
            <w:tcW w:w="4961" w:type="dxa"/>
            <w:gridSpan w:val="4"/>
            <w:vAlign w:val="center"/>
          </w:tcPr>
          <w:p w14:paraId="18BA98F4">
            <w:pPr>
              <w:pStyle w:val="2"/>
              <w:spacing w:line="240" w:lineRule="auto"/>
              <w:jc w:val="left"/>
              <w:rPr>
                <w:rFonts w:ascii="仿宋" w:hAnsi="仿宋" w:eastAsia="仿宋"/>
                <w:spacing w:val="0"/>
                <w:szCs w:val="24"/>
              </w:rPr>
            </w:pPr>
            <w:r>
              <w:rPr>
                <w:rFonts w:hint="eastAsia" w:ascii="仿宋" w:hAnsi="仿宋" w:eastAsia="仿宋"/>
                <w:spacing w:val="0"/>
                <w:szCs w:val="24"/>
              </w:rPr>
              <w:t>阐明本人的观点，并预示可能的发展趋势及研究方向</w:t>
            </w:r>
          </w:p>
        </w:tc>
        <w:tc>
          <w:tcPr>
            <w:tcW w:w="1418" w:type="dxa"/>
            <w:vAlign w:val="center"/>
          </w:tcPr>
          <w:p w14:paraId="498A83E9">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61F34F1E">
            <w:pPr>
              <w:pStyle w:val="2"/>
              <w:spacing w:line="240" w:lineRule="auto"/>
              <w:jc w:val="center"/>
              <w:rPr>
                <w:rFonts w:ascii="仿宋" w:hAnsi="仿宋" w:eastAsia="仿宋"/>
                <w:spacing w:val="0"/>
                <w:szCs w:val="24"/>
              </w:rPr>
            </w:pPr>
          </w:p>
        </w:tc>
      </w:tr>
      <w:tr w14:paraId="7D6D36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restart"/>
            <w:tcBorders>
              <w:left w:val="single" w:color="auto" w:sz="12" w:space="0"/>
            </w:tcBorders>
            <w:vAlign w:val="center"/>
          </w:tcPr>
          <w:p w14:paraId="0293AD47">
            <w:pPr>
              <w:pStyle w:val="2"/>
              <w:spacing w:line="480" w:lineRule="auto"/>
              <w:jc w:val="center"/>
              <w:rPr>
                <w:rFonts w:ascii="仿宋" w:hAnsi="仿宋" w:eastAsia="仿宋"/>
                <w:spacing w:val="0"/>
                <w:szCs w:val="24"/>
              </w:rPr>
            </w:pPr>
            <w:r>
              <w:rPr>
                <w:rFonts w:hint="eastAsia" w:ascii="仿宋" w:hAnsi="仿宋" w:eastAsia="仿宋"/>
                <w:spacing w:val="0"/>
                <w:szCs w:val="24"/>
              </w:rPr>
              <w:t>课题设计</w:t>
            </w:r>
          </w:p>
        </w:tc>
        <w:tc>
          <w:tcPr>
            <w:tcW w:w="4961" w:type="dxa"/>
            <w:gridSpan w:val="4"/>
            <w:vAlign w:val="center"/>
          </w:tcPr>
          <w:p w14:paraId="766B3390">
            <w:pPr>
              <w:pStyle w:val="2"/>
              <w:spacing w:line="240" w:lineRule="auto"/>
              <w:jc w:val="left"/>
              <w:rPr>
                <w:rFonts w:ascii="仿宋" w:hAnsi="仿宋" w:eastAsia="仿宋"/>
                <w:spacing w:val="0"/>
                <w:szCs w:val="24"/>
              </w:rPr>
            </w:pPr>
            <w:r>
              <w:rPr>
                <w:rFonts w:hint="eastAsia" w:ascii="仿宋" w:hAnsi="仿宋" w:eastAsia="仿宋"/>
                <w:spacing w:val="0"/>
                <w:szCs w:val="24"/>
              </w:rPr>
              <w:t>选题新颖</w:t>
            </w:r>
          </w:p>
        </w:tc>
        <w:tc>
          <w:tcPr>
            <w:tcW w:w="1418" w:type="dxa"/>
            <w:vAlign w:val="center"/>
          </w:tcPr>
          <w:p w14:paraId="09A6130E">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4335AE51">
            <w:pPr>
              <w:pStyle w:val="2"/>
              <w:spacing w:line="240" w:lineRule="auto"/>
              <w:jc w:val="center"/>
              <w:rPr>
                <w:rFonts w:ascii="仿宋" w:hAnsi="仿宋" w:eastAsia="仿宋"/>
                <w:spacing w:val="0"/>
                <w:szCs w:val="24"/>
              </w:rPr>
            </w:pPr>
          </w:p>
        </w:tc>
      </w:tr>
      <w:tr w14:paraId="436C16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61BEE497">
            <w:pPr>
              <w:pStyle w:val="2"/>
              <w:spacing w:line="480" w:lineRule="auto"/>
              <w:jc w:val="center"/>
              <w:rPr>
                <w:rFonts w:ascii="仿宋" w:hAnsi="仿宋" w:eastAsia="仿宋"/>
                <w:spacing w:val="0"/>
                <w:szCs w:val="24"/>
              </w:rPr>
            </w:pPr>
          </w:p>
        </w:tc>
        <w:tc>
          <w:tcPr>
            <w:tcW w:w="4961" w:type="dxa"/>
            <w:gridSpan w:val="4"/>
            <w:vAlign w:val="center"/>
          </w:tcPr>
          <w:p w14:paraId="73544F4B">
            <w:pPr>
              <w:pStyle w:val="2"/>
              <w:spacing w:line="240" w:lineRule="auto"/>
              <w:jc w:val="left"/>
              <w:rPr>
                <w:rFonts w:ascii="仿宋" w:hAnsi="仿宋" w:eastAsia="仿宋"/>
                <w:spacing w:val="0"/>
                <w:szCs w:val="24"/>
              </w:rPr>
            </w:pPr>
            <w:r>
              <w:rPr>
                <w:rFonts w:hint="eastAsia" w:ascii="仿宋" w:hAnsi="仿宋" w:eastAsia="仿宋"/>
                <w:spacing w:val="0"/>
                <w:szCs w:val="24"/>
              </w:rPr>
              <w:t>创新性强</w:t>
            </w:r>
          </w:p>
        </w:tc>
        <w:tc>
          <w:tcPr>
            <w:tcW w:w="1418" w:type="dxa"/>
            <w:vAlign w:val="center"/>
          </w:tcPr>
          <w:p w14:paraId="0472D34E">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44210FE8">
            <w:pPr>
              <w:pStyle w:val="2"/>
              <w:spacing w:line="240" w:lineRule="auto"/>
              <w:jc w:val="center"/>
              <w:rPr>
                <w:rFonts w:ascii="仿宋" w:hAnsi="仿宋" w:eastAsia="仿宋"/>
                <w:spacing w:val="0"/>
                <w:szCs w:val="24"/>
              </w:rPr>
            </w:pPr>
          </w:p>
        </w:tc>
      </w:tr>
      <w:tr w14:paraId="3B692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24A5BAC1">
            <w:pPr>
              <w:pStyle w:val="2"/>
              <w:spacing w:line="480" w:lineRule="auto"/>
              <w:jc w:val="center"/>
              <w:rPr>
                <w:rFonts w:ascii="仿宋" w:hAnsi="仿宋" w:eastAsia="仿宋"/>
                <w:spacing w:val="0"/>
                <w:szCs w:val="24"/>
              </w:rPr>
            </w:pPr>
          </w:p>
        </w:tc>
        <w:tc>
          <w:tcPr>
            <w:tcW w:w="4961" w:type="dxa"/>
            <w:gridSpan w:val="4"/>
            <w:vAlign w:val="center"/>
          </w:tcPr>
          <w:p w14:paraId="04FA3F74">
            <w:pPr>
              <w:pStyle w:val="2"/>
              <w:spacing w:line="240" w:lineRule="auto"/>
              <w:jc w:val="left"/>
              <w:rPr>
                <w:rFonts w:ascii="仿宋" w:hAnsi="仿宋" w:eastAsia="仿宋"/>
                <w:spacing w:val="0"/>
                <w:szCs w:val="24"/>
              </w:rPr>
            </w:pPr>
            <w:r>
              <w:rPr>
                <w:rFonts w:hint="eastAsia" w:ascii="仿宋" w:hAnsi="仿宋" w:eastAsia="仿宋"/>
                <w:spacing w:val="0"/>
                <w:szCs w:val="24"/>
              </w:rPr>
              <w:t>设计严密、方法合理</w:t>
            </w:r>
          </w:p>
        </w:tc>
        <w:tc>
          <w:tcPr>
            <w:tcW w:w="1418" w:type="dxa"/>
            <w:vAlign w:val="center"/>
          </w:tcPr>
          <w:p w14:paraId="0F61079B">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186D7D35">
            <w:pPr>
              <w:pStyle w:val="2"/>
              <w:spacing w:line="240" w:lineRule="auto"/>
              <w:jc w:val="center"/>
              <w:rPr>
                <w:rFonts w:ascii="仿宋" w:hAnsi="仿宋" w:eastAsia="仿宋"/>
                <w:spacing w:val="0"/>
                <w:szCs w:val="24"/>
              </w:rPr>
            </w:pPr>
          </w:p>
        </w:tc>
      </w:tr>
      <w:tr w14:paraId="4ADC6D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4B262F3D">
            <w:pPr>
              <w:pStyle w:val="2"/>
              <w:spacing w:line="480" w:lineRule="auto"/>
              <w:jc w:val="center"/>
              <w:rPr>
                <w:rFonts w:ascii="仿宋" w:hAnsi="仿宋" w:eastAsia="仿宋"/>
                <w:spacing w:val="0"/>
                <w:szCs w:val="24"/>
              </w:rPr>
            </w:pPr>
          </w:p>
        </w:tc>
        <w:tc>
          <w:tcPr>
            <w:tcW w:w="4961" w:type="dxa"/>
            <w:gridSpan w:val="4"/>
            <w:vAlign w:val="center"/>
          </w:tcPr>
          <w:p w14:paraId="12EF1B7E">
            <w:pPr>
              <w:pStyle w:val="2"/>
              <w:spacing w:line="240" w:lineRule="auto"/>
              <w:jc w:val="left"/>
              <w:rPr>
                <w:rFonts w:ascii="仿宋" w:hAnsi="仿宋" w:eastAsia="仿宋"/>
                <w:spacing w:val="0"/>
                <w:szCs w:val="24"/>
              </w:rPr>
            </w:pPr>
            <w:r>
              <w:rPr>
                <w:rFonts w:hint="eastAsia" w:ascii="仿宋" w:hAnsi="仿宋" w:eastAsia="仿宋"/>
                <w:spacing w:val="0"/>
                <w:szCs w:val="24"/>
              </w:rPr>
              <w:t>科研计划合理，可行性强</w:t>
            </w:r>
          </w:p>
        </w:tc>
        <w:tc>
          <w:tcPr>
            <w:tcW w:w="1418" w:type="dxa"/>
            <w:vAlign w:val="center"/>
          </w:tcPr>
          <w:p w14:paraId="79FE6C90">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3097CE91">
            <w:pPr>
              <w:pStyle w:val="2"/>
              <w:spacing w:line="240" w:lineRule="auto"/>
              <w:jc w:val="center"/>
              <w:rPr>
                <w:rFonts w:ascii="仿宋" w:hAnsi="仿宋" w:eastAsia="仿宋"/>
                <w:spacing w:val="0"/>
                <w:szCs w:val="24"/>
              </w:rPr>
            </w:pPr>
          </w:p>
        </w:tc>
      </w:tr>
      <w:tr w14:paraId="10F064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restart"/>
            <w:tcBorders>
              <w:left w:val="single" w:color="auto" w:sz="12" w:space="0"/>
            </w:tcBorders>
            <w:vAlign w:val="center"/>
          </w:tcPr>
          <w:p w14:paraId="0550D73B">
            <w:pPr>
              <w:pStyle w:val="2"/>
              <w:spacing w:line="480" w:lineRule="auto"/>
              <w:jc w:val="center"/>
              <w:rPr>
                <w:rFonts w:ascii="仿宋" w:hAnsi="仿宋" w:eastAsia="仿宋"/>
                <w:spacing w:val="0"/>
                <w:szCs w:val="24"/>
              </w:rPr>
            </w:pPr>
            <w:r>
              <w:rPr>
                <w:rFonts w:hint="eastAsia" w:ascii="仿宋" w:hAnsi="仿宋" w:eastAsia="仿宋"/>
                <w:spacing w:val="0"/>
                <w:szCs w:val="24"/>
              </w:rPr>
              <w:t>综合能力</w:t>
            </w:r>
          </w:p>
        </w:tc>
        <w:tc>
          <w:tcPr>
            <w:tcW w:w="4961" w:type="dxa"/>
            <w:gridSpan w:val="4"/>
            <w:vAlign w:val="center"/>
          </w:tcPr>
          <w:p w14:paraId="095DB2CD">
            <w:pPr>
              <w:pStyle w:val="2"/>
              <w:spacing w:line="240" w:lineRule="auto"/>
              <w:jc w:val="left"/>
              <w:rPr>
                <w:rFonts w:ascii="仿宋" w:hAnsi="仿宋" w:eastAsia="仿宋"/>
                <w:spacing w:val="0"/>
                <w:szCs w:val="24"/>
              </w:rPr>
            </w:pPr>
            <w:r>
              <w:rPr>
                <w:rFonts w:hint="eastAsia" w:ascii="仿宋" w:hAnsi="仿宋" w:eastAsia="仿宋"/>
                <w:spacing w:val="0"/>
                <w:szCs w:val="24"/>
              </w:rPr>
              <w:t>具有深广的知识</w:t>
            </w:r>
          </w:p>
        </w:tc>
        <w:tc>
          <w:tcPr>
            <w:tcW w:w="1418" w:type="dxa"/>
            <w:vAlign w:val="center"/>
          </w:tcPr>
          <w:p w14:paraId="6AA11712">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40FEFB02">
            <w:pPr>
              <w:pStyle w:val="2"/>
              <w:spacing w:line="240" w:lineRule="auto"/>
              <w:jc w:val="center"/>
              <w:rPr>
                <w:rFonts w:ascii="仿宋" w:hAnsi="仿宋" w:eastAsia="仿宋"/>
                <w:spacing w:val="0"/>
                <w:szCs w:val="24"/>
              </w:rPr>
            </w:pPr>
          </w:p>
        </w:tc>
      </w:tr>
      <w:tr w14:paraId="75E4EC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713A3463">
            <w:pPr>
              <w:pStyle w:val="2"/>
              <w:spacing w:line="480" w:lineRule="auto"/>
              <w:jc w:val="center"/>
              <w:rPr>
                <w:rFonts w:ascii="仿宋" w:hAnsi="仿宋" w:eastAsia="仿宋"/>
                <w:spacing w:val="0"/>
                <w:szCs w:val="24"/>
              </w:rPr>
            </w:pPr>
          </w:p>
        </w:tc>
        <w:tc>
          <w:tcPr>
            <w:tcW w:w="4961" w:type="dxa"/>
            <w:gridSpan w:val="4"/>
            <w:vAlign w:val="center"/>
          </w:tcPr>
          <w:p w14:paraId="60F89D9E">
            <w:pPr>
              <w:pStyle w:val="2"/>
              <w:spacing w:line="240" w:lineRule="auto"/>
              <w:jc w:val="left"/>
              <w:rPr>
                <w:rFonts w:ascii="仿宋" w:hAnsi="仿宋" w:eastAsia="仿宋"/>
                <w:spacing w:val="0"/>
                <w:szCs w:val="24"/>
              </w:rPr>
            </w:pPr>
            <w:r>
              <w:rPr>
                <w:rFonts w:hint="eastAsia" w:ascii="仿宋" w:hAnsi="仿宋" w:eastAsia="仿宋"/>
                <w:spacing w:val="0"/>
                <w:szCs w:val="24"/>
              </w:rPr>
              <w:t>具有分析问题和解决问题的能力</w:t>
            </w:r>
          </w:p>
        </w:tc>
        <w:tc>
          <w:tcPr>
            <w:tcW w:w="1418" w:type="dxa"/>
            <w:vAlign w:val="center"/>
          </w:tcPr>
          <w:p w14:paraId="3CC3A6B7">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38DF9F09">
            <w:pPr>
              <w:pStyle w:val="2"/>
              <w:spacing w:line="240" w:lineRule="auto"/>
              <w:jc w:val="center"/>
              <w:rPr>
                <w:rFonts w:ascii="仿宋" w:hAnsi="仿宋" w:eastAsia="仿宋"/>
                <w:spacing w:val="0"/>
                <w:szCs w:val="24"/>
              </w:rPr>
            </w:pPr>
          </w:p>
        </w:tc>
      </w:tr>
      <w:tr w14:paraId="095C7A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846" w:type="dxa"/>
            <w:vMerge w:val="continue"/>
            <w:tcBorders>
              <w:left w:val="single" w:color="auto" w:sz="12" w:space="0"/>
            </w:tcBorders>
            <w:vAlign w:val="center"/>
          </w:tcPr>
          <w:p w14:paraId="6A63B19F">
            <w:pPr>
              <w:pStyle w:val="2"/>
              <w:spacing w:line="480" w:lineRule="auto"/>
              <w:jc w:val="center"/>
              <w:rPr>
                <w:rFonts w:ascii="仿宋" w:hAnsi="仿宋" w:eastAsia="仿宋"/>
                <w:spacing w:val="0"/>
                <w:szCs w:val="24"/>
              </w:rPr>
            </w:pPr>
          </w:p>
        </w:tc>
        <w:tc>
          <w:tcPr>
            <w:tcW w:w="4961" w:type="dxa"/>
            <w:gridSpan w:val="4"/>
            <w:vAlign w:val="center"/>
          </w:tcPr>
          <w:p w14:paraId="0DA1FE33">
            <w:pPr>
              <w:pStyle w:val="2"/>
              <w:spacing w:line="240" w:lineRule="auto"/>
              <w:jc w:val="left"/>
              <w:rPr>
                <w:rFonts w:ascii="仿宋" w:hAnsi="仿宋" w:eastAsia="仿宋"/>
                <w:spacing w:val="0"/>
                <w:szCs w:val="24"/>
              </w:rPr>
            </w:pPr>
            <w:r>
              <w:rPr>
                <w:rFonts w:hint="eastAsia" w:ascii="仿宋" w:hAnsi="仿宋" w:eastAsia="仿宋"/>
                <w:spacing w:val="0"/>
                <w:szCs w:val="24"/>
              </w:rPr>
              <w:t>思路清晰、语言表达能力强</w:t>
            </w:r>
          </w:p>
        </w:tc>
        <w:tc>
          <w:tcPr>
            <w:tcW w:w="1418" w:type="dxa"/>
            <w:vAlign w:val="center"/>
          </w:tcPr>
          <w:p w14:paraId="1AA1B16A">
            <w:pPr>
              <w:pStyle w:val="2"/>
              <w:spacing w:line="240" w:lineRule="auto"/>
              <w:jc w:val="center"/>
              <w:rPr>
                <w:rFonts w:ascii="仿宋" w:hAnsi="仿宋" w:eastAsia="仿宋"/>
                <w:spacing w:val="0"/>
                <w:szCs w:val="24"/>
              </w:rPr>
            </w:pPr>
            <w:r>
              <w:rPr>
                <w:rFonts w:hint="eastAsia" w:ascii="仿宋" w:hAnsi="仿宋" w:eastAsia="仿宋"/>
                <w:spacing w:val="0"/>
                <w:szCs w:val="24"/>
              </w:rPr>
              <w:t>10</w:t>
            </w:r>
          </w:p>
        </w:tc>
        <w:tc>
          <w:tcPr>
            <w:tcW w:w="1279" w:type="dxa"/>
            <w:tcBorders>
              <w:right w:val="single" w:color="auto" w:sz="12" w:space="0"/>
            </w:tcBorders>
            <w:vAlign w:val="center"/>
          </w:tcPr>
          <w:p w14:paraId="481FDC8A">
            <w:pPr>
              <w:pStyle w:val="2"/>
              <w:spacing w:line="240" w:lineRule="auto"/>
              <w:jc w:val="center"/>
              <w:rPr>
                <w:rFonts w:ascii="仿宋" w:hAnsi="仿宋" w:eastAsia="仿宋"/>
                <w:spacing w:val="0"/>
                <w:szCs w:val="24"/>
              </w:rPr>
            </w:pPr>
          </w:p>
        </w:tc>
      </w:tr>
      <w:tr w14:paraId="7E7FAE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5807" w:type="dxa"/>
            <w:gridSpan w:val="5"/>
            <w:tcBorders>
              <w:left w:val="single" w:color="auto" w:sz="12" w:space="0"/>
              <w:bottom w:val="single" w:color="auto" w:sz="12" w:space="0"/>
            </w:tcBorders>
            <w:vAlign w:val="center"/>
          </w:tcPr>
          <w:p w14:paraId="3BCE3E23">
            <w:pPr>
              <w:pStyle w:val="2"/>
              <w:spacing w:line="240" w:lineRule="auto"/>
              <w:jc w:val="center"/>
              <w:rPr>
                <w:rFonts w:ascii="仿宋" w:hAnsi="仿宋" w:eastAsia="仿宋"/>
                <w:spacing w:val="0"/>
                <w:szCs w:val="24"/>
              </w:rPr>
            </w:pPr>
            <w:r>
              <w:rPr>
                <w:rFonts w:hint="eastAsia" w:ascii="仿宋" w:hAnsi="仿宋" w:eastAsia="仿宋"/>
                <w:spacing w:val="0"/>
                <w:szCs w:val="24"/>
              </w:rPr>
              <w:t>总  分</w:t>
            </w:r>
          </w:p>
        </w:tc>
        <w:tc>
          <w:tcPr>
            <w:tcW w:w="1418" w:type="dxa"/>
            <w:tcBorders>
              <w:bottom w:val="single" w:color="auto" w:sz="12" w:space="0"/>
            </w:tcBorders>
            <w:vAlign w:val="center"/>
          </w:tcPr>
          <w:p w14:paraId="72329915">
            <w:pPr>
              <w:pStyle w:val="2"/>
              <w:spacing w:line="240" w:lineRule="auto"/>
              <w:jc w:val="center"/>
              <w:rPr>
                <w:rFonts w:ascii="仿宋" w:hAnsi="仿宋" w:eastAsia="仿宋"/>
                <w:spacing w:val="0"/>
                <w:szCs w:val="24"/>
              </w:rPr>
            </w:pPr>
            <w:r>
              <w:rPr>
                <w:rFonts w:hint="eastAsia" w:ascii="仿宋" w:hAnsi="仿宋" w:eastAsia="仿宋"/>
                <w:spacing w:val="0"/>
                <w:szCs w:val="24"/>
              </w:rPr>
              <w:t>100</w:t>
            </w:r>
          </w:p>
        </w:tc>
        <w:tc>
          <w:tcPr>
            <w:tcW w:w="1279" w:type="dxa"/>
            <w:tcBorders>
              <w:bottom w:val="single" w:color="auto" w:sz="12" w:space="0"/>
              <w:right w:val="single" w:color="auto" w:sz="12" w:space="0"/>
            </w:tcBorders>
            <w:vAlign w:val="center"/>
          </w:tcPr>
          <w:p w14:paraId="1A27A8B4">
            <w:pPr>
              <w:pStyle w:val="2"/>
              <w:spacing w:line="240" w:lineRule="auto"/>
              <w:jc w:val="center"/>
              <w:rPr>
                <w:rFonts w:ascii="仿宋" w:hAnsi="仿宋" w:eastAsia="仿宋"/>
                <w:spacing w:val="0"/>
                <w:szCs w:val="24"/>
              </w:rPr>
            </w:pPr>
          </w:p>
        </w:tc>
      </w:tr>
    </w:tbl>
    <w:p w14:paraId="03534572">
      <w:pPr>
        <w:pStyle w:val="2"/>
        <w:jc w:val="center"/>
        <w:rPr>
          <w:rFonts w:ascii="仿宋" w:hAnsi="仿宋" w:eastAsia="仿宋"/>
          <w:spacing w:val="0"/>
          <w:szCs w:val="24"/>
        </w:rPr>
      </w:pPr>
      <w:r>
        <w:rPr>
          <w:rFonts w:hint="eastAsia" w:ascii="仿宋" w:hAnsi="仿宋" w:eastAsia="仿宋"/>
          <w:spacing w:val="0"/>
          <w:szCs w:val="28"/>
        </w:rPr>
        <w:t>考核专家签字 ：</w:t>
      </w:r>
    </w:p>
    <w:p w14:paraId="2C9BE295">
      <w:pPr>
        <w:pStyle w:val="2"/>
        <w:jc w:val="center"/>
        <w:rPr>
          <w:rFonts w:ascii="仿宋" w:hAnsi="仿宋" w:eastAsia="仿宋"/>
          <w:szCs w:val="24"/>
        </w:rPr>
      </w:pPr>
      <w:r>
        <w:rPr>
          <w:rFonts w:hint="eastAsia" w:ascii="仿宋" w:hAnsi="仿宋" w:eastAsia="仿宋"/>
          <w:spacing w:val="0"/>
          <w:szCs w:val="24"/>
        </w:rPr>
        <w:t>日期</w:t>
      </w:r>
      <w:r>
        <w:rPr>
          <w:rFonts w:ascii="仿宋" w:hAnsi="仿宋" w:eastAsia="仿宋"/>
          <w:spacing w:val="0"/>
          <w:szCs w:val="24"/>
        </w:rPr>
        <w:t>：</w:t>
      </w:r>
    </w:p>
    <w:p w14:paraId="4ED14B86">
      <w:pPr>
        <w:tabs>
          <w:tab w:val="left" w:pos="520"/>
        </w:tabs>
        <w:spacing w:line="360" w:lineRule="auto"/>
        <w:jc w:val="left"/>
        <w:rPr>
          <w:rFonts w:asciiTheme="minorEastAsia" w:hAnsiTheme="minorEastAsia" w:eastAsiaTheme="minorEastAsia"/>
          <w:sz w:val="24"/>
          <w:szCs w:val="24"/>
        </w:rPr>
        <w:sectPr>
          <w:pgSz w:w="11906" w:h="16838"/>
          <w:pgMar w:top="1440" w:right="1800" w:bottom="1440" w:left="1800" w:header="851" w:footer="992" w:gutter="0"/>
          <w:pgNumType w:fmt="decimal"/>
          <w:cols w:space="425" w:num="1"/>
          <w:titlePg/>
          <w:docGrid w:type="lines" w:linePitch="312" w:charSpace="0"/>
        </w:sectPr>
      </w:pPr>
    </w:p>
    <w:p w14:paraId="69140735">
      <w:pPr>
        <w:pStyle w:val="2"/>
        <w:jc w:val="center"/>
        <w:rPr>
          <w:rFonts w:ascii="华文中宋" w:hAnsi="华文中宋" w:eastAsia="华文中宋"/>
          <w:bCs/>
          <w:sz w:val="36"/>
          <w:szCs w:val="44"/>
        </w:rPr>
      </w:pPr>
      <w:r>
        <w:rPr>
          <w:rFonts w:hint="eastAsia" w:ascii="华文中宋" w:hAnsi="华文中宋" w:eastAsia="华文中宋"/>
          <w:bCs/>
          <w:sz w:val="36"/>
          <w:szCs w:val="44"/>
        </w:rPr>
        <w:t>首都医科大学学位论文开题报告</w:t>
      </w:r>
    </w:p>
    <w:p w14:paraId="40656CDF">
      <w:pPr>
        <w:pStyle w:val="2"/>
        <w:jc w:val="center"/>
        <w:rPr>
          <w:rFonts w:ascii="华文中宋" w:hAnsi="华文中宋" w:eastAsia="华文中宋"/>
          <w:bCs/>
          <w:sz w:val="36"/>
          <w:szCs w:val="44"/>
        </w:rPr>
      </w:pPr>
      <w:r>
        <w:rPr>
          <w:rFonts w:hint="eastAsia" w:ascii="华文中宋" w:hAnsi="华文中宋" w:eastAsia="华文中宋"/>
          <w:bCs/>
          <w:sz w:val="36"/>
          <w:szCs w:val="44"/>
        </w:rPr>
        <w:t>考核评分汇总表</w:t>
      </w:r>
    </w:p>
    <w:tbl>
      <w:tblPr>
        <w:tblStyle w:val="6"/>
        <w:tblW w:w="850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67"/>
        <w:gridCol w:w="33"/>
        <w:gridCol w:w="1414"/>
        <w:gridCol w:w="295"/>
        <w:gridCol w:w="1112"/>
        <w:gridCol w:w="2281"/>
        <w:gridCol w:w="1701"/>
      </w:tblGrid>
      <w:tr w14:paraId="7C25BC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top w:val="single" w:color="auto" w:sz="12" w:space="0"/>
              <w:left w:val="single" w:color="auto" w:sz="12" w:space="0"/>
            </w:tcBorders>
            <w:vAlign w:val="center"/>
          </w:tcPr>
          <w:p w14:paraId="0E0E8114">
            <w:pPr>
              <w:pStyle w:val="16"/>
              <w:framePr w:wrap="auto" w:vAnchor="margin" w:hAnchor="text" w:yAlign="inline"/>
              <w:jc w:val="center"/>
              <w:rPr>
                <w:rFonts w:ascii="仿宋" w:hAnsi="仿宋" w:eastAsia="仿宋"/>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414" w:type="dxa"/>
            <w:tcBorders>
              <w:top w:val="single" w:color="auto" w:sz="12" w:space="0"/>
            </w:tcBorders>
            <w:vAlign w:val="center"/>
          </w:tcPr>
          <w:p w14:paraId="5D7A9C7A">
            <w:pPr>
              <w:rPr>
                <w:rFonts w:ascii="仿宋" w:hAnsi="仿宋" w:eastAsia="仿宋"/>
              </w:rPr>
            </w:pPr>
            <w:r>
              <w:rPr>
                <w:rFonts w:hint="eastAsia" w:ascii="仿宋" w:hAnsi="仿宋" w:eastAsia="仿宋" w:cs="仿宋"/>
                <w:lang w:eastAsia="zh-CN"/>
              </w:rPr>
              <w:t>付亮</w:t>
            </w:r>
          </w:p>
        </w:tc>
        <w:tc>
          <w:tcPr>
            <w:tcW w:w="1407" w:type="dxa"/>
            <w:gridSpan w:val="2"/>
            <w:tcBorders>
              <w:top w:val="single" w:color="auto" w:sz="12" w:space="0"/>
            </w:tcBorders>
            <w:vAlign w:val="center"/>
          </w:tcPr>
          <w:p w14:paraId="43D1E7B6">
            <w:pPr>
              <w:pStyle w:val="16"/>
              <w:framePr w:wrap="auto" w:vAnchor="margin" w:hAnchor="text" w:yAlign="inline"/>
              <w:jc w:val="center"/>
              <w:rPr>
                <w:rFonts w:ascii="仿宋" w:hAnsi="仿宋" w:eastAsia="仿宋"/>
              </w:rPr>
            </w:pPr>
            <w:r>
              <w:rPr>
                <w:rFonts w:ascii="仿宋" w:hAnsi="仿宋" w:eastAsia="仿宋" w:cs="仿宋"/>
                <w:sz w:val="24"/>
                <w:szCs w:val="24"/>
                <w:lang w:val="zh-TW" w:eastAsia="zh-TW"/>
              </w:rPr>
              <w:t>学号</w:t>
            </w:r>
          </w:p>
        </w:tc>
        <w:tc>
          <w:tcPr>
            <w:tcW w:w="3982" w:type="dxa"/>
            <w:gridSpan w:val="2"/>
            <w:tcBorders>
              <w:top w:val="single" w:color="auto" w:sz="12" w:space="0"/>
              <w:right w:val="single" w:color="auto" w:sz="12" w:space="0"/>
            </w:tcBorders>
            <w:vAlign w:val="center"/>
          </w:tcPr>
          <w:p w14:paraId="66B30077">
            <w:pPr>
              <w:rPr>
                <w:rFonts w:ascii="仿宋" w:hAnsi="仿宋" w:eastAsia="仿宋"/>
              </w:rPr>
            </w:pPr>
            <w:r>
              <w:rPr>
                <w:rFonts w:hint="default" w:ascii="Times New Roman" w:hAnsi="Times New Roman" w:eastAsia="宋体" w:cs="Times New Roman"/>
                <w:sz w:val="24"/>
                <w:szCs w:val="24"/>
              </w:rPr>
              <w:t>132017100062</w:t>
            </w:r>
          </w:p>
        </w:tc>
      </w:tr>
      <w:tr w14:paraId="4D7264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left w:val="single" w:color="auto" w:sz="12" w:space="0"/>
            </w:tcBorders>
            <w:vAlign w:val="center"/>
          </w:tcPr>
          <w:p w14:paraId="4EC81F8B">
            <w:pPr>
              <w:pStyle w:val="16"/>
              <w:framePr w:wrap="auto" w:vAnchor="margin" w:hAnchor="text" w:yAlign="inline"/>
              <w:jc w:val="center"/>
              <w:rPr>
                <w:rFonts w:ascii="仿宋" w:hAnsi="仿宋" w:eastAsia="仿宋"/>
              </w:rPr>
            </w:pPr>
            <w:r>
              <w:rPr>
                <w:rFonts w:ascii="仿宋" w:hAnsi="仿宋" w:eastAsia="仿宋" w:cs="仿宋"/>
                <w:sz w:val="24"/>
                <w:szCs w:val="24"/>
                <w:lang w:val="zh-TW" w:eastAsia="zh-TW"/>
              </w:rPr>
              <w:t>学科专业</w:t>
            </w:r>
          </w:p>
        </w:tc>
        <w:tc>
          <w:tcPr>
            <w:tcW w:w="1414" w:type="dxa"/>
            <w:vAlign w:val="center"/>
          </w:tcPr>
          <w:p w14:paraId="6E6EFE12">
            <w:pPr>
              <w:rPr>
                <w:rFonts w:ascii="仿宋" w:hAnsi="仿宋" w:eastAsia="仿宋"/>
              </w:rPr>
            </w:pPr>
            <w:r>
              <w:rPr>
                <w:rFonts w:hint="default" w:ascii="Times New Roman" w:hAnsi="Times New Roman" w:eastAsia="仿宋" w:cs="Times New Roman"/>
                <w:lang w:eastAsia="zh-CN"/>
              </w:rPr>
              <w:t>内科学（传染病）</w:t>
            </w:r>
          </w:p>
        </w:tc>
        <w:tc>
          <w:tcPr>
            <w:tcW w:w="1407" w:type="dxa"/>
            <w:gridSpan w:val="2"/>
            <w:vAlign w:val="center"/>
          </w:tcPr>
          <w:p w14:paraId="3315EBEE">
            <w:pPr>
              <w:pStyle w:val="16"/>
              <w:framePr w:wrap="auto" w:vAnchor="margin" w:hAnchor="text" w:yAlign="inline"/>
              <w:jc w:val="center"/>
              <w:rPr>
                <w:rFonts w:ascii="仿宋" w:hAnsi="仿宋" w:eastAsia="仿宋"/>
              </w:rPr>
            </w:pPr>
            <w:r>
              <w:rPr>
                <w:rFonts w:ascii="仿宋" w:hAnsi="仿宋" w:eastAsia="仿宋" w:cs="仿宋"/>
                <w:sz w:val="24"/>
                <w:szCs w:val="24"/>
                <w:lang w:val="zh-TW" w:eastAsia="zh-TW"/>
              </w:rPr>
              <w:t>学位类型</w:t>
            </w:r>
          </w:p>
        </w:tc>
        <w:tc>
          <w:tcPr>
            <w:tcW w:w="3982" w:type="dxa"/>
            <w:gridSpan w:val="2"/>
            <w:tcBorders>
              <w:right w:val="single" w:color="auto" w:sz="12" w:space="0"/>
            </w:tcBorders>
            <w:vAlign w:val="center"/>
          </w:tcPr>
          <w:p w14:paraId="6B08D8CF">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094963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left w:val="single" w:color="auto" w:sz="12" w:space="0"/>
              <w:bottom w:val="single" w:color="auto" w:sz="12" w:space="0"/>
            </w:tcBorders>
            <w:vAlign w:val="center"/>
          </w:tcPr>
          <w:p w14:paraId="388FF4CA">
            <w:pPr>
              <w:pStyle w:val="16"/>
              <w:framePr w:wrap="auto" w:vAnchor="margin" w:hAnchor="text" w:yAlign="inline"/>
              <w:jc w:val="center"/>
              <w:rPr>
                <w:rFonts w:ascii="仿宋" w:hAnsi="仿宋" w:eastAsia="仿宋"/>
              </w:rPr>
            </w:pPr>
            <w:r>
              <w:rPr>
                <w:rFonts w:ascii="仿宋" w:hAnsi="仿宋" w:eastAsia="仿宋" w:cs="仿宋"/>
                <w:sz w:val="24"/>
                <w:szCs w:val="24"/>
                <w:lang w:val="zh-TW" w:eastAsia="zh-TW"/>
              </w:rPr>
              <w:t>导师姓名</w:t>
            </w:r>
          </w:p>
        </w:tc>
        <w:tc>
          <w:tcPr>
            <w:tcW w:w="1414" w:type="dxa"/>
            <w:tcBorders>
              <w:bottom w:val="single" w:color="auto" w:sz="12" w:space="0"/>
            </w:tcBorders>
            <w:vAlign w:val="center"/>
          </w:tcPr>
          <w:p w14:paraId="05AEB776">
            <w:pPr>
              <w:rPr>
                <w:rFonts w:ascii="仿宋" w:hAnsi="仿宋" w:eastAsia="仿宋"/>
              </w:rPr>
            </w:pPr>
            <w:r>
              <w:rPr>
                <w:rFonts w:hint="eastAsia" w:ascii="仿宋" w:hAnsi="仿宋" w:eastAsia="仿宋" w:cs="仿宋"/>
                <w:lang w:eastAsia="zh-CN"/>
              </w:rPr>
              <w:t>唐神结</w:t>
            </w:r>
          </w:p>
        </w:tc>
        <w:tc>
          <w:tcPr>
            <w:tcW w:w="1407" w:type="dxa"/>
            <w:gridSpan w:val="2"/>
            <w:tcBorders>
              <w:bottom w:val="single" w:color="auto" w:sz="12" w:space="0"/>
            </w:tcBorders>
            <w:vAlign w:val="center"/>
          </w:tcPr>
          <w:p w14:paraId="1AC0E7B0">
            <w:pPr>
              <w:pStyle w:val="16"/>
              <w:framePr w:wrap="auto" w:vAnchor="margin" w:hAnchor="text" w:yAlign="inline"/>
              <w:jc w:val="center"/>
              <w:rPr>
                <w:rFonts w:ascii="仿宋" w:hAnsi="仿宋" w:eastAsia="仿宋"/>
              </w:rPr>
            </w:pPr>
            <w:r>
              <w:rPr>
                <w:rFonts w:ascii="仿宋" w:hAnsi="仿宋" w:eastAsia="仿宋" w:cs="仿宋"/>
                <w:sz w:val="24"/>
                <w:szCs w:val="24"/>
                <w:lang w:val="zh-TW" w:eastAsia="zh-TW"/>
              </w:rPr>
              <w:t>培养单位</w:t>
            </w:r>
          </w:p>
        </w:tc>
        <w:tc>
          <w:tcPr>
            <w:tcW w:w="3982" w:type="dxa"/>
            <w:gridSpan w:val="2"/>
            <w:tcBorders>
              <w:bottom w:val="single" w:color="auto" w:sz="12" w:space="0"/>
              <w:right w:val="single" w:color="auto" w:sz="12" w:space="0"/>
            </w:tcBorders>
            <w:vAlign w:val="center"/>
          </w:tcPr>
          <w:p w14:paraId="7584F8CA">
            <w:pPr>
              <w:rPr>
                <w:rFonts w:ascii="仿宋" w:hAnsi="仿宋" w:eastAsia="仿宋"/>
              </w:rPr>
            </w:pPr>
            <w:r>
              <w:rPr>
                <w:rFonts w:hint="default" w:ascii="Times New Roman" w:hAnsi="Times New Roman" w:eastAsia="仿宋" w:cs="Times New Roman"/>
                <w:lang w:eastAsia="zh-CN"/>
              </w:rPr>
              <w:t>首都医科大学附属北京胸科医院（第十临床医学院）</w:t>
            </w:r>
          </w:p>
        </w:tc>
      </w:tr>
      <w:tr w14:paraId="3A8E64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3" w:type="dxa"/>
            <w:gridSpan w:val="7"/>
            <w:tcBorders>
              <w:top w:val="single" w:color="auto" w:sz="12" w:space="0"/>
              <w:left w:val="single" w:color="auto" w:sz="12" w:space="0"/>
              <w:bottom w:val="single" w:color="auto" w:sz="12" w:space="0"/>
              <w:right w:val="single" w:color="auto" w:sz="12" w:space="0"/>
            </w:tcBorders>
            <w:vAlign w:val="center"/>
          </w:tcPr>
          <w:p w14:paraId="5F898A60">
            <w:pPr>
              <w:jc w:val="center"/>
              <w:rPr>
                <w:rFonts w:ascii="仿宋" w:hAnsi="仿宋" w:eastAsia="仿宋"/>
                <w:sz w:val="24"/>
                <w:szCs w:val="24"/>
              </w:rPr>
            </w:pPr>
            <w:r>
              <w:rPr>
                <w:rFonts w:hint="eastAsia" w:ascii="仿宋" w:hAnsi="仿宋" w:eastAsia="仿宋"/>
                <w:sz w:val="24"/>
                <w:szCs w:val="24"/>
              </w:rPr>
              <w:t>考核专家名单</w:t>
            </w:r>
          </w:p>
        </w:tc>
      </w:tr>
      <w:tr w14:paraId="2E1282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top w:val="single" w:color="auto" w:sz="12" w:space="0"/>
              <w:left w:val="single" w:color="auto" w:sz="12" w:space="0"/>
            </w:tcBorders>
            <w:vAlign w:val="center"/>
          </w:tcPr>
          <w:p w14:paraId="03ABFA75">
            <w:pPr>
              <w:pStyle w:val="2"/>
              <w:spacing w:line="276" w:lineRule="auto"/>
              <w:jc w:val="center"/>
              <w:rPr>
                <w:rFonts w:ascii="仿宋" w:hAnsi="仿宋" w:eastAsia="仿宋"/>
                <w:spacing w:val="0"/>
                <w:szCs w:val="24"/>
              </w:rPr>
            </w:pPr>
            <w:r>
              <w:rPr>
                <w:rFonts w:hint="eastAsia" w:ascii="仿宋" w:hAnsi="仿宋" w:eastAsia="仿宋"/>
                <w:spacing w:val="0"/>
                <w:szCs w:val="24"/>
              </w:rPr>
              <w:t>姓名</w:t>
            </w:r>
          </w:p>
        </w:tc>
        <w:tc>
          <w:tcPr>
            <w:tcW w:w="1742" w:type="dxa"/>
            <w:gridSpan w:val="3"/>
            <w:tcBorders>
              <w:top w:val="single" w:color="auto" w:sz="12" w:space="0"/>
            </w:tcBorders>
            <w:vAlign w:val="center"/>
          </w:tcPr>
          <w:p w14:paraId="77B40B5B">
            <w:pPr>
              <w:pStyle w:val="2"/>
              <w:spacing w:line="276" w:lineRule="auto"/>
              <w:jc w:val="center"/>
              <w:rPr>
                <w:rFonts w:ascii="仿宋" w:hAnsi="仿宋" w:eastAsia="仿宋"/>
                <w:spacing w:val="0"/>
                <w:szCs w:val="24"/>
              </w:rPr>
            </w:pPr>
            <w:r>
              <w:rPr>
                <w:rFonts w:hint="eastAsia" w:ascii="仿宋" w:hAnsi="仿宋" w:eastAsia="仿宋"/>
                <w:spacing w:val="0"/>
                <w:szCs w:val="24"/>
              </w:rPr>
              <w:t>职称</w:t>
            </w:r>
          </w:p>
        </w:tc>
        <w:tc>
          <w:tcPr>
            <w:tcW w:w="3393" w:type="dxa"/>
            <w:gridSpan w:val="2"/>
            <w:tcBorders>
              <w:top w:val="single" w:color="auto" w:sz="12" w:space="0"/>
            </w:tcBorders>
            <w:vAlign w:val="center"/>
          </w:tcPr>
          <w:p w14:paraId="51248C62">
            <w:pPr>
              <w:pStyle w:val="2"/>
              <w:spacing w:line="276" w:lineRule="auto"/>
              <w:jc w:val="center"/>
              <w:rPr>
                <w:rFonts w:ascii="仿宋" w:hAnsi="仿宋" w:eastAsia="仿宋"/>
                <w:spacing w:val="0"/>
                <w:szCs w:val="24"/>
              </w:rPr>
            </w:pPr>
            <w:r>
              <w:rPr>
                <w:rFonts w:hint="eastAsia" w:ascii="仿宋" w:hAnsi="仿宋" w:eastAsia="仿宋"/>
                <w:spacing w:val="0"/>
                <w:szCs w:val="24"/>
              </w:rPr>
              <w:t>单位</w:t>
            </w:r>
          </w:p>
        </w:tc>
        <w:tc>
          <w:tcPr>
            <w:tcW w:w="1701" w:type="dxa"/>
            <w:tcBorders>
              <w:top w:val="single" w:color="auto" w:sz="12" w:space="0"/>
              <w:right w:val="single" w:color="auto" w:sz="12" w:space="0"/>
            </w:tcBorders>
            <w:vAlign w:val="center"/>
          </w:tcPr>
          <w:p w14:paraId="022A5BDB">
            <w:pPr>
              <w:pStyle w:val="2"/>
              <w:spacing w:line="276" w:lineRule="auto"/>
              <w:jc w:val="center"/>
              <w:rPr>
                <w:rFonts w:ascii="仿宋" w:hAnsi="仿宋" w:eastAsia="仿宋"/>
                <w:spacing w:val="0"/>
                <w:szCs w:val="24"/>
              </w:rPr>
            </w:pPr>
            <w:r>
              <w:rPr>
                <w:rFonts w:hint="eastAsia" w:ascii="仿宋" w:hAnsi="仿宋" w:eastAsia="仿宋"/>
                <w:spacing w:val="0"/>
                <w:szCs w:val="24"/>
              </w:rPr>
              <w:t>评分</w:t>
            </w:r>
          </w:p>
        </w:tc>
      </w:tr>
      <w:tr w14:paraId="7E3BDA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171CAD99">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李宝兰</w:t>
            </w:r>
          </w:p>
        </w:tc>
        <w:tc>
          <w:tcPr>
            <w:tcW w:w="1742" w:type="dxa"/>
            <w:gridSpan w:val="3"/>
            <w:vAlign w:val="center"/>
          </w:tcPr>
          <w:p w14:paraId="423C7BDB">
            <w:pPr>
              <w:pStyle w:val="2"/>
              <w:spacing w:line="276" w:lineRule="auto"/>
              <w:jc w:val="center"/>
              <w:rPr>
                <w:rFonts w:hint="default"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vAlign w:val="center"/>
          </w:tcPr>
          <w:p w14:paraId="25686005">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附属北京胸科医院(第十临床医学院)</w:t>
            </w:r>
          </w:p>
        </w:tc>
        <w:tc>
          <w:tcPr>
            <w:tcW w:w="1701" w:type="dxa"/>
            <w:tcBorders>
              <w:right w:val="single" w:color="auto" w:sz="12" w:space="0"/>
            </w:tcBorders>
            <w:vAlign w:val="center"/>
          </w:tcPr>
          <w:p w14:paraId="30386307">
            <w:pPr>
              <w:pStyle w:val="2"/>
              <w:spacing w:line="276" w:lineRule="auto"/>
              <w:jc w:val="center"/>
              <w:rPr>
                <w:rFonts w:ascii="仿宋" w:hAnsi="仿宋" w:eastAsia="仿宋"/>
                <w:spacing w:val="0"/>
                <w:szCs w:val="24"/>
              </w:rPr>
            </w:pPr>
          </w:p>
        </w:tc>
      </w:tr>
      <w:tr w14:paraId="29490B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59442ECC">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张树才</w:t>
            </w:r>
          </w:p>
        </w:tc>
        <w:tc>
          <w:tcPr>
            <w:tcW w:w="1742" w:type="dxa"/>
            <w:gridSpan w:val="3"/>
            <w:vAlign w:val="center"/>
          </w:tcPr>
          <w:p w14:paraId="27C43EB9">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vAlign w:val="center"/>
          </w:tcPr>
          <w:p w14:paraId="2EA7074A">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附属北京胸科医院(第十临床医学院)</w:t>
            </w:r>
          </w:p>
        </w:tc>
        <w:tc>
          <w:tcPr>
            <w:tcW w:w="1701" w:type="dxa"/>
            <w:tcBorders>
              <w:right w:val="single" w:color="auto" w:sz="12" w:space="0"/>
            </w:tcBorders>
            <w:vAlign w:val="center"/>
          </w:tcPr>
          <w:p w14:paraId="58CF71AE">
            <w:pPr>
              <w:pStyle w:val="2"/>
              <w:spacing w:line="276" w:lineRule="auto"/>
              <w:jc w:val="center"/>
              <w:rPr>
                <w:rFonts w:ascii="仿宋" w:hAnsi="仿宋" w:eastAsia="仿宋"/>
                <w:spacing w:val="0"/>
                <w:szCs w:val="24"/>
              </w:rPr>
            </w:pPr>
          </w:p>
        </w:tc>
      </w:tr>
      <w:tr w14:paraId="0F69AC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723FD8C7">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张毅</w:t>
            </w:r>
          </w:p>
        </w:tc>
        <w:tc>
          <w:tcPr>
            <w:tcW w:w="1742" w:type="dxa"/>
            <w:gridSpan w:val="3"/>
            <w:vAlign w:val="center"/>
          </w:tcPr>
          <w:p w14:paraId="166C330C">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vAlign w:val="center"/>
          </w:tcPr>
          <w:p w14:paraId="4FEF0470">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宣武医院(第一临床医学院)</w:t>
            </w:r>
          </w:p>
        </w:tc>
        <w:tc>
          <w:tcPr>
            <w:tcW w:w="1701" w:type="dxa"/>
            <w:tcBorders>
              <w:right w:val="single" w:color="auto" w:sz="12" w:space="0"/>
            </w:tcBorders>
            <w:vAlign w:val="center"/>
          </w:tcPr>
          <w:p w14:paraId="1F8A158E">
            <w:pPr>
              <w:pStyle w:val="2"/>
              <w:spacing w:line="276" w:lineRule="auto"/>
              <w:jc w:val="center"/>
              <w:rPr>
                <w:rFonts w:ascii="仿宋" w:hAnsi="仿宋" w:eastAsia="仿宋"/>
                <w:spacing w:val="0"/>
                <w:szCs w:val="24"/>
              </w:rPr>
            </w:pPr>
          </w:p>
        </w:tc>
      </w:tr>
      <w:tr w14:paraId="7AB229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6407874A">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刘志东</w:t>
            </w:r>
          </w:p>
        </w:tc>
        <w:tc>
          <w:tcPr>
            <w:tcW w:w="1742" w:type="dxa"/>
            <w:gridSpan w:val="3"/>
            <w:vAlign w:val="center"/>
          </w:tcPr>
          <w:p w14:paraId="0FDE119B">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vAlign w:val="center"/>
          </w:tcPr>
          <w:p w14:paraId="5556141D">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附属北京胸科医院(第十临床医学院)</w:t>
            </w:r>
          </w:p>
        </w:tc>
        <w:tc>
          <w:tcPr>
            <w:tcW w:w="1701" w:type="dxa"/>
            <w:tcBorders>
              <w:right w:val="single" w:color="auto" w:sz="12" w:space="0"/>
            </w:tcBorders>
            <w:vAlign w:val="center"/>
          </w:tcPr>
          <w:p w14:paraId="624E8E33">
            <w:pPr>
              <w:pStyle w:val="2"/>
              <w:spacing w:line="276" w:lineRule="auto"/>
              <w:jc w:val="center"/>
              <w:rPr>
                <w:rFonts w:ascii="仿宋" w:hAnsi="仿宋" w:eastAsia="仿宋"/>
                <w:spacing w:val="0"/>
                <w:szCs w:val="24"/>
              </w:rPr>
            </w:pPr>
          </w:p>
        </w:tc>
      </w:tr>
      <w:tr w14:paraId="4F5384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645D3B8E">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陈效友</w:t>
            </w:r>
          </w:p>
        </w:tc>
        <w:tc>
          <w:tcPr>
            <w:tcW w:w="1742" w:type="dxa"/>
            <w:gridSpan w:val="3"/>
            <w:vAlign w:val="center"/>
          </w:tcPr>
          <w:p w14:paraId="70AF8D6E">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vAlign w:val="center"/>
          </w:tcPr>
          <w:p w14:paraId="66A0818E">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附属北京胸科医院(第十临床医学院)</w:t>
            </w:r>
          </w:p>
        </w:tc>
        <w:tc>
          <w:tcPr>
            <w:tcW w:w="1701" w:type="dxa"/>
            <w:tcBorders>
              <w:right w:val="single" w:color="auto" w:sz="12" w:space="0"/>
            </w:tcBorders>
            <w:vAlign w:val="center"/>
          </w:tcPr>
          <w:p w14:paraId="358DE470">
            <w:pPr>
              <w:pStyle w:val="2"/>
              <w:spacing w:line="276" w:lineRule="auto"/>
              <w:jc w:val="center"/>
              <w:rPr>
                <w:rFonts w:ascii="仿宋" w:hAnsi="仿宋" w:eastAsia="仿宋"/>
                <w:spacing w:val="0"/>
                <w:szCs w:val="24"/>
              </w:rPr>
            </w:pPr>
          </w:p>
        </w:tc>
      </w:tr>
      <w:tr w14:paraId="6C9D98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bottom w:val="single" w:color="auto" w:sz="12" w:space="0"/>
            </w:tcBorders>
            <w:vAlign w:val="center"/>
          </w:tcPr>
          <w:p w14:paraId="1FEBE77B">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初乃惠</w:t>
            </w:r>
          </w:p>
        </w:tc>
        <w:tc>
          <w:tcPr>
            <w:tcW w:w="1742" w:type="dxa"/>
            <w:gridSpan w:val="3"/>
            <w:tcBorders>
              <w:bottom w:val="single" w:color="auto" w:sz="12" w:space="0"/>
            </w:tcBorders>
            <w:vAlign w:val="center"/>
          </w:tcPr>
          <w:p w14:paraId="381C2C08">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主任医师</w:t>
            </w:r>
          </w:p>
        </w:tc>
        <w:tc>
          <w:tcPr>
            <w:tcW w:w="3393" w:type="dxa"/>
            <w:gridSpan w:val="2"/>
            <w:tcBorders>
              <w:bottom w:val="single" w:color="auto" w:sz="12" w:space="0"/>
            </w:tcBorders>
            <w:vAlign w:val="center"/>
          </w:tcPr>
          <w:p w14:paraId="2BD1FA49">
            <w:pPr>
              <w:pStyle w:val="2"/>
              <w:spacing w:line="276" w:lineRule="auto"/>
              <w:jc w:val="center"/>
              <w:rPr>
                <w:rFonts w:hint="eastAsia" w:ascii="仿宋" w:hAnsi="仿宋" w:eastAsia="仿宋"/>
                <w:spacing w:val="0"/>
                <w:szCs w:val="24"/>
                <w:lang w:val="en-US" w:eastAsia="zh-CN"/>
              </w:rPr>
            </w:pPr>
            <w:r>
              <w:rPr>
                <w:rFonts w:hint="eastAsia" w:ascii="仿宋" w:hAnsi="仿宋" w:eastAsia="仿宋"/>
                <w:spacing w:val="0"/>
                <w:szCs w:val="24"/>
                <w:lang w:val="en-US" w:eastAsia="zh-CN"/>
              </w:rPr>
              <w:t>附属北京胸科医院(第十临床医学院)</w:t>
            </w:r>
          </w:p>
        </w:tc>
        <w:tc>
          <w:tcPr>
            <w:tcW w:w="1701" w:type="dxa"/>
            <w:tcBorders>
              <w:bottom w:val="single" w:color="auto" w:sz="12" w:space="0"/>
              <w:right w:val="single" w:color="auto" w:sz="12" w:space="0"/>
            </w:tcBorders>
            <w:vAlign w:val="center"/>
          </w:tcPr>
          <w:p w14:paraId="317B9205">
            <w:pPr>
              <w:pStyle w:val="2"/>
              <w:spacing w:line="276" w:lineRule="auto"/>
              <w:jc w:val="center"/>
              <w:rPr>
                <w:rFonts w:ascii="仿宋" w:hAnsi="仿宋" w:eastAsia="仿宋"/>
                <w:spacing w:val="0"/>
                <w:szCs w:val="24"/>
              </w:rPr>
            </w:pPr>
          </w:p>
        </w:tc>
      </w:tr>
      <w:tr w14:paraId="08F6C0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top w:val="single" w:color="auto" w:sz="12" w:space="0"/>
              <w:left w:val="single" w:color="auto" w:sz="12" w:space="0"/>
              <w:bottom w:val="single" w:color="auto" w:sz="4" w:space="0"/>
            </w:tcBorders>
            <w:vAlign w:val="center"/>
          </w:tcPr>
          <w:p w14:paraId="75012832">
            <w:pPr>
              <w:pStyle w:val="2"/>
              <w:spacing w:line="240" w:lineRule="auto"/>
              <w:jc w:val="center"/>
              <w:rPr>
                <w:rFonts w:ascii="仿宋" w:hAnsi="仿宋" w:eastAsia="仿宋"/>
                <w:spacing w:val="0"/>
                <w:szCs w:val="24"/>
              </w:rPr>
            </w:pPr>
            <w:r>
              <w:rPr>
                <w:rFonts w:hint="eastAsia" w:ascii="仿宋" w:hAnsi="仿宋" w:eastAsia="仿宋"/>
                <w:spacing w:val="0"/>
                <w:szCs w:val="24"/>
              </w:rPr>
              <w:t>平均分</w:t>
            </w:r>
          </w:p>
        </w:tc>
        <w:tc>
          <w:tcPr>
            <w:tcW w:w="6836" w:type="dxa"/>
            <w:gridSpan w:val="6"/>
            <w:tcBorders>
              <w:top w:val="single" w:color="auto" w:sz="12" w:space="0"/>
              <w:bottom w:val="single" w:color="auto" w:sz="4" w:space="0"/>
              <w:right w:val="single" w:color="auto" w:sz="12" w:space="0"/>
            </w:tcBorders>
            <w:vAlign w:val="center"/>
          </w:tcPr>
          <w:p w14:paraId="486FED7D">
            <w:pPr>
              <w:pStyle w:val="2"/>
              <w:spacing w:line="240" w:lineRule="auto"/>
              <w:jc w:val="center"/>
              <w:rPr>
                <w:rFonts w:ascii="仿宋" w:hAnsi="仿宋" w:eastAsia="仿宋"/>
                <w:spacing w:val="0"/>
                <w:szCs w:val="24"/>
              </w:rPr>
            </w:pPr>
          </w:p>
        </w:tc>
      </w:tr>
      <w:tr w14:paraId="2ACA3F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409" w:hRule="atLeast"/>
          <w:jc w:val="center"/>
        </w:trPr>
        <w:tc>
          <w:tcPr>
            <w:tcW w:w="1667" w:type="dxa"/>
            <w:tcBorders>
              <w:top w:val="single" w:color="auto" w:sz="4" w:space="0"/>
              <w:left w:val="single" w:color="auto" w:sz="12" w:space="0"/>
            </w:tcBorders>
            <w:vAlign w:val="center"/>
          </w:tcPr>
          <w:p w14:paraId="7D507ED8">
            <w:pPr>
              <w:jc w:val="center"/>
              <w:rPr>
                <w:rFonts w:ascii="仿宋" w:hAnsi="仿宋" w:eastAsia="仿宋"/>
                <w:sz w:val="24"/>
                <w:szCs w:val="24"/>
              </w:rPr>
            </w:pPr>
            <w:r>
              <w:rPr>
                <w:rFonts w:hint="eastAsia" w:ascii="仿宋" w:hAnsi="仿宋" w:eastAsia="仿宋"/>
                <w:sz w:val="24"/>
                <w:szCs w:val="24"/>
              </w:rPr>
              <w:t>考核小组</w:t>
            </w:r>
          </w:p>
          <w:p w14:paraId="141F3203">
            <w:pPr>
              <w:jc w:val="center"/>
              <w:rPr>
                <w:rFonts w:ascii="仿宋" w:hAnsi="仿宋" w:eastAsia="仿宋"/>
                <w:sz w:val="24"/>
                <w:szCs w:val="24"/>
              </w:rPr>
            </w:pPr>
            <w:r>
              <w:rPr>
                <w:rFonts w:hint="eastAsia" w:ascii="仿宋" w:hAnsi="仿宋" w:eastAsia="仿宋"/>
                <w:sz w:val="24"/>
                <w:szCs w:val="24"/>
              </w:rPr>
              <w:t>决议</w:t>
            </w:r>
          </w:p>
        </w:tc>
        <w:tc>
          <w:tcPr>
            <w:tcW w:w="6836" w:type="dxa"/>
            <w:gridSpan w:val="6"/>
            <w:tcBorders>
              <w:top w:val="single" w:color="auto" w:sz="4" w:space="0"/>
              <w:right w:val="single" w:color="auto" w:sz="12" w:space="0"/>
            </w:tcBorders>
            <w:vAlign w:val="center"/>
          </w:tcPr>
          <w:p w14:paraId="0BCE5537">
            <w:pPr>
              <w:widowControl/>
              <w:spacing w:line="360" w:lineRule="auto"/>
              <w:jc w:val="center"/>
              <w:rPr>
                <w:rFonts w:ascii="仿宋" w:hAnsi="仿宋" w:eastAsia="仿宋"/>
                <w:sz w:val="24"/>
                <w:szCs w:val="24"/>
              </w:rPr>
            </w:pPr>
          </w:p>
          <w:p w14:paraId="05A7D455">
            <w:pPr>
              <w:widowControl/>
              <w:spacing w:line="360" w:lineRule="auto"/>
              <w:jc w:val="center"/>
              <w:rPr>
                <w:rFonts w:ascii="仿宋" w:hAnsi="仿宋" w:eastAsia="仿宋"/>
                <w:sz w:val="24"/>
                <w:szCs w:val="24"/>
              </w:rPr>
            </w:pPr>
          </w:p>
          <w:p w14:paraId="128980F2">
            <w:pPr>
              <w:widowControl/>
              <w:spacing w:line="360" w:lineRule="auto"/>
              <w:jc w:val="center"/>
              <w:rPr>
                <w:rFonts w:ascii="仿宋" w:hAnsi="仿宋" w:eastAsia="仿宋"/>
                <w:sz w:val="24"/>
                <w:szCs w:val="24"/>
              </w:rPr>
            </w:pPr>
          </w:p>
          <w:p w14:paraId="40248301">
            <w:pPr>
              <w:widowControl/>
              <w:spacing w:line="360" w:lineRule="auto"/>
              <w:jc w:val="center"/>
              <w:rPr>
                <w:rFonts w:ascii="仿宋" w:hAnsi="仿宋" w:eastAsia="仿宋"/>
                <w:sz w:val="24"/>
                <w:szCs w:val="24"/>
              </w:rPr>
            </w:pPr>
          </w:p>
          <w:p w14:paraId="53C294F4">
            <w:pPr>
              <w:widowControl/>
              <w:spacing w:line="360" w:lineRule="auto"/>
              <w:jc w:val="center"/>
              <w:rPr>
                <w:rFonts w:ascii="仿宋" w:hAnsi="仿宋" w:eastAsia="仿宋"/>
                <w:sz w:val="24"/>
                <w:szCs w:val="24"/>
              </w:rPr>
            </w:pPr>
            <w:r>
              <w:rPr>
                <w:rFonts w:hint="eastAsia" w:ascii="仿宋" w:hAnsi="仿宋" w:eastAsia="仿宋"/>
                <w:sz w:val="24"/>
                <w:szCs w:val="24"/>
              </w:rPr>
              <w:t>考核小组组长签字：</w:t>
            </w:r>
          </w:p>
          <w:p w14:paraId="6AD93B71">
            <w:pPr>
              <w:widowControl/>
              <w:spacing w:line="360" w:lineRule="auto"/>
              <w:jc w:val="center"/>
              <w:rPr>
                <w:rFonts w:ascii="仿宋" w:hAnsi="仿宋" w:eastAsia="仿宋"/>
                <w:sz w:val="24"/>
                <w:szCs w:val="24"/>
              </w:rPr>
            </w:pPr>
            <w:r>
              <w:rPr>
                <w:rFonts w:hint="eastAsia" w:ascii="仿宋" w:hAnsi="仿宋" w:eastAsia="仿宋"/>
                <w:sz w:val="24"/>
                <w:szCs w:val="24"/>
              </w:rPr>
              <w:t>日期</w:t>
            </w:r>
            <w:r>
              <w:rPr>
                <w:rFonts w:ascii="仿宋" w:hAnsi="仿宋" w:eastAsia="仿宋"/>
                <w:sz w:val="24"/>
                <w:szCs w:val="24"/>
              </w:rPr>
              <w:t>：</w:t>
            </w:r>
          </w:p>
        </w:tc>
      </w:tr>
      <w:tr w14:paraId="12EAA9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266" w:hRule="atLeast"/>
          <w:jc w:val="center"/>
        </w:trPr>
        <w:tc>
          <w:tcPr>
            <w:tcW w:w="1667" w:type="dxa"/>
            <w:tcBorders>
              <w:left w:val="single" w:color="auto" w:sz="12" w:space="0"/>
              <w:bottom w:val="single" w:color="auto" w:sz="12" w:space="0"/>
            </w:tcBorders>
            <w:vAlign w:val="center"/>
          </w:tcPr>
          <w:p w14:paraId="2C05699C">
            <w:pPr>
              <w:jc w:val="center"/>
              <w:rPr>
                <w:rFonts w:ascii="仿宋" w:hAnsi="仿宋" w:eastAsia="仿宋"/>
                <w:sz w:val="24"/>
                <w:szCs w:val="24"/>
              </w:rPr>
            </w:pPr>
            <w:r>
              <w:rPr>
                <w:rFonts w:hint="eastAsia" w:ascii="仿宋" w:hAnsi="仿宋" w:eastAsia="仿宋"/>
                <w:sz w:val="24"/>
                <w:szCs w:val="24"/>
              </w:rPr>
              <w:t>所在学院</w:t>
            </w:r>
          </w:p>
          <w:p w14:paraId="66B14EF3">
            <w:pPr>
              <w:jc w:val="center"/>
              <w:rPr>
                <w:rFonts w:ascii="仿宋" w:hAnsi="仿宋" w:eastAsia="仿宋"/>
                <w:sz w:val="24"/>
                <w:szCs w:val="24"/>
              </w:rPr>
            </w:pPr>
            <w:r>
              <w:rPr>
                <w:rFonts w:hint="eastAsia" w:ascii="仿宋" w:hAnsi="仿宋" w:eastAsia="仿宋"/>
                <w:sz w:val="24"/>
                <w:szCs w:val="24"/>
              </w:rPr>
              <w:t>审核意见</w:t>
            </w:r>
          </w:p>
        </w:tc>
        <w:tc>
          <w:tcPr>
            <w:tcW w:w="6836" w:type="dxa"/>
            <w:gridSpan w:val="6"/>
            <w:tcBorders>
              <w:bottom w:val="single" w:color="auto" w:sz="12" w:space="0"/>
              <w:right w:val="single" w:color="auto" w:sz="12" w:space="0"/>
            </w:tcBorders>
            <w:vAlign w:val="center"/>
          </w:tcPr>
          <w:p w14:paraId="098FD7E5">
            <w:pPr>
              <w:widowControl/>
              <w:spacing w:line="360" w:lineRule="auto"/>
              <w:rPr>
                <w:rFonts w:ascii="仿宋" w:hAnsi="仿宋" w:eastAsia="仿宋"/>
                <w:sz w:val="24"/>
                <w:szCs w:val="24"/>
              </w:rPr>
            </w:pPr>
          </w:p>
          <w:p w14:paraId="6E5A3458">
            <w:pPr>
              <w:widowControl/>
              <w:spacing w:line="360" w:lineRule="auto"/>
              <w:rPr>
                <w:rFonts w:ascii="仿宋" w:hAnsi="仿宋" w:eastAsia="仿宋"/>
                <w:sz w:val="24"/>
                <w:szCs w:val="24"/>
              </w:rPr>
            </w:pPr>
          </w:p>
          <w:p w14:paraId="1597111A">
            <w:pPr>
              <w:widowControl/>
              <w:spacing w:line="360" w:lineRule="auto"/>
              <w:jc w:val="center"/>
              <w:rPr>
                <w:rFonts w:ascii="仿宋" w:hAnsi="仿宋" w:eastAsia="仿宋"/>
                <w:sz w:val="24"/>
                <w:szCs w:val="24"/>
              </w:rPr>
            </w:pPr>
            <w:r>
              <w:rPr>
                <w:rFonts w:hint="eastAsia" w:ascii="仿宋" w:hAnsi="仿宋" w:eastAsia="仿宋"/>
                <w:sz w:val="24"/>
                <w:szCs w:val="24"/>
              </w:rPr>
              <w:t>负责人签字：             （盖章）</w:t>
            </w:r>
          </w:p>
          <w:p w14:paraId="5F77D31B">
            <w:pPr>
              <w:widowControl/>
              <w:spacing w:line="360" w:lineRule="auto"/>
              <w:ind w:right="315"/>
              <w:jc w:val="center"/>
              <w:rPr>
                <w:rFonts w:ascii="仿宋" w:hAnsi="仿宋" w:eastAsia="仿宋"/>
                <w:sz w:val="24"/>
                <w:szCs w:val="24"/>
              </w:rPr>
            </w:pPr>
            <w:r>
              <w:rPr>
                <w:rFonts w:hint="eastAsia" w:ascii="仿宋" w:hAnsi="仿宋" w:eastAsia="仿宋"/>
                <w:sz w:val="24"/>
                <w:szCs w:val="24"/>
              </w:rPr>
              <w:t>日期</w:t>
            </w:r>
            <w:r>
              <w:rPr>
                <w:rFonts w:ascii="仿宋" w:hAnsi="仿宋" w:eastAsia="仿宋"/>
                <w:sz w:val="24"/>
                <w:szCs w:val="24"/>
              </w:rPr>
              <w:t>：</w:t>
            </w:r>
          </w:p>
        </w:tc>
      </w:tr>
    </w:tbl>
    <w:p w14:paraId="4560E326">
      <w:pPr>
        <w:tabs>
          <w:tab w:val="left" w:pos="520"/>
        </w:tabs>
        <w:rPr>
          <w:rFonts w:ascii="宋体" w:hAnsi="宋体"/>
          <w:sz w:val="32"/>
          <w:szCs w:val="52"/>
        </w:rPr>
        <w:sectPr>
          <w:pgSz w:w="11906" w:h="16838"/>
          <w:pgMar w:top="1440" w:right="1800" w:bottom="1440" w:left="1800" w:header="851" w:footer="992" w:gutter="0"/>
          <w:pgNumType w:fmt="decimal"/>
          <w:cols w:space="425" w:num="1"/>
          <w:titlePg/>
          <w:docGrid w:type="lines" w:linePitch="312" w:charSpace="0"/>
        </w:sectPr>
      </w:pPr>
    </w:p>
    <w:p w14:paraId="23D2E951">
      <w:pPr>
        <w:pStyle w:val="16"/>
        <w:framePr w:wrap="auto" w:vAnchor="margin" w:hAnchor="text" w:yAlign="inline"/>
        <w:spacing w:line="276" w:lineRule="auto"/>
        <w:jc w:val="center"/>
        <w:rPr>
          <w:rFonts w:ascii="华文中宋" w:hAnsi="华文中宋" w:eastAsia="华文中宋" w:cs="华文中宋"/>
          <w:sz w:val="36"/>
          <w:szCs w:val="36"/>
          <w:lang w:val="zh-TW" w:eastAsia="zh-TW"/>
        </w:rPr>
      </w:pPr>
      <w:r>
        <w:rPr>
          <w:rFonts w:ascii="华文中宋" w:hAnsi="华文中宋" w:eastAsia="华文中宋" w:cs="华文中宋"/>
          <w:sz w:val="36"/>
          <w:szCs w:val="36"/>
          <w:lang w:val="zh-TW" w:eastAsia="zh-TW"/>
        </w:rPr>
        <w:t>首都医科大学研究生思想品德考核表</w:t>
      </w:r>
    </w:p>
    <w:tbl>
      <w:tblPr>
        <w:tblStyle w:val="6"/>
        <w:tblW w:w="8875"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CED7E7"/>
        <w:tblLayout w:type="fixed"/>
        <w:tblCellMar>
          <w:top w:w="0" w:type="dxa"/>
          <w:left w:w="10" w:type="dxa"/>
          <w:bottom w:w="0" w:type="dxa"/>
          <w:right w:w="10" w:type="dxa"/>
        </w:tblCellMar>
      </w:tblPr>
      <w:tblGrid>
        <w:gridCol w:w="1702"/>
        <w:gridCol w:w="1826"/>
        <w:gridCol w:w="1530"/>
        <w:gridCol w:w="2592"/>
        <w:gridCol w:w="1225"/>
      </w:tblGrid>
      <w:tr w14:paraId="7CA5167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CED7E7"/>
          <w:tblCellMar>
            <w:top w:w="0" w:type="dxa"/>
            <w:left w:w="10" w:type="dxa"/>
            <w:bottom w:w="0" w:type="dxa"/>
            <w:right w:w="10" w:type="dxa"/>
          </w:tblCellMar>
        </w:tblPrEx>
        <w:trPr>
          <w:trHeight w:val="458" w:hRule="atLeast"/>
          <w:jc w:val="center"/>
        </w:trPr>
        <w:tc>
          <w:tcPr>
            <w:tcW w:w="1702" w:type="dxa"/>
            <w:tcBorders>
              <w:top w:val="single" w:color="auto" w:sz="12" w:space="0"/>
              <w:left w:val="single" w:color="auto" w:sz="12" w:space="0"/>
              <w:bottom w:val="single" w:color="000000" w:sz="2" w:space="0"/>
              <w:right w:val="single" w:color="auto" w:sz="4" w:space="0"/>
            </w:tcBorders>
            <w:shd w:val="clear" w:color="auto" w:fill="auto"/>
            <w:tcMar>
              <w:top w:w="80" w:type="dxa"/>
              <w:left w:w="80" w:type="dxa"/>
              <w:bottom w:w="80" w:type="dxa"/>
              <w:right w:w="80" w:type="dxa"/>
            </w:tcMar>
            <w:vAlign w:val="center"/>
          </w:tcPr>
          <w:p w14:paraId="6D4D8005">
            <w:pPr>
              <w:pStyle w:val="16"/>
              <w:framePr w:wrap="auto" w:vAnchor="margin" w:hAnchor="text" w:yAlign="inline"/>
              <w:jc w:val="center"/>
              <w:rPr>
                <w:rFonts w:ascii="仿宋" w:hAnsi="仿宋" w:eastAsia="仿宋" w:cs="仿宋"/>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826" w:type="dxa"/>
            <w:tcBorders>
              <w:top w:val="single" w:color="auto" w:sz="12" w:space="0"/>
              <w:left w:val="single" w:color="auto" w:sz="4" w:space="0"/>
              <w:bottom w:val="single" w:color="000000" w:sz="2" w:space="0"/>
              <w:right w:val="single" w:color="auto" w:sz="4" w:space="0"/>
            </w:tcBorders>
            <w:shd w:val="clear" w:color="auto" w:fill="auto"/>
            <w:tcMar>
              <w:top w:w="80" w:type="dxa"/>
              <w:left w:w="80" w:type="dxa"/>
              <w:bottom w:w="80" w:type="dxa"/>
              <w:right w:w="80" w:type="dxa"/>
            </w:tcMar>
            <w:vAlign w:val="center"/>
          </w:tcPr>
          <w:p w14:paraId="5135377A">
            <w:pPr>
              <w:rPr>
                <w:rFonts w:ascii="仿宋" w:hAnsi="仿宋" w:eastAsia="仿宋" w:cs="仿宋"/>
              </w:rPr>
            </w:pPr>
            <w:r>
              <w:rPr>
                <w:rFonts w:hint="eastAsia" w:ascii="仿宋" w:hAnsi="仿宋" w:eastAsia="仿宋" w:cs="仿宋"/>
                <w:lang w:eastAsia="zh-CN"/>
              </w:rPr>
              <w:t>付亮</w:t>
            </w:r>
          </w:p>
        </w:tc>
        <w:tc>
          <w:tcPr>
            <w:tcW w:w="1530" w:type="dxa"/>
            <w:tcBorders>
              <w:top w:val="single" w:color="auto" w:sz="12" w:space="0"/>
              <w:left w:val="single" w:color="auto" w:sz="4" w:space="0"/>
              <w:bottom w:val="single" w:color="000000" w:sz="2" w:space="0"/>
              <w:right w:val="single" w:color="auto" w:sz="4" w:space="0"/>
            </w:tcBorders>
            <w:shd w:val="clear" w:color="auto" w:fill="auto"/>
            <w:tcMar>
              <w:top w:w="80" w:type="dxa"/>
              <w:left w:w="80" w:type="dxa"/>
              <w:bottom w:w="80" w:type="dxa"/>
              <w:right w:w="80" w:type="dxa"/>
            </w:tcMar>
            <w:vAlign w:val="center"/>
          </w:tcPr>
          <w:p w14:paraId="019E204F">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学号</w:t>
            </w:r>
          </w:p>
        </w:tc>
        <w:tc>
          <w:tcPr>
            <w:tcW w:w="3817" w:type="dxa"/>
            <w:gridSpan w:val="2"/>
            <w:tcBorders>
              <w:top w:val="single" w:color="auto" w:sz="12" w:space="0"/>
              <w:left w:val="single" w:color="auto" w:sz="4" w:space="0"/>
              <w:bottom w:val="single" w:color="000000" w:sz="2" w:space="0"/>
              <w:right w:val="single" w:color="auto" w:sz="12" w:space="0"/>
            </w:tcBorders>
            <w:shd w:val="clear" w:color="auto" w:fill="auto"/>
            <w:tcMar>
              <w:top w:w="80" w:type="dxa"/>
              <w:left w:w="80" w:type="dxa"/>
              <w:bottom w:w="80" w:type="dxa"/>
              <w:right w:w="80" w:type="dxa"/>
            </w:tcMar>
            <w:vAlign w:val="center"/>
          </w:tcPr>
          <w:p w14:paraId="2A4A3A23">
            <w:pPr>
              <w:rPr>
                <w:rFonts w:ascii="仿宋" w:hAnsi="仿宋" w:eastAsia="仿宋" w:cs="仿宋"/>
              </w:rPr>
            </w:pPr>
            <w:r>
              <w:rPr>
                <w:rFonts w:hint="default" w:ascii="Times New Roman" w:hAnsi="Times New Roman" w:eastAsia="宋体" w:cs="Times New Roman"/>
                <w:sz w:val="24"/>
                <w:szCs w:val="24"/>
              </w:rPr>
              <w:t>132017100062</w:t>
            </w:r>
          </w:p>
        </w:tc>
      </w:tr>
      <w:tr w14:paraId="7811E2C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581" w:hRule="atLeast"/>
          <w:jc w:val="center"/>
        </w:trPr>
        <w:tc>
          <w:tcPr>
            <w:tcW w:w="1702" w:type="dxa"/>
            <w:tcBorders>
              <w:top w:val="single" w:color="000000" w:sz="2" w:space="0"/>
              <w:left w:val="single" w:color="auto" w:sz="12" w:space="0"/>
              <w:bottom w:val="single" w:color="000000" w:sz="2" w:space="0"/>
              <w:right w:val="single" w:color="auto" w:sz="4" w:space="0"/>
            </w:tcBorders>
            <w:shd w:val="clear" w:color="auto" w:fill="auto"/>
            <w:tcMar>
              <w:top w:w="80" w:type="dxa"/>
              <w:left w:w="80" w:type="dxa"/>
              <w:bottom w:w="80" w:type="dxa"/>
              <w:right w:w="80" w:type="dxa"/>
            </w:tcMar>
            <w:vAlign w:val="center"/>
          </w:tcPr>
          <w:p w14:paraId="645C096B">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学科专业</w:t>
            </w:r>
          </w:p>
        </w:tc>
        <w:tc>
          <w:tcPr>
            <w:tcW w:w="1826" w:type="dxa"/>
            <w:tcBorders>
              <w:top w:val="single" w:color="000000" w:sz="2" w:space="0"/>
              <w:left w:val="single" w:color="auto" w:sz="4" w:space="0"/>
              <w:bottom w:val="single" w:color="000000" w:sz="2" w:space="0"/>
              <w:right w:val="single" w:color="auto" w:sz="4" w:space="0"/>
            </w:tcBorders>
            <w:shd w:val="clear" w:color="auto" w:fill="auto"/>
            <w:tcMar>
              <w:top w:w="80" w:type="dxa"/>
              <w:left w:w="80" w:type="dxa"/>
              <w:bottom w:w="80" w:type="dxa"/>
              <w:right w:w="80" w:type="dxa"/>
            </w:tcMar>
            <w:vAlign w:val="center"/>
          </w:tcPr>
          <w:p w14:paraId="39E22DDB">
            <w:pPr>
              <w:rPr>
                <w:rFonts w:ascii="仿宋" w:hAnsi="仿宋" w:eastAsia="仿宋" w:cs="仿宋"/>
              </w:rPr>
            </w:pPr>
            <w:r>
              <w:rPr>
                <w:rFonts w:hint="default" w:ascii="Times New Roman" w:hAnsi="Times New Roman" w:eastAsia="仿宋" w:cs="Times New Roman"/>
                <w:lang w:eastAsia="zh-CN"/>
              </w:rPr>
              <w:t>内科学（传染病）</w:t>
            </w:r>
          </w:p>
        </w:tc>
        <w:tc>
          <w:tcPr>
            <w:tcW w:w="1530" w:type="dxa"/>
            <w:tcBorders>
              <w:top w:val="single" w:color="000000" w:sz="2" w:space="0"/>
              <w:left w:val="single" w:color="auto" w:sz="4" w:space="0"/>
              <w:bottom w:val="single" w:color="000000" w:sz="2" w:space="0"/>
              <w:right w:val="single" w:color="auto" w:sz="4" w:space="0"/>
            </w:tcBorders>
            <w:shd w:val="clear" w:color="auto" w:fill="auto"/>
            <w:tcMar>
              <w:top w:w="80" w:type="dxa"/>
              <w:left w:w="80" w:type="dxa"/>
              <w:bottom w:w="80" w:type="dxa"/>
              <w:right w:w="80" w:type="dxa"/>
            </w:tcMar>
            <w:vAlign w:val="center"/>
          </w:tcPr>
          <w:p w14:paraId="3505F82F">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学位类型</w:t>
            </w:r>
          </w:p>
        </w:tc>
        <w:tc>
          <w:tcPr>
            <w:tcW w:w="3817" w:type="dxa"/>
            <w:gridSpan w:val="2"/>
            <w:tcBorders>
              <w:top w:val="single" w:color="000000" w:sz="2" w:space="0"/>
              <w:left w:val="single" w:color="auto" w:sz="4" w:space="0"/>
              <w:bottom w:val="single" w:color="000000" w:sz="2" w:space="0"/>
              <w:right w:val="single" w:color="auto" w:sz="12" w:space="0"/>
            </w:tcBorders>
            <w:shd w:val="clear" w:color="auto" w:fill="auto"/>
            <w:tcMar>
              <w:top w:w="80" w:type="dxa"/>
              <w:left w:w="80" w:type="dxa"/>
              <w:bottom w:w="80" w:type="dxa"/>
              <w:right w:w="80" w:type="dxa"/>
            </w:tcMar>
            <w:vAlign w:val="center"/>
          </w:tcPr>
          <w:p w14:paraId="410F03CF">
            <w:pPr>
              <w:pStyle w:val="16"/>
              <w:framePr w:wrap="auto" w:vAnchor="margin" w:hAnchor="text" w:yAlign="inline"/>
              <w:jc w:val="left"/>
              <w:rPr>
                <w:rFonts w:ascii="仿宋" w:hAnsi="仿宋" w:eastAsia="仿宋" w:cs="仿宋"/>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501B398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458" w:hRule="atLeast"/>
          <w:jc w:val="center"/>
        </w:trPr>
        <w:tc>
          <w:tcPr>
            <w:tcW w:w="1702" w:type="dxa"/>
            <w:tcBorders>
              <w:top w:val="single" w:color="000000" w:sz="2" w:space="0"/>
              <w:left w:val="single" w:color="auto" w:sz="12" w:space="0"/>
              <w:bottom w:val="single" w:color="000000" w:sz="12" w:space="0"/>
              <w:right w:val="single" w:color="auto" w:sz="4" w:space="0"/>
            </w:tcBorders>
            <w:shd w:val="clear" w:color="auto" w:fill="auto"/>
            <w:tcMar>
              <w:top w:w="80" w:type="dxa"/>
              <w:left w:w="80" w:type="dxa"/>
              <w:bottom w:w="80" w:type="dxa"/>
              <w:right w:w="80" w:type="dxa"/>
            </w:tcMar>
            <w:vAlign w:val="center"/>
          </w:tcPr>
          <w:p w14:paraId="6135F08A">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导师姓名</w:t>
            </w:r>
          </w:p>
        </w:tc>
        <w:tc>
          <w:tcPr>
            <w:tcW w:w="1826" w:type="dxa"/>
            <w:tcBorders>
              <w:top w:val="single" w:color="000000" w:sz="2"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6D59CEE6">
            <w:pPr>
              <w:rPr>
                <w:rFonts w:ascii="仿宋" w:hAnsi="仿宋" w:eastAsia="仿宋" w:cs="仿宋"/>
              </w:rPr>
            </w:pPr>
            <w:r>
              <w:rPr>
                <w:rFonts w:hint="eastAsia" w:ascii="仿宋" w:hAnsi="仿宋" w:eastAsia="仿宋" w:cs="仿宋"/>
                <w:lang w:eastAsia="zh-CN"/>
              </w:rPr>
              <w:t>唐神结</w:t>
            </w:r>
          </w:p>
        </w:tc>
        <w:tc>
          <w:tcPr>
            <w:tcW w:w="1530" w:type="dxa"/>
            <w:tcBorders>
              <w:top w:val="single" w:color="000000" w:sz="2"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2963358F">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培养单位</w:t>
            </w:r>
          </w:p>
        </w:tc>
        <w:tc>
          <w:tcPr>
            <w:tcW w:w="3817" w:type="dxa"/>
            <w:gridSpan w:val="2"/>
            <w:tcBorders>
              <w:top w:val="single" w:color="000000" w:sz="2" w:space="0"/>
              <w:left w:val="single" w:color="auto" w:sz="4" w:space="0"/>
              <w:bottom w:val="single" w:color="000000" w:sz="12" w:space="0"/>
              <w:right w:val="single" w:color="auto" w:sz="12" w:space="0"/>
            </w:tcBorders>
            <w:shd w:val="clear" w:color="auto" w:fill="auto"/>
            <w:tcMar>
              <w:top w:w="80" w:type="dxa"/>
              <w:left w:w="80" w:type="dxa"/>
              <w:bottom w:w="80" w:type="dxa"/>
              <w:right w:w="80" w:type="dxa"/>
            </w:tcMar>
            <w:vAlign w:val="center"/>
          </w:tcPr>
          <w:p w14:paraId="5E0A66EB">
            <w:pPr>
              <w:rPr>
                <w:rFonts w:ascii="仿宋" w:hAnsi="仿宋" w:eastAsia="仿宋" w:cs="仿宋"/>
              </w:rPr>
            </w:pPr>
            <w:r>
              <w:rPr>
                <w:rFonts w:hint="default" w:ascii="Times New Roman" w:hAnsi="Times New Roman" w:eastAsia="仿宋" w:cs="Times New Roman"/>
                <w:lang w:eastAsia="zh-CN"/>
              </w:rPr>
              <w:t>首都医科大学附属北京胸科医院（第十临床医学院）</w:t>
            </w:r>
          </w:p>
        </w:tc>
      </w:tr>
      <w:tr w14:paraId="184ECE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458" w:hRule="atLeast"/>
          <w:jc w:val="center"/>
        </w:trPr>
        <w:tc>
          <w:tcPr>
            <w:tcW w:w="1702" w:type="dxa"/>
            <w:tcBorders>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3F7A1EE5">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项目</w:t>
            </w:r>
          </w:p>
        </w:tc>
        <w:tc>
          <w:tcPr>
            <w:tcW w:w="5948" w:type="dxa"/>
            <w:gridSpan w:val="3"/>
            <w:tcBorders>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4B001BE5">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考核标准</w:t>
            </w:r>
          </w:p>
        </w:tc>
        <w:tc>
          <w:tcPr>
            <w:tcW w:w="1225" w:type="dxa"/>
            <w:tcBorders>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5E3AFED3">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得分</w:t>
            </w:r>
          </w:p>
        </w:tc>
      </w:tr>
      <w:tr w14:paraId="5613FD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078" w:hRule="atLeast"/>
          <w:jc w:val="center"/>
        </w:trPr>
        <w:tc>
          <w:tcPr>
            <w:tcW w:w="1702"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224D3E29">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政治态度</w:t>
            </w:r>
          </w:p>
          <w:p w14:paraId="08566ABD">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（满分</w:t>
            </w:r>
            <w:r>
              <w:rPr>
                <w:rFonts w:ascii="仿宋" w:hAnsi="仿宋" w:eastAsia="仿宋" w:cs="仿宋"/>
                <w:sz w:val="24"/>
                <w:szCs w:val="24"/>
              </w:rPr>
              <w:t>20</w:t>
            </w:r>
            <w:r>
              <w:rPr>
                <w:rFonts w:ascii="仿宋" w:hAnsi="仿宋" w:eastAsia="仿宋" w:cs="仿宋"/>
                <w:sz w:val="24"/>
                <w:szCs w:val="24"/>
                <w:lang w:val="zh-TW" w:eastAsia="zh-TW"/>
              </w:rPr>
              <w:t>）</w:t>
            </w:r>
          </w:p>
        </w:tc>
        <w:tc>
          <w:tcPr>
            <w:tcW w:w="594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76497ED8">
            <w:pPr>
              <w:pStyle w:val="16"/>
              <w:framePr w:wrap="auto" w:vAnchor="margin" w:hAnchor="text" w:yAlign="inline"/>
              <w:jc w:val="left"/>
              <w:rPr>
                <w:rFonts w:ascii="仿宋" w:hAnsi="仿宋" w:eastAsia="仿宋" w:cs="仿宋"/>
              </w:rPr>
            </w:pPr>
            <w:r>
              <w:rPr>
                <w:rFonts w:ascii="仿宋" w:hAnsi="仿宋" w:eastAsia="仿宋" w:cs="仿宋"/>
                <w:sz w:val="24"/>
                <w:szCs w:val="24"/>
                <w:lang w:val="zh-TW" w:eastAsia="zh-TW"/>
              </w:rPr>
              <w:t>坚持党的基本路线，热爱祖国，有志于献身祖国的医药卫生事业</w:t>
            </w:r>
          </w:p>
        </w:tc>
        <w:tc>
          <w:tcPr>
            <w:tcW w:w="1225"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7C94086B">
            <w:pPr>
              <w:rPr>
                <w:rFonts w:ascii="仿宋" w:hAnsi="仿宋" w:eastAsia="仿宋" w:cs="仿宋"/>
              </w:rPr>
            </w:pPr>
          </w:p>
        </w:tc>
      </w:tr>
      <w:tr w14:paraId="2750BFF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060" w:hRule="atLeast"/>
          <w:jc w:val="center"/>
        </w:trPr>
        <w:tc>
          <w:tcPr>
            <w:tcW w:w="1702"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57E022F5">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思想品德</w:t>
            </w:r>
          </w:p>
          <w:p w14:paraId="4CA9EA2B">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（满分</w:t>
            </w:r>
            <w:r>
              <w:rPr>
                <w:rFonts w:ascii="仿宋" w:hAnsi="仿宋" w:eastAsia="仿宋" w:cs="仿宋"/>
                <w:sz w:val="24"/>
                <w:szCs w:val="24"/>
              </w:rPr>
              <w:t>20</w:t>
            </w:r>
            <w:r>
              <w:rPr>
                <w:rFonts w:ascii="仿宋" w:hAnsi="仿宋" w:eastAsia="仿宋" w:cs="仿宋"/>
                <w:sz w:val="24"/>
                <w:szCs w:val="24"/>
                <w:lang w:val="zh-TW" w:eastAsia="zh-TW"/>
              </w:rPr>
              <w:t>）</w:t>
            </w:r>
          </w:p>
        </w:tc>
        <w:tc>
          <w:tcPr>
            <w:tcW w:w="594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2D89534E">
            <w:pPr>
              <w:pStyle w:val="16"/>
              <w:framePr w:wrap="auto" w:vAnchor="margin" w:hAnchor="text" w:yAlign="inline"/>
              <w:jc w:val="left"/>
              <w:rPr>
                <w:rFonts w:ascii="仿宋" w:hAnsi="仿宋" w:eastAsia="仿宋" w:cs="仿宋"/>
              </w:rPr>
            </w:pPr>
            <w:r>
              <w:rPr>
                <w:rFonts w:ascii="仿宋" w:hAnsi="仿宋" w:eastAsia="仿宋" w:cs="仿宋"/>
                <w:sz w:val="24"/>
                <w:szCs w:val="24"/>
                <w:lang w:val="zh-TW" w:eastAsia="zh-TW"/>
              </w:rPr>
              <w:t>实事求是，谦虚谨慎，文明礼貌，遵守社会公德</w:t>
            </w:r>
          </w:p>
        </w:tc>
        <w:tc>
          <w:tcPr>
            <w:tcW w:w="1225"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084DAF75">
            <w:pPr>
              <w:rPr>
                <w:rFonts w:ascii="仿宋" w:hAnsi="仿宋" w:eastAsia="仿宋" w:cs="仿宋"/>
              </w:rPr>
            </w:pPr>
          </w:p>
        </w:tc>
      </w:tr>
      <w:tr w14:paraId="0F14100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040" w:hRule="atLeast"/>
          <w:jc w:val="center"/>
        </w:trPr>
        <w:tc>
          <w:tcPr>
            <w:tcW w:w="1702"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5FE25EB8">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学术道德及</w:t>
            </w:r>
          </w:p>
          <w:p w14:paraId="0A58A4D2">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职业道德</w:t>
            </w:r>
          </w:p>
          <w:p w14:paraId="05B7B5F4">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（满分</w:t>
            </w:r>
            <w:r>
              <w:rPr>
                <w:rFonts w:ascii="仿宋" w:hAnsi="仿宋" w:eastAsia="仿宋" w:cs="仿宋"/>
                <w:sz w:val="24"/>
                <w:szCs w:val="24"/>
              </w:rPr>
              <w:t>30</w:t>
            </w:r>
            <w:r>
              <w:rPr>
                <w:rFonts w:ascii="仿宋" w:hAnsi="仿宋" w:eastAsia="仿宋" w:cs="仿宋"/>
                <w:sz w:val="24"/>
                <w:szCs w:val="24"/>
                <w:lang w:val="zh-TW" w:eastAsia="zh-TW"/>
              </w:rPr>
              <w:t>）</w:t>
            </w:r>
          </w:p>
        </w:tc>
        <w:tc>
          <w:tcPr>
            <w:tcW w:w="594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73CC04D0">
            <w:pPr>
              <w:pStyle w:val="16"/>
              <w:framePr w:wrap="auto" w:vAnchor="margin" w:hAnchor="text" w:yAlign="inline"/>
              <w:jc w:val="left"/>
              <w:rPr>
                <w:rFonts w:ascii="仿宋" w:hAnsi="仿宋" w:eastAsia="仿宋" w:cs="仿宋"/>
              </w:rPr>
            </w:pPr>
            <w:r>
              <w:rPr>
                <w:rFonts w:ascii="仿宋" w:hAnsi="仿宋" w:eastAsia="仿宋" w:cs="仿宋"/>
                <w:sz w:val="24"/>
                <w:szCs w:val="24"/>
                <w:lang w:val="zh-TW" w:eastAsia="zh-TW"/>
              </w:rPr>
              <w:t>学习态度端正，学风严谨，遵守学术道德，在科研工作中坚持实事求是，恪守诚信。恪守医德，刻苦钻研，事业心强，具有开拓创新精神，工作认真负责</w:t>
            </w:r>
          </w:p>
        </w:tc>
        <w:tc>
          <w:tcPr>
            <w:tcW w:w="1225"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74E1A216">
            <w:pPr>
              <w:rPr>
                <w:rFonts w:ascii="仿宋" w:hAnsi="仿宋" w:eastAsia="仿宋" w:cs="仿宋"/>
              </w:rPr>
            </w:pPr>
          </w:p>
        </w:tc>
      </w:tr>
      <w:tr w14:paraId="176F845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048" w:hRule="atLeast"/>
          <w:jc w:val="center"/>
        </w:trPr>
        <w:tc>
          <w:tcPr>
            <w:tcW w:w="1702"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0FB74432">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遵守法纪</w:t>
            </w:r>
          </w:p>
          <w:p w14:paraId="04BFE45F">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（满分</w:t>
            </w:r>
            <w:r>
              <w:rPr>
                <w:rFonts w:ascii="仿宋" w:hAnsi="仿宋" w:eastAsia="仿宋" w:cs="仿宋"/>
                <w:sz w:val="24"/>
                <w:szCs w:val="24"/>
              </w:rPr>
              <w:t>20</w:t>
            </w:r>
            <w:r>
              <w:rPr>
                <w:rFonts w:ascii="仿宋" w:hAnsi="仿宋" w:eastAsia="仿宋" w:cs="仿宋"/>
                <w:sz w:val="24"/>
                <w:szCs w:val="24"/>
                <w:lang w:val="zh-TW" w:eastAsia="zh-TW"/>
              </w:rPr>
              <w:t>）</w:t>
            </w:r>
          </w:p>
        </w:tc>
        <w:tc>
          <w:tcPr>
            <w:tcW w:w="594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50A8B873">
            <w:pPr>
              <w:pStyle w:val="16"/>
              <w:framePr w:wrap="auto" w:vAnchor="margin" w:hAnchor="text" w:yAlign="inline"/>
              <w:jc w:val="left"/>
              <w:rPr>
                <w:rFonts w:ascii="仿宋" w:hAnsi="仿宋" w:eastAsia="仿宋" w:cs="仿宋"/>
              </w:rPr>
            </w:pPr>
            <w:r>
              <w:rPr>
                <w:rFonts w:ascii="仿宋" w:hAnsi="仿宋" w:eastAsia="仿宋" w:cs="仿宋"/>
                <w:sz w:val="24"/>
                <w:szCs w:val="24"/>
                <w:lang w:val="zh-TW" w:eastAsia="zh-TW"/>
              </w:rPr>
              <w:t>遵守党纪国法和各项规章制度</w:t>
            </w:r>
          </w:p>
        </w:tc>
        <w:tc>
          <w:tcPr>
            <w:tcW w:w="1225"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73B8E67F">
            <w:pPr>
              <w:rPr>
                <w:rFonts w:ascii="仿宋" w:hAnsi="仿宋" w:eastAsia="仿宋" w:cs="仿宋"/>
              </w:rPr>
            </w:pPr>
          </w:p>
        </w:tc>
      </w:tr>
      <w:tr w14:paraId="6EF6255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183" w:hRule="atLeast"/>
          <w:jc w:val="center"/>
        </w:trPr>
        <w:tc>
          <w:tcPr>
            <w:tcW w:w="1702" w:type="dxa"/>
            <w:tcBorders>
              <w:top w:val="single" w:color="000000" w:sz="4" w:space="0"/>
              <w:left w:val="single" w:color="auto" w:sz="12" w:space="0"/>
              <w:bottom w:val="single" w:color="auto" w:sz="4" w:space="0"/>
              <w:right w:val="single" w:color="auto" w:sz="4" w:space="0"/>
            </w:tcBorders>
            <w:shd w:val="clear" w:color="auto" w:fill="auto"/>
            <w:tcMar>
              <w:top w:w="80" w:type="dxa"/>
              <w:left w:w="80" w:type="dxa"/>
              <w:bottom w:w="80" w:type="dxa"/>
              <w:right w:w="80" w:type="dxa"/>
            </w:tcMar>
            <w:vAlign w:val="center"/>
          </w:tcPr>
          <w:p w14:paraId="2C357864">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团结协作</w:t>
            </w:r>
          </w:p>
          <w:p w14:paraId="1A586C4C">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（满分</w:t>
            </w:r>
            <w:r>
              <w:rPr>
                <w:rFonts w:ascii="仿宋" w:hAnsi="仿宋" w:eastAsia="仿宋" w:cs="仿宋"/>
                <w:sz w:val="24"/>
                <w:szCs w:val="24"/>
              </w:rPr>
              <w:t>10</w:t>
            </w:r>
            <w:r>
              <w:rPr>
                <w:rFonts w:ascii="仿宋" w:hAnsi="仿宋" w:eastAsia="仿宋" w:cs="仿宋"/>
                <w:sz w:val="24"/>
                <w:szCs w:val="24"/>
                <w:lang w:val="zh-TW" w:eastAsia="zh-TW"/>
              </w:rPr>
              <w:t>）</w:t>
            </w:r>
          </w:p>
        </w:tc>
        <w:tc>
          <w:tcPr>
            <w:tcW w:w="5948" w:type="dxa"/>
            <w:gridSpan w:val="3"/>
            <w:tcBorders>
              <w:top w:val="single" w:color="000000" w:sz="4" w:space="0"/>
              <w:left w:val="single" w:color="auto" w:sz="4" w:space="0"/>
              <w:bottom w:val="single" w:color="auto" w:sz="4" w:space="0"/>
              <w:right w:val="single" w:color="auto" w:sz="4" w:space="0"/>
            </w:tcBorders>
            <w:shd w:val="clear" w:color="auto" w:fill="auto"/>
            <w:tcMar>
              <w:top w:w="80" w:type="dxa"/>
              <w:left w:w="80" w:type="dxa"/>
              <w:bottom w:w="80" w:type="dxa"/>
              <w:right w:w="80" w:type="dxa"/>
            </w:tcMar>
            <w:vAlign w:val="center"/>
          </w:tcPr>
          <w:p w14:paraId="4D3F5C87">
            <w:pPr>
              <w:pStyle w:val="16"/>
              <w:framePr w:wrap="auto" w:vAnchor="margin" w:hAnchor="text" w:yAlign="inline"/>
              <w:tabs>
                <w:tab w:val="left" w:pos="3190"/>
              </w:tabs>
              <w:jc w:val="left"/>
              <w:rPr>
                <w:rFonts w:ascii="仿宋" w:hAnsi="仿宋" w:eastAsia="仿宋" w:cs="仿宋"/>
              </w:rPr>
            </w:pPr>
            <w:r>
              <w:rPr>
                <w:rFonts w:ascii="仿宋" w:hAnsi="仿宋" w:eastAsia="仿宋" w:cs="仿宋"/>
                <w:sz w:val="24"/>
                <w:szCs w:val="24"/>
                <w:lang w:val="zh-TW" w:eastAsia="zh-TW"/>
              </w:rPr>
              <w:t>具有团结协作精神，能正确处理各方面关系</w:t>
            </w:r>
          </w:p>
        </w:tc>
        <w:tc>
          <w:tcPr>
            <w:tcW w:w="1225" w:type="dxa"/>
            <w:tcBorders>
              <w:top w:val="single" w:color="000000" w:sz="4" w:space="0"/>
              <w:left w:val="single" w:color="auto" w:sz="4" w:space="0"/>
              <w:bottom w:val="single" w:color="auto" w:sz="4" w:space="0"/>
              <w:right w:val="single" w:color="auto" w:sz="12" w:space="0"/>
            </w:tcBorders>
            <w:shd w:val="clear" w:color="auto" w:fill="auto"/>
            <w:tcMar>
              <w:top w:w="80" w:type="dxa"/>
              <w:left w:w="80" w:type="dxa"/>
              <w:bottom w:w="80" w:type="dxa"/>
              <w:right w:w="80" w:type="dxa"/>
            </w:tcMar>
            <w:vAlign w:val="center"/>
          </w:tcPr>
          <w:p w14:paraId="12CD745F">
            <w:pPr>
              <w:rPr>
                <w:rFonts w:ascii="仿宋" w:hAnsi="仿宋" w:eastAsia="仿宋" w:cs="仿宋"/>
              </w:rPr>
            </w:pPr>
          </w:p>
        </w:tc>
      </w:tr>
      <w:tr w14:paraId="134EB66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661" w:hRule="atLeast"/>
          <w:jc w:val="center"/>
        </w:trPr>
        <w:tc>
          <w:tcPr>
            <w:tcW w:w="7650" w:type="dxa"/>
            <w:gridSpan w:val="4"/>
            <w:tcBorders>
              <w:top w:val="single" w:color="auto" w:sz="4" w:space="0"/>
              <w:left w:val="single" w:color="auto" w:sz="12" w:space="0"/>
              <w:bottom w:val="single" w:color="auto" w:sz="4" w:space="0"/>
              <w:right w:val="single" w:color="auto" w:sz="4" w:space="0"/>
            </w:tcBorders>
            <w:shd w:val="clear" w:color="auto" w:fill="auto"/>
            <w:tcMar>
              <w:top w:w="80" w:type="dxa"/>
              <w:left w:w="80" w:type="dxa"/>
              <w:bottom w:w="80" w:type="dxa"/>
              <w:right w:w="80" w:type="dxa"/>
            </w:tcMar>
            <w:vAlign w:val="center"/>
          </w:tcPr>
          <w:p w14:paraId="74048493">
            <w:pPr>
              <w:pStyle w:val="16"/>
              <w:framePr w:wrap="auto" w:vAnchor="margin" w:hAnchor="text" w:yAlign="inline"/>
              <w:tabs>
                <w:tab w:val="left" w:pos="3190"/>
              </w:tabs>
              <w:jc w:val="center"/>
              <w:rPr>
                <w:rFonts w:ascii="仿宋" w:hAnsi="仿宋" w:eastAsia="仿宋" w:cs="仿宋"/>
              </w:rPr>
            </w:pPr>
            <w:r>
              <w:rPr>
                <w:rFonts w:ascii="仿宋" w:hAnsi="仿宋" w:eastAsia="仿宋" w:cs="仿宋"/>
                <w:sz w:val="24"/>
                <w:szCs w:val="24"/>
                <w:lang w:val="zh-TW" w:eastAsia="zh-TW"/>
              </w:rPr>
              <w:t>合  计</w:t>
            </w:r>
          </w:p>
        </w:tc>
        <w:tc>
          <w:tcPr>
            <w:tcW w:w="1225" w:type="dxa"/>
            <w:tcBorders>
              <w:top w:val="single" w:color="auto" w:sz="4" w:space="0"/>
              <w:left w:val="single" w:color="auto" w:sz="4" w:space="0"/>
              <w:bottom w:val="single" w:color="auto" w:sz="4" w:space="0"/>
              <w:right w:val="single" w:color="auto" w:sz="12" w:space="0"/>
            </w:tcBorders>
            <w:shd w:val="clear" w:color="auto" w:fill="auto"/>
            <w:tcMar>
              <w:top w:w="80" w:type="dxa"/>
              <w:left w:w="80" w:type="dxa"/>
              <w:bottom w:w="80" w:type="dxa"/>
              <w:right w:w="80" w:type="dxa"/>
            </w:tcMar>
            <w:vAlign w:val="center"/>
          </w:tcPr>
          <w:p w14:paraId="6C5EFE4D">
            <w:pPr>
              <w:rPr>
                <w:rFonts w:ascii="仿宋" w:hAnsi="仿宋" w:eastAsia="仿宋" w:cs="仿宋"/>
              </w:rPr>
            </w:pPr>
          </w:p>
        </w:tc>
      </w:tr>
      <w:tr w14:paraId="08B947B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10" w:type="dxa"/>
            <w:bottom w:w="0" w:type="dxa"/>
            <w:right w:w="10" w:type="dxa"/>
          </w:tblCellMar>
        </w:tblPrEx>
        <w:trPr>
          <w:trHeight w:val="1075" w:hRule="atLeast"/>
          <w:jc w:val="center"/>
        </w:trPr>
        <w:tc>
          <w:tcPr>
            <w:tcW w:w="8875" w:type="dxa"/>
            <w:gridSpan w:val="5"/>
            <w:tcBorders>
              <w:top w:val="single" w:color="auto" w:sz="4" w:space="0"/>
              <w:left w:val="single" w:color="auto" w:sz="12" w:space="0"/>
              <w:bottom w:val="single" w:color="auto" w:sz="12" w:space="0"/>
              <w:right w:val="single" w:color="auto" w:sz="12" w:space="0"/>
            </w:tcBorders>
            <w:shd w:val="clear" w:color="auto" w:fill="auto"/>
            <w:tcMar>
              <w:top w:w="80" w:type="dxa"/>
              <w:left w:w="80" w:type="dxa"/>
              <w:bottom w:w="80" w:type="dxa"/>
              <w:right w:w="80" w:type="dxa"/>
            </w:tcMar>
            <w:vAlign w:val="center"/>
          </w:tcPr>
          <w:p w14:paraId="4DB84C95">
            <w:pPr>
              <w:pStyle w:val="16"/>
              <w:framePr w:wrap="auto" w:vAnchor="margin" w:hAnchor="text" w:yAlign="inline"/>
              <w:jc w:val="left"/>
              <w:rPr>
                <w:rFonts w:ascii="仿宋" w:hAnsi="仿宋" w:eastAsia="仿宋" w:cs="仿宋"/>
                <w:sz w:val="24"/>
                <w:szCs w:val="24"/>
              </w:rPr>
            </w:pPr>
            <w:r>
              <w:rPr>
                <w:rFonts w:ascii="仿宋" w:hAnsi="仿宋" w:eastAsia="仿宋" w:cs="仿宋"/>
                <w:sz w:val="24"/>
                <w:szCs w:val="24"/>
                <w:lang w:val="zh-TW" w:eastAsia="zh-TW"/>
              </w:rPr>
              <w:t>说明：</w:t>
            </w:r>
          </w:p>
          <w:p w14:paraId="325ECEB1">
            <w:pPr>
              <w:pStyle w:val="17"/>
              <w:framePr w:wrap="auto" w:vAnchor="margin" w:hAnchor="text" w:yAlign="inline"/>
              <w:numPr>
                <w:ilvl w:val="0"/>
                <w:numId w:val="2"/>
              </w:numPr>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由研究生导师及至少</w:t>
            </w:r>
            <w:r>
              <w:rPr>
                <w:rFonts w:hint="default" w:ascii="仿宋" w:hAnsi="仿宋" w:eastAsia="仿宋" w:cs="仿宋"/>
                <w:sz w:val="24"/>
                <w:szCs w:val="24"/>
                <w:lang w:val="zh-TW" w:eastAsia="zh-TW"/>
              </w:rPr>
              <w:t>2名导师指导小组成员进行考核。</w:t>
            </w:r>
          </w:p>
          <w:p w14:paraId="7A2C189D">
            <w:pPr>
              <w:pStyle w:val="17"/>
              <w:framePr w:wrap="auto" w:vAnchor="margin" w:hAnchor="text" w:yAlign="inline"/>
              <w:numPr>
                <w:ilvl w:val="0"/>
                <w:numId w:val="2"/>
              </w:numPr>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总分满分</w:t>
            </w:r>
            <w:r>
              <w:rPr>
                <w:rFonts w:hint="default" w:ascii="仿宋" w:hAnsi="仿宋" w:eastAsia="仿宋" w:cs="仿宋"/>
                <w:sz w:val="24"/>
                <w:szCs w:val="24"/>
              </w:rPr>
              <w:t>1</w:t>
            </w:r>
            <w:r>
              <w:rPr>
                <w:rFonts w:hint="default" w:ascii="仿宋" w:hAnsi="仿宋" w:eastAsia="仿宋" w:cs="仿宋"/>
                <w:sz w:val="24"/>
                <w:szCs w:val="24"/>
                <w:lang w:val="zh-TW" w:eastAsia="zh-TW"/>
              </w:rPr>
              <w:t>00</w:t>
            </w:r>
            <w:r>
              <w:rPr>
                <w:rFonts w:ascii="仿宋" w:hAnsi="仿宋" w:eastAsia="仿宋" w:cs="仿宋"/>
                <w:sz w:val="24"/>
                <w:szCs w:val="24"/>
                <w:lang w:val="zh-TW" w:eastAsia="zh-TW"/>
              </w:rPr>
              <w:t>分，85分以上</w:t>
            </w:r>
            <w:r>
              <w:rPr>
                <w:rFonts w:hint="default" w:ascii="仿宋" w:hAnsi="仿宋" w:eastAsia="仿宋" w:cs="仿宋"/>
                <w:sz w:val="24"/>
                <w:szCs w:val="24"/>
                <w:lang w:val="zh-TW" w:eastAsia="zh-TW"/>
              </w:rPr>
              <w:t>为优秀，70</w:t>
            </w:r>
            <w:r>
              <w:rPr>
                <w:rFonts w:ascii="仿宋" w:hAnsi="仿宋" w:eastAsia="仿宋" w:cs="仿宋"/>
                <w:sz w:val="24"/>
                <w:szCs w:val="24"/>
                <w:lang w:val="zh-TW" w:eastAsia="zh-TW"/>
              </w:rPr>
              <w:t>分</w:t>
            </w:r>
            <w:r>
              <w:rPr>
                <w:rFonts w:ascii="仿宋" w:hAnsi="仿宋" w:eastAsia="仿宋" w:cs="仿宋"/>
                <w:sz w:val="24"/>
                <w:szCs w:val="24"/>
                <w:lang w:val="zh-TW"/>
              </w:rPr>
              <w:t>至84分</w:t>
            </w:r>
            <w:r>
              <w:rPr>
                <w:rFonts w:ascii="仿宋" w:hAnsi="仿宋" w:eastAsia="仿宋" w:cs="仿宋"/>
                <w:sz w:val="24"/>
                <w:szCs w:val="24"/>
                <w:lang w:val="zh-TW" w:eastAsia="zh-TW"/>
              </w:rPr>
              <w:t>为合格。</w:t>
            </w:r>
          </w:p>
        </w:tc>
      </w:tr>
    </w:tbl>
    <w:p w14:paraId="4700AA38">
      <w:pPr>
        <w:pStyle w:val="16"/>
        <w:framePr w:wrap="auto" w:vAnchor="margin" w:hAnchor="text" w:yAlign="inline"/>
        <w:widowControl/>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导师签字：</w:t>
      </w:r>
    </w:p>
    <w:p w14:paraId="7F8EFA69">
      <w:pPr>
        <w:pStyle w:val="16"/>
        <w:framePr w:wrap="auto" w:vAnchor="margin" w:hAnchor="text" w:yAlign="inline"/>
        <w:widowControl/>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考核专家签字：</w:t>
      </w:r>
    </w:p>
    <w:p w14:paraId="2B2986B5">
      <w:pPr>
        <w:widowControl/>
        <w:jc w:val="left"/>
        <w:rPr>
          <w:rFonts w:ascii="宋体" w:hAnsi="宋体" w:eastAsia="PMingLiU" w:cs="宋体"/>
          <w:color w:val="000000"/>
          <w:sz w:val="24"/>
          <w:szCs w:val="24"/>
          <w:u w:color="000000"/>
          <w:lang w:val="zh-TW" w:eastAsia="zh-TW"/>
        </w:rPr>
      </w:pPr>
      <w:r>
        <w:rPr>
          <w:rFonts w:ascii="仿宋" w:hAnsi="仿宋" w:eastAsia="仿宋" w:cs="仿宋"/>
          <w:sz w:val="24"/>
          <w:szCs w:val="24"/>
          <w:lang w:val="zh-TW" w:eastAsia="zh-TW"/>
        </w:rPr>
        <w:t>日期：</w:t>
      </w:r>
      <w:r>
        <w:rPr>
          <w:rFonts w:ascii="宋体" w:hAnsi="宋体" w:eastAsia="PMingLiU" w:cs="宋体"/>
          <w:sz w:val="24"/>
          <w:szCs w:val="24"/>
          <w:lang w:val="zh-TW" w:eastAsia="zh-TW"/>
        </w:rPr>
        <w:br w:type="page"/>
      </w:r>
    </w:p>
    <w:p w14:paraId="22DA5DB7">
      <w:pPr>
        <w:pStyle w:val="16"/>
        <w:framePr w:wrap="auto" w:vAnchor="margin" w:hAnchor="text" w:yAlign="inline"/>
        <w:widowControl/>
        <w:spacing w:line="360" w:lineRule="auto"/>
        <w:jc w:val="center"/>
        <w:rPr>
          <w:rFonts w:ascii="华文中宋" w:hAnsi="华文中宋" w:eastAsia="华文中宋" w:cs="Times New Roman"/>
          <w:bCs/>
          <w:color w:val="auto"/>
          <w:sz w:val="36"/>
          <w:szCs w:val="44"/>
        </w:rPr>
      </w:pPr>
      <w:r>
        <w:rPr>
          <w:rFonts w:ascii="华文中宋" w:hAnsi="华文中宋" w:eastAsia="华文中宋" w:cs="Times New Roman"/>
          <w:bCs/>
          <w:color w:val="auto"/>
          <w:sz w:val="36"/>
          <w:szCs w:val="44"/>
        </w:rPr>
        <w:t>首都医科大学学位论文中期进展报告</w:t>
      </w:r>
    </w:p>
    <w:tbl>
      <w:tblPr>
        <w:tblStyle w:val="6"/>
        <w:tblW w:w="8501"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698"/>
        <w:gridCol w:w="1603"/>
        <w:gridCol w:w="1220"/>
        <w:gridCol w:w="3980"/>
      </w:tblGrid>
      <w:tr w14:paraId="681F615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PrEx>
        <w:trPr>
          <w:trHeight w:val="407" w:hRule="atLeast"/>
          <w:jc w:val="center"/>
        </w:trPr>
        <w:tc>
          <w:tcPr>
            <w:tcW w:w="1698" w:type="dxa"/>
            <w:tcBorders>
              <w:top w:val="single" w:color="auto" w:sz="12"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4483D562">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rPr>
              <w:t>学生</w:t>
            </w:r>
            <w:r>
              <w:rPr>
                <w:rFonts w:hint="default" w:ascii="Times New Roman" w:hAnsi="Times New Roman" w:eastAsia="仿宋" w:cs="Times New Roman"/>
                <w:sz w:val="24"/>
                <w:szCs w:val="24"/>
                <w:lang w:val="zh-TW" w:eastAsia="zh-TW"/>
              </w:rPr>
              <w:t>姓名</w:t>
            </w:r>
          </w:p>
        </w:tc>
        <w:tc>
          <w:tcPr>
            <w:tcW w:w="1603" w:type="dxa"/>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4C92D008">
            <w:pPr>
              <w:rPr>
                <w:rFonts w:hint="default" w:ascii="Times New Roman" w:hAnsi="Times New Roman" w:eastAsia="仿宋" w:cs="Times New Roman"/>
                <w:lang w:eastAsia="zh-CN"/>
              </w:rPr>
            </w:pPr>
            <w:r>
              <w:rPr>
                <w:rFonts w:hint="default" w:ascii="Times New Roman" w:hAnsi="Times New Roman" w:eastAsia="仿宋" w:cs="Times New Roman"/>
                <w:lang w:eastAsia="zh-CN"/>
              </w:rPr>
              <w:t>付亮</w:t>
            </w:r>
          </w:p>
        </w:tc>
        <w:tc>
          <w:tcPr>
            <w:tcW w:w="1220" w:type="dxa"/>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D7515E4">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学号</w:t>
            </w:r>
          </w:p>
        </w:tc>
        <w:tc>
          <w:tcPr>
            <w:tcW w:w="3980" w:type="dxa"/>
            <w:tcBorders>
              <w:top w:val="single" w:color="auto" w:sz="12"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6452DBBE">
            <w:pPr>
              <w:rPr>
                <w:rFonts w:hint="default" w:ascii="Times New Roman" w:hAnsi="Times New Roman" w:eastAsia="仿宋" w:cs="Times New Roman"/>
              </w:rPr>
            </w:pPr>
            <w:r>
              <w:rPr>
                <w:rFonts w:hint="default" w:ascii="Times New Roman" w:hAnsi="Times New Roman" w:eastAsia="宋体" w:cs="Times New Roman"/>
                <w:sz w:val="24"/>
                <w:szCs w:val="24"/>
              </w:rPr>
              <w:t>132017100062</w:t>
            </w:r>
          </w:p>
        </w:tc>
      </w:tr>
      <w:tr w14:paraId="1F05880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1" w:hRule="atLeast"/>
          <w:jc w:val="center"/>
        </w:trPr>
        <w:tc>
          <w:tcPr>
            <w:tcW w:w="1698"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39E74F38">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学科专业</w:t>
            </w:r>
          </w:p>
        </w:tc>
        <w:tc>
          <w:tcPr>
            <w:tcW w:w="1603"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4A4224A">
            <w:pPr>
              <w:rPr>
                <w:rFonts w:hint="default" w:ascii="Times New Roman" w:hAnsi="Times New Roman" w:eastAsia="仿宋" w:cs="Times New Roman"/>
                <w:lang w:eastAsia="zh-CN"/>
              </w:rPr>
            </w:pPr>
            <w:r>
              <w:rPr>
                <w:rFonts w:hint="default" w:ascii="Times New Roman" w:hAnsi="Times New Roman" w:eastAsia="仿宋" w:cs="Times New Roman"/>
                <w:lang w:eastAsia="zh-CN"/>
              </w:rPr>
              <w:t>内科学（传染病）</w:t>
            </w:r>
          </w:p>
        </w:tc>
        <w:tc>
          <w:tcPr>
            <w:tcW w:w="1220"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3333169D">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学位类型</w:t>
            </w:r>
          </w:p>
        </w:tc>
        <w:tc>
          <w:tcPr>
            <w:tcW w:w="3980"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233FD3AD">
            <w:pPr>
              <w:pStyle w:val="16"/>
              <w:framePr w:wrap="auto" w:vAnchor="margin" w:hAnchor="text" w:yAlign="inline"/>
              <w:jc w:val="left"/>
              <w:rPr>
                <w:rFonts w:hint="default" w:ascii="Times New Roman" w:hAnsi="Times New Roman" w:eastAsia="仿宋" w:cs="Times New Roman"/>
              </w:rPr>
            </w:pP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zh-TW" w:eastAsia="zh-TW"/>
              </w:rPr>
              <w:t>博士</w:t>
            </w:r>
            <w:r>
              <w:rPr>
                <w:rFonts w:hint="default" w:ascii="Times New Roman" w:hAnsi="Times New Roman" w:eastAsia="仿宋" w:cs="Times New Roman"/>
                <w:sz w:val="24"/>
                <w:szCs w:val="24"/>
              </w:rPr>
              <w:t xml:space="preserve"> □</w:t>
            </w:r>
            <w:r>
              <w:rPr>
                <w:rFonts w:hint="default" w:ascii="Times New Roman" w:hAnsi="Times New Roman" w:eastAsia="仿宋" w:cs="Times New Roman"/>
                <w:sz w:val="24"/>
                <w:szCs w:val="24"/>
                <w:lang w:val="zh-TW" w:eastAsia="zh-TW"/>
              </w:rPr>
              <w:t>硕士</w:t>
            </w:r>
            <w:r>
              <w:rPr>
                <w:rFonts w:hint="default" w:ascii="Times New Roman" w:hAnsi="Times New Roman" w:eastAsia="仿宋" w:cs="Times New Roman"/>
                <w:sz w:val="24"/>
                <w:szCs w:val="24"/>
                <w:lang w:val="zh-TW"/>
              </w:rPr>
              <w:t xml:space="preserve"> </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zh-TW" w:eastAsia="zh-TW"/>
              </w:rPr>
              <w:t>专业型</w:t>
            </w:r>
            <w:r>
              <w:rPr>
                <w:rFonts w:hint="default" w:ascii="Times New Roman" w:hAnsi="Times New Roman" w:eastAsia="仿宋" w:cs="Times New Roman"/>
                <w:sz w:val="24"/>
                <w:szCs w:val="24"/>
                <w:lang w:val="zh-TW"/>
              </w:rPr>
              <w:t xml:space="preserve"> </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val="zh-TW" w:eastAsia="zh-TW"/>
              </w:rPr>
              <w:t>学术型</w:t>
            </w:r>
          </w:p>
        </w:tc>
      </w:tr>
      <w:tr w14:paraId="35F26A0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407" w:hRule="atLeast"/>
          <w:jc w:val="center"/>
        </w:trPr>
        <w:tc>
          <w:tcPr>
            <w:tcW w:w="1698"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3D34A39A">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导师姓名</w:t>
            </w:r>
          </w:p>
        </w:tc>
        <w:tc>
          <w:tcPr>
            <w:tcW w:w="1603"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429B5C7D">
            <w:pPr>
              <w:rPr>
                <w:rFonts w:hint="default" w:ascii="Times New Roman" w:hAnsi="Times New Roman" w:eastAsia="仿宋" w:cs="Times New Roman"/>
                <w:lang w:eastAsia="zh-CN"/>
              </w:rPr>
            </w:pPr>
            <w:r>
              <w:rPr>
                <w:rFonts w:hint="default" w:ascii="Times New Roman" w:hAnsi="Times New Roman" w:eastAsia="仿宋" w:cs="Times New Roman"/>
                <w:lang w:eastAsia="zh-CN"/>
              </w:rPr>
              <w:t>唐神结</w:t>
            </w:r>
          </w:p>
        </w:tc>
        <w:tc>
          <w:tcPr>
            <w:tcW w:w="1220"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2A12BCE8">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培养单位</w:t>
            </w:r>
          </w:p>
        </w:tc>
        <w:tc>
          <w:tcPr>
            <w:tcW w:w="3980"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13C3F499">
            <w:pPr>
              <w:rPr>
                <w:rFonts w:hint="default" w:ascii="Times New Roman" w:hAnsi="Times New Roman" w:eastAsia="仿宋" w:cs="Times New Roman"/>
                <w:lang w:eastAsia="zh-CN"/>
              </w:rPr>
            </w:pPr>
            <w:r>
              <w:rPr>
                <w:rFonts w:hint="default" w:ascii="Times New Roman" w:hAnsi="Times New Roman" w:eastAsia="仿宋" w:cs="Times New Roman"/>
                <w:lang w:eastAsia="zh-CN"/>
              </w:rPr>
              <w:t>首都医科大学附属北京胸科医院（第十临床医学院）</w:t>
            </w:r>
          </w:p>
        </w:tc>
      </w:tr>
      <w:tr w14:paraId="0FE58A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860" w:hRule="atLeast"/>
          <w:jc w:val="center"/>
        </w:trPr>
        <w:tc>
          <w:tcPr>
            <w:tcW w:w="1698" w:type="dxa"/>
            <w:tcBorders>
              <w:top w:val="single" w:color="000000" w:sz="4" w:space="0"/>
              <w:left w:val="single" w:color="auto" w:sz="12" w:space="0"/>
              <w:bottom w:val="single" w:color="auto" w:sz="12" w:space="0"/>
              <w:right w:val="single" w:color="auto" w:sz="4" w:space="0"/>
            </w:tcBorders>
            <w:shd w:val="clear" w:color="auto" w:fill="auto"/>
            <w:tcMar>
              <w:top w:w="80" w:type="dxa"/>
              <w:left w:w="80" w:type="dxa"/>
              <w:bottom w:w="80" w:type="dxa"/>
              <w:right w:w="80" w:type="dxa"/>
            </w:tcMar>
            <w:vAlign w:val="center"/>
          </w:tcPr>
          <w:p w14:paraId="25B87EF7">
            <w:pPr>
              <w:pStyle w:val="16"/>
              <w:framePr w:wrap="auto" w:vAnchor="margin" w:hAnchor="text" w:yAlign="inline"/>
              <w:jc w:val="center"/>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论文题目</w:t>
            </w:r>
          </w:p>
        </w:tc>
        <w:tc>
          <w:tcPr>
            <w:tcW w:w="6803" w:type="dxa"/>
            <w:gridSpan w:val="3"/>
            <w:tcBorders>
              <w:top w:val="single" w:color="000000" w:sz="4" w:space="0"/>
              <w:left w:val="single" w:color="auto" w:sz="4" w:space="0"/>
              <w:bottom w:val="single" w:color="auto" w:sz="12" w:space="0"/>
              <w:right w:val="single" w:color="auto" w:sz="12" w:space="0"/>
            </w:tcBorders>
            <w:shd w:val="clear" w:color="auto" w:fill="auto"/>
            <w:tcMar>
              <w:top w:w="80" w:type="dxa"/>
              <w:left w:w="80" w:type="dxa"/>
              <w:bottom w:w="80" w:type="dxa"/>
              <w:right w:w="80" w:type="dxa"/>
            </w:tcMar>
            <w:vAlign w:val="center"/>
          </w:tcPr>
          <w:p w14:paraId="4D528EB1">
            <w:pPr>
              <w:pStyle w:val="16"/>
              <w:framePr w:wrap="auto" w:vAnchor="margin" w:hAnchor="text" w:yAlign="inline"/>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zh-TW" w:eastAsia="zh-TW"/>
              </w:rPr>
              <w:t>中文题目：</w:t>
            </w:r>
            <w:r>
              <w:rPr>
                <w:rFonts w:hint="default" w:ascii="Times New Roman" w:hAnsi="Times New Roman" w:eastAsia="宋体" w:cs="Times New Roman"/>
                <w:sz w:val="24"/>
                <w:szCs w:val="24"/>
              </w:rPr>
              <w:t>柳氮磺吡啶治疗耐多药肺结核的临床研究</w:t>
            </w:r>
          </w:p>
          <w:p w14:paraId="7D7AE5D9">
            <w:pPr>
              <w:pStyle w:val="16"/>
              <w:framePr w:wrap="auto" w:vAnchor="margin" w:hAnchor="text" w:yAlign="inline"/>
              <w:spacing w:line="360" w:lineRule="auto"/>
              <w:rPr>
                <w:rFonts w:hint="default" w:ascii="Times New Roman" w:hAnsi="Times New Roman" w:eastAsia="仿宋" w:cs="Times New Roman"/>
              </w:rPr>
            </w:pPr>
            <w:r>
              <w:rPr>
                <w:rFonts w:hint="default" w:ascii="Times New Roman" w:hAnsi="Times New Roman" w:eastAsia="仿宋" w:cs="Times New Roman"/>
                <w:sz w:val="24"/>
                <w:szCs w:val="24"/>
                <w:lang w:val="zh-TW" w:eastAsia="zh-TW"/>
              </w:rPr>
              <w:t>英文题目：Clinical study of salazosulfapyridine in the treatment of multidrug-resistant pulmonary tuberculosis</w:t>
            </w:r>
          </w:p>
        </w:tc>
      </w:tr>
      <w:tr w14:paraId="714AEFE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860" w:hRule="atLeast"/>
          <w:jc w:val="center"/>
        </w:trPr>
        <w:tc>
          <w:tcPr>
            <w:tcW w:w="1698" w:type="dxa"/>
            <w:tcBorders>
              <w:top w:val="single" w:color="000000" w:sz="4" w:space="0"/>
              <w:left w:val="single" w:color="auto" w:sz="12" w:space="0"/>
              <w:bottom w:val="single" w:color="auto" w:sz="12" w:space="0"/>
              <w:right w:val="single" w:color="auto" w:sz="4" w:space="0"/>
            </w:tcBorders>
            <w:shd w:val="clear" w:color="auto" w:fill="auto"/>
            <w:tcMar>
              <w:top w:w="80" w:type="dxa"/>
              <w:left w:w="80" w:type="dxa"/>
              <w:bottom w:w="80" w:type="dxa"/>
              <w:right w:w="80" w:type="dxa"/>
            </w:tcMar>
            <w:vAlign w:val="center"/>
          </w:tcPr>
          <w:p w14:paraId="0B6CD42B">
            <w:pPr>
              <w:pStyle w:val="16"/>
              <w:framePr w:wrap="auto" w:vAnchor="margin" w:hAnchor="text" w:yAlign="inline"/>
              <w:jc w:val="center"/>
              <w:rPr>
                <w:rFonts w:hint="default" w:ascii="Times New Roman" w:hAnsi="Times New Roman" w:eastAsia="仿宋" w:cs="Times New Roman"/>
                <w:sz w:val="24"/>
                <w:szCs w:val="24"/>
                <w:lang w:val="en-US" w:eastAsia="zh-CN"/>
              </w:rPr>
            </w:pPr>
            <w:r>
              <w:rPr>
                <w:rFonts w:hint="eastAsia" w:ascii="Times New Roman" w:hAnsi="Times New Roman" w:eastAsia="仿宋" w:cs="Times New Roman"/>
                <w:sz w:val="24"/>
                <w:szCs w:val="24"/>
                <w:lang w:val="en-US" w:eastAsia="zh-CN"/>
              </w:rPr>
              <w:t>更改课题说明</w:t>
            </w:r>
          </w:p>
        </w:tc>
        <w:tc>
          <w:tcPr>
            <w:tcW w:w="6803" w:type="dxa"/>
            <w:gridSpan w:val="3"/>
            <w:tcBorders>
              <w:top w:val="single" w:color="000000" w:sz="4" w:space="0"/>
              <w:left w:val="single" w:color="auto" w:sz="4" w:space="0"/>
              <w:bottom w:val="single" w:color="auto" w:sz="12" w:space="0"/>
              <w:right w:val="single" w:color="auto" w:sz="12" w:space="0"/>
            </w:tcBorders>
            <w:shd w:val="clear" w:color="auto" w:fill="auto"/>
            <w:tcMar>
              <w:top w:w="80" w:type="dxa"/>
              <w:left w:w="80" w:type="dxa"/>
              <w:bottom w:w="80" w:type="dxa"/>
              <w:right w:w="80" w:type="dxa"/>
            </w:tcMar>
            <w:vAlign w:val="center"/>
          </w:tcPr>
          <w:p w14:paraId="59E9B609">
            <w:pPr>
              <w:pStyle w:val="16"/>
              <w:framePr w:wrap="auto" w:vAnchor="margin" w:hAnchor="text" w:yAlign="inline"/>
              <w:spacing w:line="360" w:lineRule="auto"/>
              <w:rPr>
                <w:rFonts w:hint="default" w:ascii="Times New Roman" w:hAnsi="Times New Roman" w:eastAsia="仿宋" w:cs="Times New Roman"/>
                <w:b/>
                <w:bCs/>
                <w:sz w:val="24"/>
                <w:szCs w:val="24"/>
                <w:lang w:val="zh-TW" w:eastAsia="zh-TW"/>
              </w:rPr>
            </w:pPr>
            <w:r>
              <w:rPr>
                <w:rFonts w:hint="default" w:ascii="Times New Roman" w:hAnsi="Times New Roman" w:eastAsia="仿宋" w:cs="Times New Roman"/>
                <w:b/>
                <w:bCs/>
                <w:sz w:val="24"/>
                <w:szCs w:val="24"/>
                <w:lang w:val="zh-TW" w:eastAsia="zh-TW"/>
              </w:rPr>
              <w:t xml:space="preserve">原课题名称：同种异体γδT细胞治疗耐多药肺结核的临床研究  </w:t>
            </w:r>
          </w:p>
          <w:p w14:paraId="2D491085">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b/>
                <w:bCs/>
                <w:sz w:val="24"/>
                <w:szCs w:val="24"/>
                <w:lang w:val="zh-TW" w:eastAsia="zh-TW"/>
              </w:rPr>
              <w:t xml:space="preserve">拟更改课题名称：柳氮磺吡啶治疗耐多药肺结核的临床研究 </w:t>
            </w:r>
            <w:r>
              <w:rPr>
                <w:rFonts w:hint="default" w:ascii="Times New Roman" w:hAnsi="Times New Roman" w:eastAsia="仿宋" w:cs="Times New Roman"/>
                <w:sz w:val="24"/>
                <w:szCs w:val="24"/>
                <w:lang w:val="zh-TW" w:eastAsia="zh-TW"/>
              </w:rPr>
              <w:t xml:space="preserve"> </w:t>
            </w:r>
          </w:p>
          <w:p w14:paraId="169A051A">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p>
          <w:p w14:paraId="3EF9063A">
            <w:pPr>
              <w:pStyle w:val="16"/>
              <w:framePr w:wrap="auto" w:vAnchor="margin" w:hAnchor="text" w:yAlign="inline"/>
              <w:spacing w:line="360" w:lineRule="auto"/>
              <w:rPr>
                <w:rFonts w:hint="eastAsia" w:ascii="Times New Roman" w:hAnsi="Times New Roman" w:eastAsia="仿宋" w:cs="Times New Roman"/>
                <w:b/>
                <w:bCs/>
                <w:sz w:val="24"/>
                <w:szCs w:val="24"/>
                <w:lang w:val="zh-TW" w:eastAsia="zh-CN"/>
              </w:rPr>
            </w:pPr>
            <w:r>
              <w:rPr>
                <w:rFonts w:hint="eastAsia" w:ascii="Times New Roman" w:hAnsi="Times New Roman" w:eastAsia="仿宋" w:cs="Times New Roman"/>
                <w:b/>
                <w:bCs/>
                <w:sz w:val="24"/>
                <w:szCs w:val="24"/>
                <w:lang w:val="en-US" w:eastAsia="zh-CN"/>
              </w:rPr>
              <w:t>一、</w:t>
            </w:r>
            <w:r>
              <w:rPr>
                <w:rFonts w:hint="default" w:ascii="Times New Roman" w:hAnsi="Times New Roman" w:eastAsia="仿宋" w:cs="Times New Roman"/>
                <w:b/>
                <w:bCs/>
                <w:sz w:val="24"/>
                <w:szCs w:val="24"/>
                <w:lang w:val="zh-TW" w:eastAsia="zh-TW"/>
              </w:rPr>
              <w:t>更改课题的原因</w:t>
            </w:r>
          </w:p>
          <w:p w14:paraId="376783A3">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原课题《同种异体γδT细胞治疗耐多药肺结核的临床研究》已入组受试者20余例，并完成相关研究成果的发表【Liang J, Fu L, Li M, et al., *Front Immunol, 2021*】。该研究由申请人所在单位与暨南大学合作完成，但由于发表文章时的署名限制，未能符合博士学位授予要求。  </w:t>
            </w:r>
          </w:p>
          <w:p w14:paraId="7C42FFEF">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为确保研究方向的连续性及符合学位申请要求，申请人拟更改博士研究课题，仍然聚焦于宿主导向治疗（Host-Directed Therapy, HDT）及耐多药肺结核（MDR-TB）的临床治疗领域，转向研究 柳氮磺吡啶（Sulfasalazine）在耐多药肺结核治疗中的临床应用。</w:t>
            </w:r>
          </w:p>
          <w:p w14:paraId="23221F01">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p>
          <w:p w14:paraId="4EF9842E">
            <w:pPr>
              <w:pStyle w:val="16"/>
              <w:framePr w:wrap="auto" w:vAnchor="margin" w:hAnchor="text" w:yAlign="inline"/>
              <w:spacing w:line="360" w:lineRule="auto"/>
              <w:rPr>
                <w:rFonts w:hint="eastAsia" w:ascii="Times New Roman" w:hAnsi="Times New Roman" w:eastAsia="仿宋" w:cs="Times New Roman"/>
                <w:b/>
                <w:bCs/>
                <w:sz w:val="24"/>
                <w:szCs w:val="24"/>
                <w:lang w:val="zh-TW" w:eastAsia="zh-CN"/>
              </w:rPr>
            </w:pPr>
            <w:r>
              <w:rPr>
                <w:rFonts w:hint="eastAsia" w:ascii="Times New Roman" w:hAnsi="Times New Roman" w:eastAsia="仿宋" w:cs="Times New Roman"/>
                <w:b/>
                <w:bCs/>
                <w:sz w:val="24"/>
                <w:szCs w:val="24"/>
                <w:lang w:val="en-US" w:eastAsia="zh-CN"/>
              </w:rPr>
              <w:t>二、</w:t>
            </w:r>
            <w:r>
              <w:rPr>
                <w:rFonts w:hint="default" w:ascii="Times New Roman" w:hAnsi="Times New Roman" w:eastAsia="仿宋" w:cs="Times New Roman"/>
                <w:b/>
                <w:bCs/>
                <w:sz w:val="24"/>
                <w:szCs w:val="24"/>
                <w:lang w:val="zh-TW" w:eastAsia="zh-TW"/>
              </w:rPr>
              <w:t>新课题概述</w:t>
            </w:r>
          </w:p>
          <w:p w14:paraId="7AB0B2E6">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1. 研究背景与意义  </w:t>
            </w:r>
          </w:p>
          <w:p w14:paraId="0DF6512E">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柳氮磺吡啶是一种具有抗炎和免疫调节作用的药物，广泛用于炎症性肠病及类风湿性关节炎的治疗。近年来，研究发现其在结核病的宿主导向治疗中具有潜在应用价值。本研究旨在探索柳氮磺吡啶在耐多药肺结核（特别是准广泛耐药结核，Pre-XDR-TB）患者中的疗效和安全性，为优化耐药结核病的治疗方案提供新的科学依据。</w:t>
            </w:r>
          </w:p>
          <w:p w14:paraId="01A80457">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2. 研究内容与方法  </w:t>
            </w:r>
          </w:p>
          <w:p w14:paraId="28B0F14D">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 xml:space="preserve">临床研究部分：  </w:t>
            </w:r>
          </w:p>
          <w:p w14:paraId="0EC3A04C">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 本研究已完成 41例受试者 的长期随访（停药后1年），数据完整，已撰写相关论文，题目为 *Evaluation of Adjunctive Sulfasalazine Therapy in Pulmonary Pre-XDR-TB: Efficacy, Safety, and Implications for Treatment Optimization*，符合博士学位论文的要求。  </w:t>
            </w:r>
          </w:p>
          <w:p w14:paraId="7CB3EC1F">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 该论文的通讯作者为唐老师，第一单位为首都医科大学，申请人为第一作者，符合博士毕业要求。  </w:t>
            </w:r>
          </w:p>
          <w:p w14:paraId="04503B68">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基础研究部分（不单独发表，仅写入博士论文）：</w:t>
            </w:r>
          </w:p>
          <w:p w14:paraId="0FE1DED8">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1. RORyt 在 IL-17A 表达中的作用；</w:t>
            </w:r>
          </w:p>
          <w:p w14:paraId="532948E3">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2. 结核分枝杆菌（Mtb）感染如何影响 IL-17A 的表达；</w:t>
            </w:r>
          </w:p>
          <w:p w14:paraId="2A3E9925">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     3. 柳氮磺吡啶对巨噬细胞内结核分枝杆菌的影响。  </w:t>
            </w:r>
          </w:p>
          <w:p w14:paraId="63094A85">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default" w:ascii="Times New Roman" w:hAnsi="Times New Roman" w:eastAsia="仿宋" w:cs="Times New Roman"/>
                <w:sz w:val="24"/>
                <w:szCs w:val="24"/>
                <w:lang w:val="zh-TW" w:eastAsia="zh-TW"/>
              </w:rPr>
              <w:t xml:space="preserve">3. 研究进展  </w:t>
            </w:r>
          </w:p>
          <w:p w14:paraId="75FA96F0">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临床研究部分已完成所有随访和数据分析；</w:t>
            </w:r>
          </w:p>
          <w:p w14:paraId="533E72A2">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基础研究部分已取得初步实验结果，后续将补充实验数据并纳入博士论文；</w:t>
            </w:r>
          </w:p>
          <w:p w14:paraId="73DAD190">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研究工作已基本符合博士毕业要求。</w:t>
            </w:r>
          </w:p>
          <w:p w14:paraId="250FE71E">
            <w:pPr>
              <w:pStyle w:val="16"/>
              <w:framePr w:wrap="auto" w:vAnchor="margin" w:hAnchor="text" w:yAlign="inline"/>
              <w:spacing w:line="360" w:lineRule="auto"/>
              <w:rPr>
                <w:rFonts w:hint="eastAsia" w:ascii="Times New Roman" w:hAnsi="Times New Roman" w:eastAsia="仿宋" w:cs="Times New Roman"/>
                <w:sz w:val="24"/>
                <w:szCs w:val="24"/>
                <w:lang w:val="en-US" w:eastAsia="zh-CN"/>
              </w:rPr>
            </w:pPr>
          </w:p>
          <w:p w14:paraId="3EE62A21">
            <w:pPr>
              <w:pStyle w:val="16"/>
              <w:framePr w:wrap="auto" w:vAnchor="margin" w:hAnchor="text" w:yAlign="inline"/>
              <w:spacing w:line="360" w:lineRule="auto"/>
              <w:rPr>
                <w:rFonts w:hint="eastAsia" w:ascii="Times New Roman" w:hAnsi="Times New Roman" w:eastAsia="仿宋" w:cs="Times New Roman"/>
                <w:b/>
                <w:bCs/>
                <w:sz w:val="24"/>
                <w:szCs w:val="24"/>
                <w:lang w:val="zh-TW" w:eastAsia="zh-CN"/>
              </w:rPr>
            </w:pPr>
            <w:r>
              <w:rPr>
                <w:rFonts w:hint="eastAsia" w:ascii="Times New Roman" w:hAnsi="Times New Roman" w:eastAsia="仿宋" w:cs="Times New Roman"/>
                <w:b/>
                <w:bCs/>
                <w:sz w:val="24"/>
                <w:szCs w:val="24"/>
                <w:lang w:val="en-US" w:eastAsia="zh-CN"/>
              </w:rPr>
              <w:t>三、</w:t>
            </w:r>
            <w:r>
              <w:rPr>
                <w:rFonts w:hint="default" w:ascii="Times New Roman" w:hAnsi="Times New Roman" w:eastAsia="仿宋" w:cs="Times New Roman"/>
                <w:b/>
                <w:bCs/>
                <w:sz w:val="24"/>
                <w:szCs w:val="24"/>
                <w:lang w:val="zh-TW" w:eastAsia="zh-TW"/>
              </w:rPr>
              <w:t>更改课题后续安排</w:t>
            </w:r>
          </w:p>
          <w:p w14:paraId="751B451D">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1</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 xml:space="preserve">重新开题：按照北京胸科医院科教科（贾文蕴、宋治鹏老师）建议，需重新进行博士课题开题报告，计划在2023年7月上旬开展，并同步进行中期报告。  </w:t>
            </w:r>
          </w:p>
          <w:p w14:paraId="26AB710C">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2</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开题专家聘请：导师（</w:t>
            </w:r>
            <w:r>
              <w:rPr>
                <w:rFonts w:hint="eastAsia" w:ascii="Times New Roman" w:hAnsi="Times New Roman" w:eastAsia="仿宋" w:cs="Times New Roman"/>
                <w:sz w:val="24"/>
                <w:szCs w:val="24"/>
                <w:lang w:val="en-US" w:eastAsia="zh-CN"/>
              </w:rPr>
              <w:t>唐神结</w:t>
            </w:r>
            <w:r>
              <w:rPr>
                <w:rFonts w:hint="default" w:ascii="Times New Roman" w:hAnsi="Times New Roman" w:eastAsia="仿宋" w:cs="Times New Roman"/>
                <w:sz w:val="24"/>
                <w:szCs w:val="24"/>
                <w:lang w:val="zh-TW" w:eastAsia="zh-TW"/>
              </w:rPr>
              <w:t xml:space="preserve">老师）负责邀请相关领域专家组建评审委员会，并组织开题评审会。  </w:t>
            </w:r>
          </w:p>
          <w:p w14:paraId="692BF3F4">
            <w:pPr>
              <w:pStyle w:val="16"/>
              <w:framePr w:wrap="auto" w:vAnchor="margin" w:hAnchor="text" w:yAlign="inline"/>
              <w:spacing w:line="360" w:lineRule="auto"/>
              <w:rPr>
                <w:rFonts w:hint="default" w:ascii="Times New Roman" w:hAnsi="Times New Roman" w:eastAsia="仿宋" w:cs="Times New Roman"/>
                <w:sz w:val="24"/>
                <w:szCs w:val="24"/>
                <w:lang w:val="zh-TW" w:eastAsia="zh-TW"/>
              </w:rPr>
            </w:pPr>
            <w:r>
              <w:rPr>
                <w:rFonts w:hint="eastAsia" w:ascii="Times New Roman" w:hAnsi="Times New Roman" w:eastAsia="仿宋" w:cs="Times New Roman"/>
                <w:sz w:val="24"/>
                <w:szCs w:val="24"/>
                <w:lang w:val="zh-TW" w:eastAsia="zh-CN"/>
              </w:rPr>
              <w:t>（</w:t>
            </w:r>
            <w:r>
              <w:rPr>
                <w:rFonts w:hint="eastAsia" w:ascii="Times New Roman" w:hAnsi="Times New Roman" w:eastAsia="仿宋" w:cs="Times New Roman"/>
                <w:sz w:val="24"/>
                <w:szCs w:val="24"/>
                <w:lang w:val="en-US" w:eastAsia="zh-CN"/>
              </w:rPr>
              <w:t>3</w:t>
            </w:r>
            <w:r>
              <w:rPr>
                <w:rFonts w:hint="eastAsia" w:ascii="Times New Roman" w:hAnsi="Times New Roman" w:eastAsia="仿宋" w:cs="Times New Roman"/>
                <w:sz w:val="24"/>
                <w:szCs w:val="24"/>
                <w:lang w:val="zh-TW" w:eastAsia="zh-CN"/>
              </w:rPr>
              <w:t>）</w:t>
            </w:r>
            <w:r>
              <w:rPr>
                <w:rFonts w:hint="default" w:ascii="Times New Roman" w:hAnsi="Times New Roman" w:eastAsia="仿宋" w:cs="Times New Roman"/>
                <w:sz w:val="24"/>
                <w:szCs w:val="24"/>
                <w:lang w:val="zh-TW" w:eastAsia="zh-TW"/>
              </w:rPr>
              <w:t xml:space="preserve">研究进展汇报：在完成开题报告后，将按照科教科要求进行博士中期报告，以确保论文研究的顺利推进。  </w:t>
            </w:r>
          </w:p>
        </w:tc>
      </w:tr>
      <w:tr w14:paraId="3B24B16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472" w:hRule="atLeast"/>
          <w:jc w:val="center"/>
        </w:trPr>
        <w:tc>
          <w:tcPr>
            <w:tcW w:w="8501" w:type="dxa"/>
            <w:gridSpan w:val="4"/>
            <w:tcBorders>
              <w:top w:val="single" w:color="auto" w:sz="12"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3165AF4A">
            <w:pPr>
              <w:pStyle w:val="16"/>
              <w:framePr w:wrap="auto" w:vAnchor="margin" w:hAnchor="text" w:yAlign="inline"/>
              <w:spacing w:line="360" w:lineRule="auto"/>
              <w:rPr>
                <w:rFonts w:hint="default" w:ascii="Times New Roman" w:hAnsi="Times New Roman" w:eastAsia="仿宋" w:cs="Times New Roman"/>
                <w:b/>
                <w:bCs/>
                <w:sz w:val="24"/>
                <w:szCs w:val="24"/>
                <w:lang w:val="zh-TW" w:eastAsia="zh-TW"/>
              </w:rPr>
            </w:pPr>
            <w:r>
              <w:rPr>
                <w:rFonts w:hint="default" w:ascii="Times New Roman" w:hAnsi="Times New Roman" w:eastAsia="仿宋" w:cs="Times New Roman"/>
                <w:b/>
                <w:bCs/>
                <w:sz w:val="24"/>
                <w:szCs w:val="24"/>
                <w:lang w:val="zh-TW" w:eastAsia="zh-TW"/>
              </w:rPr>
              <w:t>一、</w:t>
            </w:r>
            <w:r>
              <w:rPr>
                <w:rFonts w:hint="default" w:ascii="Times New Roman" w:hAnsi="Times New Roman" w:eastAsia="仿宋" w:cs="Times New Roman"/>
                <w:b/>
                <w:bCs/>
                <w:sz w:val="24"/>
                <w:szCs w:val="24"/>
                <w:lang w:val="zh-TW"/>
              </w:rPr>
              <w:t>学位论文</w:t>
            </w:r>
            <w:r>
              <w:rPr>
                <w:rFonts w:hint="default" w:ascii="Times New Roman" w:hAnsi="Times New Roman" w:eastAsia="仿宋" w:cs="Times New Roman"/>
                <w:b/>
                <w:bCs/>
                <w:sz w:val="24"/>
                <w:szCs w:val="24"/>
                <w:lang w:val="zh-TW" w:eastAsia="zh-TW"/>
              </w:rPr>
              <w:t>进展情况</w:t>
            </w:r>
          </w:p>
          <w:p w14:paraId="0D02676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学位论文由临床研究和基础研究两部分组成。</w:t>
            </w:r>
          </w:p>
          <w:p w14:paraId="47994993">
            <w:pPr>
              <w:pStyle w:val="16"/>
              <w:framePr w:wrap="auto" w:vAnchor="margin" w:hAnchor="text" w:yAlign="inline"/>
              <w:spacing w:line="360" w:lineRule="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1.临床研究方案简介</w:t>
            </w:r>
          </w:p>
          <w:p w14:paraId="1C5221D9">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耐多药结核病（MDR-TB）治疗的发展方向是精简药物、全口服、提高疗效、缩短疗程。目前国际上有多个MDR-TB短程治疗的临床试验正在进行，其疗程多为6-12个月；国内这方面研究较少。此外，传统化学药物治疗存在局限性，促使研究者转向基于调节宿主免疫反应的辅助抗结核治疗，尤其是对于MDR-TB和准广泛耐药结核病（pre-XDR-TB）。本课题组基于我国的国民经济、药品供应、耐药基线、耐药结核病快速检测技术等，计划进行</w:t>
            </w:r>
            <w:r>
              <w:rPr>
                <w:rFonts w:hint="eastAsia" w:ascii="Times New Roman" w:hAnsi="Times New Roman" w:eastAsia="仿宋" w:cs="Times New Roman"/>
                <w:b w:val="0"/>
                <w:bCs w:val="0"/>
                <w:sz w:val="24"/>
                <w:szCs w:val="24"/>
                <w:lang w:val="en-US" w:eastAsia="zh-CN"/>
              </w:rPr>
              <w:t>如下</w:t>
            </w:r>
            <w:r>
              <w:rPr>
                <w:rFonts w:hint="default" w:ascii="Times New Roman" w:hAnsi="Times New Roman" w:eastAsia="仿宋" w:cs="Times New Roman"/>
                <w:b w:val="0"/>
                <w:bCs w:val="0"/>
                <w:sz w:val="24"/>
                <w:szCs w:val="24"/>
                <w:lang w:val="en-US" w:eastAsia="zh-CN"/>
              </w:rPr>
              <w:t>研究：（1）开展</w:t>
            </w:r>
            <w:r>
              <w:rPr>
                <w:rFonts w:hint="eastAsia" w:ascii="Times New Roman" w:hAnsi="Times New Roman" w:eastAsia="仿宋" w:cs="Times New Roman"/>
                <w:b w:val="0"/>
                <w:bCs w:val="0"/>
                <w:sz w:val="24"/>
                <w:szCs w:val="24"/>
                <w:lang w:val="en-US" w:eastAsia="zh-CN"/>
              </w:rPr>
              <w:t>一项</w:t>
            </w:r>
            <w:r>
              <w:rPr>
                <w:rFonts w:hint="default" w:ascii="Times New Roman" w:hAnsi="Times New Roman" w:eastAsia="仿宋" w:cs="Times New Roman"/>
                <w:b w:val="0"/>
                <w:bCs w:val="0"/>
                <w:sz w:val="24"/>
                <w:szCs w:val="24"/>
                <w:lang w:val="en-US" w:eastAsia="zh-CN"/>
              </w:rPr>
              <w:t>MDR-TB短程治疗的多中心</w:t>
            </w:r>
            <w:r>
              <w:rPr>
                <w:rFonts w:hint="eastAsia" w:ascii="Times New Roman" w:hAnsi="Times New Roman" w:eastAsia="仿宋" w:cs="Times New Roman"/>
                <w:b w:val="0"/>
                <w:bCs w:val="0"/>
                <w:sz w:val="24"/>
                <w:szCs w:val="24"/>
                <w:lang w:val="en-US" w:eastAsia="zh-CN"/>
              </w:rPr>
              <w:t>前瞻性队列研究（MDR-Chin研究）</w:t>
            </w:r>
            <w:r>
              <w:rPr>
                <w:rFonts w:hint="default" w:ascii="Times New Roman" w:hAnsi="Times New Roman" w:eastAsia="仿宋" w:cs="Times New Roman"/>
                <w:b w:val="0"/>
                <w:bCs w:val="0"/>
                <w:sz w:val="24"/>
                <w:szCs w:val="24"/>
                <w:lang w:val="en-US" w:eastAsia="zh-CN"/>
              </w:rPr>
              <w:t>，验证四个方案的有效性和安全性；（2）依据WHO最新指南并在快速分子药敏指导下，制定有效的、优化的耐多药治疗方案，优先使用全口服方案；（3）对准广泛耐药、无法负担贝达喹啉者加用宿主导向治疗，即柳氮磺吡啶，该治疗有一定的前期研究基础和较好的初步疗效。以此，探讨适合我国国情</w:t>
            </w:r>
            <w:r>
              <w:rPr>
                <w:rFonts w:hint="eastAsia" w:ascii="Times New Roman" w:hAnsi="Times New Roman" w:eastAsia="仿宋" w:cs="Times New Roman"/>
                <w:b w:val="0"/>
                <w:bCs w:val="0"/>
                <w:sz w:val="24"/>
                <w:szCs w:val="24"/>
                <w:lang w:val="en-US" w:eastAsia="zh-CN"/>
              </w:rPr>
              <w:t>和患者需求</w:t>
            </w:r>
            <w:r>
              <w:rPr>
                <w:rFonts w:hint="default" w:ascii="Times New Roman" w:hAnsi="Times New Roman" w:eastAsia="仿宋" w:cs="Times New Roman"/>
                <w:b w:val="0"/>
                <w:bCs w:val="0"/>
                <w:sz w:val="24"/>
                <w:szCs w:val="24"/>
                <w:lang w:val="en-US" w:eastAsia="zh-CN"/>
              </w:rPr>
              <w:t>的短程化疗方案。</w:t>
            </w:r>
          </w:p>
          <w:p w14:paraId="7355D94D">
            <w:pPr>
              <w:pStyle w:val="16"/>
              <w:framePr w:wrap="auto" w:vAnchor="margin" w:hAnchor="text" w:yAlign="inline"/>
              <w:spacing w:line="360" w:lineRule="auto"/>
              <w:ind w:firstLine="482"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bCs/>
                <w:sz w:val="24"/>
                <w:szCs w:val="24"/>
                <w:lang w:val="en-US" w:eastAsia="zh-CN"/>
              </w:rPr>
              <w:t>研究流程：</w:t>
            </w:r>
            <w:r>
              <w:rPr>
                <w:rFonts w:hint="default" w:ascii="Times New Roman" w:hAnsi="Times New Roman" w:eastAsia="仿宋" w:cs="Times New Roman"/>
                <w:b w:val="0"/>
                <w:bCs w:val="0"/>
                <w:sz w:val="24"/>
                <w:szCs w:val="24"/>
                <w:lang w:val="en-US" w:eastAsia="zh-CN"/>
              </w:rPr>
              <w:t>符合条件的参与者被告知了研究的风险和益处。在征得同意后，充分考虑治疗方案的可负担性（比如贝达喹啉的高昂药费、医保报销比例）和既往治疗依从性（比如氯法齐明皮肤变色的接受度）等因素后，MDR-TB患者自行选择治疗方案A或B，而pre-XDR-TB患者自行选择治疗方案C或D。参与者参加了基线筛查、头两个月的每双周访视、治疗结束前的每月访视以及治疗后 12 个月的每季度访视。筛查程序包括病史采集、体格检查、视力测试和临床评估，其中包括简单的周围神经病变筛查、焦虑和抑郁量表、采集呼吸道样本进行AFB涂片、Xpert MTB/RIF、分枝杆菌培养、gDST（基因型药敏检测）和pDST（表型药敏检测）、采集血液样本进行生化和血液学检测以及胸部 CT。在最初的六个月中，每两个月重复一次胸部CT，治疗后一年内每季度重复一次。这三个研究机构常规使用胸部CT而不是X光来评估肺部病变。入组时由独立的临床评估委员会决定是否需要开始抗结核治疗。入组后，那些基线分枝杆菌培养阴性或pDST显示对利福平敏感的患者需进一步排除、退组。</w:t>
            </w:r>
          </w:p>
          <w:p w14:paraId="63F2B50F">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每次随访都会对治疗效果和安全性进行评估。填写症状和安全性检查表，并进行临床检查，以确定与肺结核相关的症状和不良事件（AEs）。每次就诊时都要采集呼吸道分泌物样本（痰液或口水痰）进行AFB和培养检测。胸部CT图像由深圳市第三人民医院的两名独立专家采用标准化方法进行盲法审查。</w:t>
            </w:r>
          </w:p>
          <w:p w14:paraId="3622F53D">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中点审查委员会评估临床事件和第6个月的良好治疗反应（FR-6）。达到FR-6的标准（须同时符合所有三个条款）：第4个月的痰培养转阴，第6个月的充分用药（排除接受研究剂量不足90%者）和胸部CT图像稳定。如果达到FR-6，疗程为9个月，否则延长至12个月。到第八个月仍未转阴者，疗程将延长至18-20个月（转为长程治疗），并视为治疗失败。终点审查委员会对提示治疗失败、结核病复发或死亡等不良结局的临床事件进行审查。3级或4级临床和实验室AE根据DAIDS的AE分级表进行定义。</w:t>
            </w:r>
          </w:p>
          <w:p w14:paraId="7B8DD8F8">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通过每次就诊时发放的调查问卷对患者的依从性进行评估。此外，在整个研究过程中，参与者及其亲属还可通过微信（腾讯科技，中国深圳）获得教育咨询和心理支持。</w:t>
            </w:r>
          </w:p>
          <w:p w14:paraId="22253F19">
            <w:pPr>
              <w:pStyle w:val="16"/>
              <w:framePr w:wrap="auto" w:vAnchor="margin" w:hAnchor="text" w:yAlign="inline"/>
              <w:spacing w:line="360" w:lineRule="auto"/>
              <w:ind w:firstLine="482"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bCs/>
                <w:sz w:val="24"/>
                <w:szCs w:val="24"/>
                <w:lang w:val="en-US" w:eastAsia="zh-CN"/>
              </w:rPr>
              <w:t>分组和治疗流程：</w:t>
            </w:r>
            <w:r>
              <w:rPr>
                <w:rFonts w:hint="default" w:ascii="Times New Roman" w:hAnsi="Times New Roman" w:eastAsia="仿宋" w:cs="Times New Roman"/>
                <w:b w:val="0"/>
                <w:bCs w:val="0"/>
                <w:sz w:val="24"/>
                <w:szCs w:val="24"/>
                <w:lang w:val="en-US" w:eastAsia="zh-CN"/>
              </w:rPr>
              <w:t>根据Xpert、gDST和pDST（如有）结果，将患者分配到 MDR-TB 组或pre-XDR-TB组。MDR-TB患者接受治疗方案A或B，其中那些未参保患者、对药费有顾虑的患者以及能接受Cfz可能导致皮肤变色的患者，更可能接受治疗方案B。如果没有进行最初的gDST检测，而后来的pDST检测发现 FQ 耐药，患者就会从A/B方案转为C/D方案，之前的治疗时间将计入9个月的疗程。不愿意换组的患者将接受长疗程治疗，并被排除在研究之外。所有参与者最初都接受了 6 个月的治疗，然后由 FR-6 评估决定是否需要较短（9 个月）或更长（12 个月）的治疗。治疗完成后，对治疗成功病例进行为期 12 个月的随访，以监测结核病复发情况。</w:t>
            </w:r>
          </w:p>
          <w:p w14:paraId="603A7695">
            <w:pPr>
              <w:pStyle w:val="16"/>
              <w:framePr w:wrap="auto" w:vAnchor="margin" w:hAnchor="text" w:yAlign="inline"/>
              <w:spacing w:line="360" w:lineRule="auto"/>
              <w:rPr>
                <w:rFonts w:hint="default" w:ascii="Times New Roman" w:hAnsi="Times New Roman" w:eastAsia="仿宋" w:cs="Times New Roman"/>
                <w:b w:val="0"/>
                <w:bCs w:val="0"/>
                <w:sz w:val="24"/>
                <w:szCs w:val="24"/>
                <w:lang w:val="en-US" w:eastAsia="zh-CN"/>
              </w:rPr>
            </w:pPr>
          </w:p>
          <w:p w14:paraId="4017D862">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A组，对FQ敏感、含Bdq的短程方案，9个月 Bdq-Lzd-FQ-Cs-Z；</w:t>
            </w:r>
          </w:p>
          <w:p w14:paraId="4662F29E">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B组，对FQ敏感、不含Bdq的短程方案，9个月 Lzd-FQ-Cs-Cfz-Z；</w:t>
            </w:r>
          </w:p>
          <w:p w14:paraId="2286320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C组，对FQ耐药、含Bdq的短程方案，9个月 Bdq-Lzd-Cs-Cfz-Z；</w:t>
            </w:r>
          </w:p>
          <w:p w14:paraId="06D491D1">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D组，对FQ耐药、不含Bdq的短程方案，12个月 Lzd-Cs-Cfz-Z-SASP（后期改为9个月）。</w:t>
            </w:r>
          </w:p>
          <w:p w14:paraId="3B413021">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缩写说明：</w:t>
            </w:r>
            <w:r>
              <w:rPr>
                <w:rFonts w:hint="default" w:ascii="Times New Roman" w:hAnsi="Times New Roman" w:eastAsia="仿宋" w:cs="Times New Roman"/>
                <w:sz w:val="24"/>
                <w:szCs w:val="24"/>
                <w:lang w:val="en-US" w:eastAsia="zh-CN"/>
              </w:rPr>
              <w:t>FQ-氟喹诺酮类，Lfx-左氧氟沙星，Mfx-莫西沙星，Bdq-贝达喹啉，Lzd-利奈唑胺，Cfz-氯法齐明，Cs-环丝氨酸，Z-吡嗪酰胺，SASP-柳氮磺吡啶。</w:t>
            </w:r>
          </w:p>
          <w:p w14:paraId="4F6F2246">
            <w:pPr>
              <w:pStyle w:val="16"/>
              <w:framePr w:wrap="auto" w:vAnchor="margin" w:hAnchor="text" w:yAlign="inline"/>
              <w:spacing w:line="360" w:lineRule="auto"/>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bCs/>
                <w:sz w:val="24"/>
                <w:szCs w:val="24"/>
                <w:lang w:val="en-US" w:eastAsia="zh-CN"/>
              </w:rPr>
              <w:t>药物剂量：</w:t>
            </w:r>
            <w:r>
              <w:rPr>
                <w:rFonts w:hint="default" w:ascii="Times New Roman" w:hAnsi="Times New Roman" w:eastAsia="仿宋" w:cs="Times New Roman"/>
                <w:b w:val="0"/>
                <w:bCs w:val="0"/>
                <w:sz w:val="24"/>
                <w:szCs w:val="24"/>
                <w:lang w:val="en-US" w:eastAsia="zh-CN"/>
              </w:rPr>
              <w:t>Bdq开始时每天400毫克，持续两周，然后减至200毫克，每周三次；Lzd每天600毫克；Mfx每天400毫克；Cs根据患者体重，每天两次，每次500毫克或750毫克；Cfz每天100毫克；Pza每天1500毫克。如果Lzd引发3级或4级AE，则根据需要将剂量减至300毫克或完全停药。所有药物均全程使用，不会提前终止。</w:t>
            </w:r>
          </w:p>
          <w:p w14:paraId="03CF1FF3">
            <w:pPr>
              <w:pStyle w:val="16"/>
              <w:framePr w:wrap="auto" w:vAnchor="margin" w:hAnchor="text" w:yAlign="inline"/>
              <w:spacing w:line="360" w:lineRule="auto"/>
              <w:rPr>
                <w:rFonts w:hint="default" w:ascii="Times New Roman" w:hAnsi="Times New Roman" w:eastAsia="仿宋" w:cs="Times New Roman"/>
                <w:b w:val="0"/>
                <w:bCs w:val="0"/>
                <w:sz w:val="24"/>
                <w:szCs w:val="24"/>
                <w:lang w:val="en-US" w:eastAsia="zh-CN"/>
              </w:rPr>
            </w:pPr>
          </w:p>
          <w:p w14:paraId="5AD3D44E">
            <w:pPr>
              <w:pStyle w:val="16"/>
              <w:framePr w:wrap="auto" w:vAnchor="margin" w:hAnchor="text" w:yAlign="inline"/>
              <w:spacing w:line="360" w:lineRule="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2.临床研究实施情况</w:t>
            </w:r>
          </w:p>
          <w:p w14:paraId="14BD9674">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在深圳市第三人民医院、佛山市第四人民医院和东莞市第六人民医院等三个研究点纳入患者。初筛患者总数194人，排除73人，入组121人（图1）；目前入组患者均已完成治疗期随访和停药后1年随访。已发表关于培养转阴率等早期疗效指标的SCI论文一篇</w:t>
            </w:r>
            <w:r>
              <w:rPr>
                <w:rFonts w:hint="default" w:ascii="Times New Roman" w:hAnsi="Times New Roman" w:eastAsia="仿宋" w:cs="Times New Roman"/>
                <w:sz w:val="24"/>
                <w:szCs w:val="24"/>
                <w:vertAlign w:val="superscript"/>
                <w:lang w:val="en-US" w:eastAsia="zh-CN"/>
              </w:rPr>
              <w:t>[1]</w:t>
            </w:r>
            <w:r>
              <w:rPr>
                <w:rFonts w:hint="default" w:ascii="Times New Roman" w:hAnsi="Times New Roman" w:eastAsia="仿宋" w:cs="Times New Roman"/>
                <w:sz w:val="24"/>
                <w:szCs w:val="24"/>
                <w:lang w:val="en-US" w:eastAsia="zh-CN"/>
              </w:rPr>
              <w:t>。长期疗效（停药后1年）相关数据已整理完毕，论文已投稿International Journal of Infectious Diseases，正在第四次修回状态（截至2023-7-21），预计2023年8月能发表。</w:t>
            </w:r>
          </w:p>
          <w:p w14:paraId="1A2C7C5C">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其中，含柳氮磺吡啶的治疗方案是治疗方案D，可分析受试者数量为17人（已完成停药后1年随访）。已经将针对pre-XDR-TB的治疗方案C和D的有效性、安全性进行对比分析，撰写了SCI论文：评估柳氮磺吡啶辅助疗法对pre-XDR-TB的作用：疗效、安全性及对优化治疗的启示（Evaluation of Adjunctive Sulfasalazine Therapy in Pulmonary Pre-XDR-TB: Efficacy, Safety, and Implications for Treatment Optimization）。截至2023-07-24，正准备投稿。</w:t>
            </w:r>
          </w:p>
          <w:p w14:paraId="28099EED">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drawing>
                <wp:inline distT="0" distB="0" distL="114300" distR="114300">
                  <wp:extent cx="5278120" cy="3286125"/>
                  <wp:effectExtent l="0" t="0" r="0" b="0"/>
                  <wp:docPr id="2" name="图片 2" descr="患者纳入流程图(2023-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患者纳入流程图(2023-07-24)"/>
                          <pic:cNvPicPr>
                            <a:picLocks noChangeAspect="1"/>
                          </pic:cNvPicPr>
                        </pic:nvPicPr>
                        <pic:blipFill>
                          <a:blip r:embed="rId15"/>
                          <a:stretch>
                            <a:fillRect/>
                          </a:stretch>
                        </pic:blipFill>
                        <pic:spPr>
                          <a:xfrm>
                            <a:off x="0" y="0"/>
                            <a:ext cx="5278120" cy="3286125"/>
                          </a:xfrm>
                          <a:prstGeom prst="rect">
                            <a:avLst/>
                          </a:prstGeom>
                        </pic:spPr>
                      </pic:pic>
                    </a:graphicData>
                  </a:graphic>
                </wp:inline>
              </w:drawing>
            </w:r>
          </w:p>
          <w:p w14:paraId="32C662E9">
            <w:pPr>
              <w:pStyle w:val="16"/>
              <w:framePr w:wrap="auto" w:vAnchor="margin" w:hAnchor="text" w:yAlign="inline"/>
              <w:spacing w:line="360" w:lineRule="auto"/>
              <w:jc w:val="center"/>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图1</w:t>
            </w:r>
            <w:r>
              <w:rPr>
                <w:rFonts w:hint="default" w:ascii="Times New Roman" w:hAnsi="Times New Roman" w:eastAsia="仿宋" w:cs="Times New Roman"/>
                <w:sz w:val="24"/>
                <w:szCs w:val="24"/>
                <w:lang w:val="en-US" w:eastAsia="zh-CN"/>
              </w:rPr>
              <w:t xml:space="preserve"> MDR-Chin研究流程（含柳氮磺吡啶研究臂）</w:t>
            </w:r>
          </w:p>
          <w:p w14:paraId="702FDA98">
            <w:pPr>
              <w:pStyle w:val="16"/>
              <w:framePr w:wrap="auto" w:vAnchor="margin" w:hAnchor="text" w:yAlign="inline"/>
              <w:spacing w:line="360" w:lineRule="auto"/>
              <w:jc w:val="center"/>
              <w:rPr>
                <w:rFonts w:hint="default" w:ascii="Times New Roman" w:hAnsi="Times New Roman" w:eastAsia="仿宋" w:cs="Times New Roman"/>
                <w:sz w:val="24"/>
                <w:szCs w:val="24"/>
                <w:lang w:val="en-US" w:eastAsia="zh-CN"/>
              </w:rPr>
            </w:pPr>
          </w:p>
          <w:p w14:paraId="03B744B9">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3.临床研究方案的版本变化</w:t>
            </w:r>
          </w:p>
          <w:p w14:paraId="23C02404">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val="0"/>
                <w:bCs w:val="0"/>
                <w:sz w:val="24"/>
                <w:szCs w:val="24"/>
                <w:lang w:val="en-US" w:eastAsia="zh-CN"/>
              </w:rPr>
              <w:t>目前</w:t>
            </w:r>
            <w:r>
              <w:rPr>
                <w:rFonts w:hint="default" w:ascii="Times New Roman" w:hAnsi="Times New Roman" w:eastAsia="仿宋" w:cs="Times New Roman"/>
                <w:sz w:val="24"/>
                <w:szCs w:val="24"/>
                <w:lang w:val="en-US" w:eastAsia="zh-CN"/>
              </w:rPr>
              <w:t>博士论文题目为“柳氮磺吡啶治疗耐多药肺结核的临床研究”。该研究从2020年5月10日开始，相关临床研究题目为“中国耐多药结核病全口服短程抗结核方案和宿主导向治疗的临床试验”（注册号：ChiCTR2000032298；注册时间：2020-04-25。研究方案版本号：1.1；时间：2020-05-23。知情同意书版本号：1.0。伦理批件号：2020-019；伦理批件时间：2020-05-23）。后获得2020年佛山市第四人民医院“登峰计划”高水平医院建设开放课题资助（项目编号：FSSYKF-2020001；资助金额：100万）。因研究环境变化（细胞治疗等的实施受新冠疫情阻碍较大，遂停止了细胞治疗的研究臂），相应的研究方案版本修正为V1.2，同时项目名称修改为“中国耐多药肺结核全口服短程抗结核方案多中心临床研究”（伦理批件号：2020-019-03；时间：2022-05-23）。</w:t>
            </w:r>
          </w:p>
          <w:p w14:paraId="625001D3">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p>
          <w:p w14:paraId="215B004D">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4.相关基础研究简介和实施情况</w:t>
            </w:r>
          </w:p>
          <w:p w14:paraId="4849F767">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与柳氮磺吡啶治疗相关的基础研究，获得了2020年国自然资助，题目为“宿主SNP对柳氮磺胺吡啶调控巨噬细胞结核免疫效果的影响及其机制研究”，本人为第二负责人。项目批准号：82070016，资助金额：55万元。</w:t>
            </w:r>
          </w:p>
          <w:p w14:paraId="0A991776">
            <w:pPr>
              <w:pStyle w:val="16"/>
              <w:framePr w:wrap="auto" w:vAnchor="margin" w:hAnchor="text" w:yAlign="inline"/>
              <w:spacing w:line="360" w:lineRule="auto"/>
              <w:ind w:firstLine="482"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研究摘要：</w:t>
            </w:r>
            <w:r>
              <w:rPr>
                <w:rFonts w:hint="default" w:ascii="Times New Roman" w:hAnsi="Times New Roman" w:eastAsia="仿宋" w:cs="Times New Roman"/>
                <w:sz w:val="24"/>
                <w:szCs w:val="24"/>
                <w:lang w:val="en-US" w:eastAsia="zh-CN"/>
              </w:rPr>
              <w:t>xCT是维持细胞内外谷胱甘肽平衡的胱氨酸/谷氨酸转运系统（Xc-系统）的关键基因，在抗结核免疫中发挥重要作用。我们首次发现，柳氮磺胺吡啶（SASP）抑制xCT表达显著增强巨噬细胞对结核菌的清除能力，但SASP的药物应答反应个体差异显著，其作用效果可能受xCT基因表达水平影响。进一步研究发现，xCT基因表达受宿主的遗传背景调控，具有基因型特异性。基于此，我们提出假设：宿主功能性SNP通过调控xCT基因表达水平，影响SASP调控巨噬细胞结核免疫效果，从而介导宿主结核菌的易感性。本项目拟在大样本病例-对照研究明确xCT基因多态性与结核病易感性的基础上进行单细胞RNA-seq数据的e-QTL分析，采用荧光结核菌系统、基因改造小鼠等技术验证xCT高表达和低表达对于SASP效果的影响，深入阐明xCT基因SNP调控基因表达的表观遗传和其他分子机制，为结核病靶向xCT宿主基因型特异性治疗提供科学依据。</w:t>
            </w:r>
          </w:p>
          <w:p w14:paraId="42CD558C">
            <w:pPr>
              <w:pStyle w:val="16"/>
              <w:framePr w:wrap="auto" w:vAnchor="margin" w:hAnchor="text" w:yAlign="inline"/>
              <w:spacing w:line="360" w:lineRule="auto"/>
              <w:ind w:firstLine="482"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研究内容：</w:t>
            </w:r>
            <w:r>
              <w:rPr>
                <w:rFonts w:hint="default" w:ascii="Times New Roman" w:hAnsi="Times New Roman" w:eastAsia="仿宋" w:cs="Times New Roman"/>
                <w:sz w:val="24"/>
                <w:szCs w:val="24"/>
                <w:lang w:val="en-US" w:eastAsia="zh-CN"/>
              </w:rPr>
              <w:t>1.xCT基因SNP的分型及功能性SNP的鉴定。2.SASP作为潜在HDT药物应答受xCT基因表达水平的影响。3.xCT基因SNP调控xCT表达及其在结核病中发生中的作用。4.xCT基因功能性SNP调控宿主结核菌易感的分子机制。</w:t>
            </w:r>
          </w:p>
          <w:p w14:paraId="3DE2C141">
            <w:pPr>
              <w:pStyle w:val="16"/>
              <w:framePr w:wrap="auto" w:vAnchor="margin" w:hAnchor="text" w:yAlign="inline"/>
              <w:spacing w:line="360" w:lineRule="auto"/>
              <w:ind w:firstLine="482"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bCs/>
                <w:sz w:val="24"/>
                <w:szCs w:val="24"/>
                <w:lang w:val="en-US" w:eastAsia="zh-CN"/>
              </w:rPr>
              <w:t>研究进展：</w:t>
            </w:r>
          </w:p>
          <w:p w14:paraId="4EA1A7D4">
            <w:pPr>
              <w:pStyle w:val="16"/>
              <w:framePr w:wrap="auto" w:vAnchor="margin" w:hAnchor="text" w:yAlign="inline"/>
              <w:spacing w:line="360" w:lineRule="auto"/>
              <w:ind w:firstLine="482" w:firstLineChars="200"/>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1．xCT基因SNP的分型及功能性SNP的鉴定。</w:t>
            </w:r>
          </w:p>
          <w:p w14:paraId="589C2040">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xCT基因多态性与结核病易感性有关。在一个结核病队列中，纳入914例活动性结核病病例，936例对照组。使用MassARRAY平台，筛选出4个SNPs（在上述两组之间流行率存在显著差异）。1）在这些SNPs中，rs4131888和rs11764488位于xCT基因的已知内含子区，而rs7674870和rs13120371则位于3’非翻译区(UTR)。rs13120371与其他三个SNPs之间不存在连锁不平衡，因此重点研究了它的基因型水平。2）用加性模型确定：与TT基因型的人相比，rs13120371AA基因型的人表现出更高的结核病易感性；表明A等位基因与结核病风险的增加有关。3）另外，与对照组相比，活动性肺结核组中男性等位基因A的频率明显增加，但女性受试者的等位基因A的频率并没有增加。</w:t>
            </w:r>
          </w:p>
          <w:p w14:paraId="4813BA89">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SNPrs13120371A与疾病严重程度增加有关。rs13120371多态性可能会影响对结核杆菌的炎症反应。在结核病队列中，检测不同rs13120371基因型患者的外周血单核细胞（PBMCs）产生的IFN-γ。1）发现携带rs13120371AA基因型的患者的结核杆菌抗原特异性IFN-γ斑点形成细胞（SFCs）数量明显高于携带GG基因型的患者。2）AA基因型患者的红细胞沉降率水平高于GG基因型患者。3）携带rs13120371AA基因型的患者的HRCT评分明显高于携带rs13120371GG基因型的患者。4）这种差异在抗结核治疗结束2年后依然明显，携带rs13120371AA基因型的患者的HRCT评分仍明显高于携带rs13120371GG基因型的患者。另外，其他三个SNPs并没有观察到上述差异。</w:t>
            </w:r>
          </w:p>
          <w:p w14:paraId="2476F4F3">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3）SNPrs13120371影响xCT基因的表达。SNPrs13120371位于xCT基因的3=UTR，这表明它可能会影响结核杆菌感染时的基因表达。在一个结核病队列中，从不同rs13120371基因型的健康对照者中分离出PBMCs，并评估了这些细胞在受热杀灭的结核杆菌刺激后的xCTmRNA表达水平。1）从携带rs13120371AA基因型的个体分离出来的PBMC中，xCTmRNA的表达水平明显高于携带GG基因型的个体。2）从携带rs13120371AA基因型的肺结核患者分离出来的PBMCs中，xCT蛋白表达水平明显高于携带GG基因型的患者。3）然而，不同基因型的CXCL1、CXCL2或IL1BmRNA表达水平没有明显差异。</w:t>
            </w:r>
          </w:p>
          <w:p w14:paraId="603680E9">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4）xCT基因的表达受到miR-142-3p的抑制。使用TargetScan在线软件，预测miR-142-3p的靶标基因是xCT基因。1）为了证实miR-142-3p是否调控xCT的表达，我们在293T细胞中转染了miR-143-3p模拟物、miR-143-3p抑制剂或对照寡核苷酸，并研究了它们对xCT表达的影响。与对照组相比，miR-143-3p过表达会显著降低xCT的表达，而抑制miR-143-3p则会显著增加xCTmRNA的表达。因此，xCT基因被证实是miR-143-3p的靶基因。2）为了确定miR-143-3p是否也参与了结核病的免疫调节，我们在体外用H37Ra株结核杆菌感染了分化的Thp-1巨噬细胞。感染结核杆菌后，miR-143-3p的表达水平降低，而xCTmRNA的表达水平升高，且呈时间依赖性。3）为了验证这些结果，我们测量了从健康对照组、活动性肺结核患者和已治愈的肺结核患者中分离出来的PBMCs中miR-142-3p的表达。与健康对照组相比，活动性肺结核患者中miR-142-3p的表达显著下调，但这种下调在成功抗结核治疗后得到逆转。xCT基因的表达呈现出相反的模式。4）使用miRNASNP2.0软件预测，SNPrs13120371位于xCT基因3=UTR中miR-142-3p的假定结合位点。另外，G等位基因与预测的miR-142-3p种子区域相匹配，具有增益效应，表明G等位基因导致miR-142-3p的亲和力增加。为了确定rs13120371是否影响miR-143-3p的结合活性，我们进行了荧光素酶报告实验，构建了两种不同的报告载体，分别含有xCT基因3=UTR的AA或GG基因型，以及xCT基因3=UTR的G等位基因。将它们与miR-143-3pmimics或对照质粒一起转染到293T细胞中。发现转染pMIR-3=-UTR-G后，荧光素酶活性明显降低。这些数据表明，SNPrs13120371可能会影响miR-142-3p与xCT基因3=UTR的结合。</w:t>
            </w:r>
          </w:p>
          <w:p w14:paraId="5D5E8FDD">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b w:val="0"/>
                <w:bCs w:val="0"/>
                <w:sz w:val="24"/>
                <w:szCs w:val="24"/>
                <w:lang w:val="en-US" w:eastAsia="zh-CN"/>
              </w:rPr>
              <w:t>总之，我们</w:t>
            </w:r>
            <w:r>
              <w:rPr>
                <w:rFonts w:hint="default" w:ascii="Times New Roman" w:hAnsi="Times New Roman" w:eastAsia="仿宋" w:cs="Times New Roman"/>
                <w:sz w:val="24"/>
                <w:szCs w:val="24"/>
                <w:lang w:val="en-US" w:eastAsia="zh-CN"/>
              </w:rPr>
              <w:t>对一个大型中国队列中的xCT多态性进行了基因分型。发现单核苷酸多态性（SNP）rs13120371（一个功能性SNP）与结核病易感性相关。rs13120371位于xCT基因的3=非翻译(UTR)区域，位于miR-142-3p的假定结合位点。荧光素酶报告实验的结果表明，rs13120371AA基因型抑制了miR-142-3p与xCT的结合。AA基因型细胞的细菌负荷也明显高于GG基因型细胞。</w:t>
            </w:r>
          </w:p>
          <w:p w14:paraId="2B93F79B">
            <w:pPr>
              <w:pStyle w:val="16"/>
              <w:framePr w:wrap="auto" w:vAnchor="margin" w:hAnchor="text" w:yAlign="inline"/>
              <w:spacing w:line="360" w:lineRule="auto"/>
              <w:ind w:firstLine="482" w:firstLineChars="200"/>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2.SASP作为潜在HDT药物应答受xCT基因表达水平的影响。</w:t>
            </w:r>
          </w:p>
          <w:p w14:paraId="1BE39FAF">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使用SASP治疗可减轻AArs13120371多态性患者的细菌负担。为了研究rs13120371多态性是否会影响结核杆菌的清除，我们用结核杆菌H37Ra以10倍感染率（MOI），感染了从不同基因型个体中分离出来的单核细胞源巨噬细胞（MDMs）。1）AA基因型患者细胞的细菌负荷明显高于GG基因型患者。2）当用SASP（200µM）预处理MDM时，AA基因型组细胞的细菌负荷明显低于未处理的AA基因型细胞。然而，用SASP处理对AG或GG组细胞没有明显影响。</w:t>
            </w:r>
          </w:p>
          <w:p w14:paraId="4A0D5312">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总之，用SASP进行预处理可减轻AA基因型细胞的细菌负担，但对GG基因型细胞没有任何益处。</w:t>
            </w:r>
          </w:p>
          <w:p w14:paraId="7874F5AC">
            <w:pPr>
              <w:pStyle w:val="16"/>
              <w:framePr w:wrap="auto" w:vAnchor="margin" w:hAnchor="text" w:yAlign="inline"/>
              <w:spacing w:line="360" w:lineRule="auto"/>
              <w:ind w:firstLine="482" w:firstLineChars="200"/>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3.xCT基因SNP调控xCT表达及其在结核病中发生中的作用。</w:t>
            </w:r>
          </w:p>
          <w:p w14:paraId="5A561581">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结核分枝杆菌（M.tb）感染的主要宿主细胞是巨噬细胞。巨噬细胞炎症反应的程度对决定感染的结果至关重要。我们发现，在M.tb感染后仍然存活的人类MDM中，前列腺素E2（PGE2）的关键生物合成酶，即环氧合酶-2（COX-2）和微粒体前列腺素E合成酶-1（mPGES-1）的表达显著增加。</w:t>
            </w:r>
          </w:p>
          <w:p w14:paraId="6CA1D257">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SASP属于改变病情抗风湿药（DMARDs），长期以来一直具有免疫抑制和抗炎作用。其作用模式尚不清楚，但有一种建议的机制是抑制PG的形成（过多的PGE2与严重的炎症和持续的组织损伤有关；PGE2同时具有促炎和抗炎作用，这取决于局部感染部位的浓度和时间），这也是SASP在结肠中被肠道细菌裂解为磺胺吡啶和5-氨基水杨酸而产生局部抗炎作用的原因。此外，没有证据表明SASP能直接影响巨噬细胞中M.tb的存活率。</w:t>
            </w:r>
          </w:p>
          <w:p w14:paraId="1A2C528C">
            <w:pPr>
              <w:pStyle w:val="16"/>
              <w:framePr w:wrap="auto" w:vAnchor="margin" w:hAnchor="text" w:yAlign="inline"/>
              <w:spacing w:line="360" w:lineRule="auto"/>
              <w:ind w:firstLine="480" w:firstLineChars="200"/>
              <w:rPr>
                <w:rFonts w:hint="default" w:ascii="Times New Roman" w:hAnsi="Times New Roman" w:eastAsia="仿宋" w:cs="Times New Roman"/>
                <w:b w:val="0"/>
                <w:bCs w:val="0"/>
                <w:sz w:val="24"/>
                <w:szCs w:val="24"/>
                <w:lang w:val="en-US" w:eastAsia="zh-CN"/>
              </w:rPr>
            </w:pPr>
            <w:r>
              <w:rPr>
                <w:rFonts w:hint="default" w:ascii="Times New Roman" w:hAnsi="Times New Roman" w:eastAsia="仿宋" w:cs="Times New Roman"/>
                <w:b w:val="0"/>
                <w:bCs w:val="0"/>
                <w:sz w:val="24"/>
                <w:szCs w:val="24"/>
                <w:lang w:val="en-US" w:eastAsia="zh-CN"/>
              </w:rPr>
              <w:t>SASP能显著减轻小鼠的M.tb杀菌负担和组织病理炎症。那么，人类炎症巨噬细胞中的哪些基因会在感染M.tb后受到影响，以及潜在的变化会如何影响巨噬细胞的功能状态？</w:t>
            </w:r>
          </w:p>
          <w:p w14:paraId="0815D0B3">
            <w:pPr>
              <w:pStyle w:val="16"/>
              <w:framePr w:wrap="auto" w:vAnchor="margin" w:hAnchor="text" w:yAlign="inline"/>
              <w:spacing w:line="360" w:lineRule="auto"/>
              <w:ind w:firstLine="480" w:firstLineChars="200"/>
              <w:rPr>
                <w:rFonts w:hint="default" w:ascii="Times New Roman" w:hAnsi="Times New Roman" w:eastAsia="仿宋" w:cs="Times New Roman"/>
              </w:rPr>
            </w:pPr>
            <w:r>
              <w:rPr>
                <w:rFonts w:hint="default" w:ascii="Times New Roman" w:hAnsi="Times New Roman" w:eastAsia="仿宋" w:cs="Times New Roman"/>
                <w:b w:val="0"/>
                <w:bCs w:val="0"/>
                <w:sz w:val="24"/>
                <w:szCs w:val="24"/>
                <w:lang w:val="en-US" w:eastAsia="zh-CN"/>
              </w:rPr>
              <w:t>我们使用流式细胞仪分选系统，区分人单核细胞衍生巨噬细胞（MDM）中携带的M.tb的死态和活态。1）发现在感染了活体M.tb的标记RFP+MDM中，环氧化酶-2和微粒体前列腺素E2合成酶（mPGES）-1的表达明显增加。2）将极化的M1-MDM暴露于M.tb（H37Rv株）调节培养基（MTB-CM）或M.tb衍生的19-kD抗原后，PGE2和促炎细胞因子的产生量增加了3-4倍。3）用SASP处理M1-MDM后，MTB-CM诱导的COX-2表达以及COX产物和细胞因子的释放均有所减少。4）MTB-CM刺激和SASP调节M1-MDM时PGE2的升高与NF-kB通路的激活有关。总之，M.tb感染人类巨噬细胞会强烈诱导COX-2和mPGES-1的表达，同时形成大量的PGE2，而抗炎药物SASP可抑制PGE的形成（</w:t>
            </w:r>
            <w:r>
              <w:rPr>
                <w:rFonts w:hint="default" w:ascii="Times New Roman" w:hAnsi="Times New Roman" w:eastAsia="仿宋" w:cs="Times New Roman"/>
                <w:sz w:val="24"/>
                <w:szCs w:val="24"/>
                <w:lang w:eastAsia="zh-CN"/>
              </w:rPr>
              <w:t>SASP抑制结核分枝杆菌诱导的人巨噬细胞COX-2/mPGES-1通路上调</w:t>
            </w:r>
            <w:r>
              <w:rPr>
                <w:rFonts w:hint="default" w:ascii="Times New Roman" w:hAnsi="Times New Roman" w:eastAsia="仿宋" w:cs="Times New Roman"/>
                <w:b w:val="0"/>
                <w:bCs w:val="0"/>
                <w:sz w:val="24"/>
                <w:szCs w:val="24"/>
                <w:lang w:val="en-US" w:eastAsia="zh-CN"/>
              </w:rPr>
              <w:t>）。</w:t>
            </w:r>
          </w:p>
        </w:tc>
      </w:tr>
      <w:tr w14:paraId="27329AF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609" w:hRule="atLeast"/>
          <w:jc w:val="center"/>
        </w:trPr>
        <w:tc>
          <w:tcPr>
            <w:tcW w:w="8501" w:type="dxa"/>
            <w:gridSpan w:val="4"/>
            <w:tcBorders>
              <w:top w:val="single" w:color="000000" w:sz="4"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6D252B40">
            <w:pPr>
              <w:pStyle w:val="16"/>
              <w:framePr w:wrap="auto" w:vAnchor="margin" w:hAnchor="text" w:yAlign="inline"/>
              <w:spacing w:line="360" w:lineRule="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lang w:val="zh-TW" w:eastAsia="zh-TW"/>
              </w:rPr>
              <w:t>二、课题研究内容变动情况</w:t>
            </w:r>
          </w:p>
          <w:p w14:paraId="5DD68B1D">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于2018-08-20在北京胸科医院首次成功开题，题目为“同种异体γδT细胞治疗耐多药肺结核的临床研究”（Clinical Study on Adoptive Treatment of MDR-TB With Allogeneic γδT Cells。临床试验注册号：NCT03575299。注册时间：2018-07-02）。同时，该研究取得2018年深圳市卫生系统临床研究项目资助（项目编号：SZLY2018017；资助金额：30万元；本人为课题第二负责人）。伦理批件号：深圳市第三人民医院伦理委员会，2018-001；审批日期：2018年02月06日。</w:t>
            </w:r>
          </w:p>
          <w:p w14:paraId="64EA0626">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该研究在深圳市第三人民医院单中心开展，在2018年7月至2019年12月之间，招募耐多药肺结核患者，包括14名实验组患者和45名对照组患者。（1）实验组患者入组后在服用抗结核药物的同时，每半个月回输一次γδT细胞，共回输12次，随访6个月。实验组中8位患者完成了细胞治疗和随访整个疗程，6位患者未完成细胞治疗但也完成了随访。（2）对照组中全部患者完成了抗结核治疗和随访。已发表SCI文章一篇</w:t>
            </w:r>
            <w:r>
              <w:rPr>
                <w:rFonts w:hint="default" w:ascii="Times New Roman" w:hAnsi="Times New Roman" w:eastAsia="仿宋" w:cs="Times New Roman"/>
                <w:sz w:val="24"/>
                <w:szCs w:val="24"/>
                <w:vertAlign w:val="superscript"/>
                <w:lang w:val="en-US" w:eastAsia="zh-CN"/>
              </w:rPr>
              <w:t>[2]</w:t>
            </w:r>
            <w:r>
              <w:rPr>
                <w:rFonts w:hint="default" w:ascii="Times New Roman" w:hAnsi="Times New Roman" w:eastAsia="仿宋" w:cs="Times New Roman"/>
                <w:sz w:val="24"/>
                <w:szCs w:val="24"/>
                <w:lang w:val="en-US" w:eastAsia="zh-CN"/>
              </w:rPr>
              <w:t>，综述一篇</w:t>
            </w:r>
            <w:r>
              <w:rPr>
                <w:rFonts w:hint="default" w:ascii="Times New Roman" w:hAnsi="Times New Roman" w:eastAsia="仿宋" w:cs="Times New Roman"/>
                <w:sz w:val="24"/>
                <w:szCs w:val="24"/>
                <w:vertAlign w:val="superscript"/>
                <w:lang w:val="en-US" w:eastAsia="zh-CN"/>
              </w:rPr>
              <w:t>[3]</w:t>
            </w:r>
            <w:r>
              <w:rPr>
                <w:rFonts w:hint="default" w:ascii="Times New Roman" w:hAnsi="Times New Roman" w:eastAsia="仿宋" w:cs="Times New Roman"/>
                <w:sz w:val="24"/>
                <w:szCs w:val="24"/>
                <w:lang w:val="en-US" w:eastAsia="zh-CN"/>
              </w:rPr>
              <w:t>。</w:t>
            </w:r>
          </w:p>
          <w:p w14:paraId="034C03CE">
            <w:pPr>
              <w:pStyle w:val="16"/>
              <w:framePr w:wrap="auto" w:vAnchor="margin" w:hAnchor="text" w:yAlign="inline"/>
              <w:spacing w:line="360" w:lineRule="auto"/>
              <w:ind w:firstLine="480" w:firstLineChars="200"/>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该研究由深圳市第三人民医院和暨南大学合作完成，发表文章时由于存在利益冲突，通讯作者未能署名唐神结老师，本人为共同一作，不符合博士毕业要求。因此，需要更改博士论文选题。于2020年4月25日开展“中国耐多药结核病全口服短程抗结核方案和宿主导向治疗的临床试验”，</w:t>
            </w:r>
            <w:r>
              <w:rPr>
                <w:rFonts w:hint="eastAsia" w:ascii="Times New Roman" w:hAnsi="Times New Roman" w:eastAsia="仿宋" w:cs="Times New Roman"/>
                <w:sz w:val="24"/>
                <w:szCs w:val="24"/>
                <w:lang w:val="en-US" w:eastAsia="zh-CN"/>
              </w:rPr>
              <w:t>这是一个前瞻性队列研究，</w:t>
            </w:r>
            <w:r>
              <w:rPr>
                <w:rFonts w:hint="default" w:ascii="Times New Roman" w:hAnsi="Times New Roman" w:eastAsia="仿宋" w:cs="Times New Roman"/>
                <w:sz w:val="24"/>
                <w:szCs w:val="24"/>
                <w:lang w:val="en-US" w:eastAsia="zh-CN"/>
              </w:rPr>
              <w:t>其中一个研究臂使用了柳氮磺吡啶；于2023年7月提出申请更改博士论文题目为“柳氮磺吡啶治疗耐多药肺结核的临床研究”。</w:t>
            </w:r>
          </w:p>
          <w:p w14:paraId="26D0240C">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tc>
      </w:tr>
      <w:tr w14:paraId="03BEAF5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774" w:hRule="atLeast"/>
          <w:jc w:val="center"/>
        </w:trPr>
        <w:tc>
          <w:tcPr>
            <w:tcW w:w="8501" w:type="dxa"/>
            <w:gridSpan w:val="4"/>
            <w:tcBorders>
              <w:top w:val="single" w:color="000000" w:sz="4"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51497F9C">
            <w:pPr>
              <w:pStyle w:val="16"/>
              <w:framePr w:wrap="auto" w:vAnchor="margin" w:hAnchor="text" w:yAlign="inline"/>
              <w:spacing w:line="360" w:lineRule="auto"/>
              <w:rPr>
                <w:rFonts w:hint="default" w:ascii="Times New Roman" w:hAnsi="Times New Roman" w:eastAsia="仿宋" w:cs="Times New Roman"/>
                <w:b/>
                <w:bCs/>
                <w:sz w:val="32"/>
                <w:szCs w:val="24"/>
              </w:rPr>
            </w:pPr>
            <w:r>
              <w:rPr>
                <w:rFonts w:hint="default" w:ascii="Times New Roman" w:hAnsi="Times New Roman" w:eastAsia="仿宋" w:cs="Times New Roman"/>
                <w:b/>
                <w:bCs/>
                <w:sz w:val="24"/>
                <w:lang w:val="zh-TW" w:eastAsia="zh-TW"/>
              </w:rPr>
              <w:t>三、阶段性成果</w:t>
            </w:r>
          </w:p>
          <w:p w14:paraId="6517F19A">
            <w:pPr>
              <w:pStyle w:val="16"/>
              <w:framePr w:wrap="auto" w:vAnchor="margin" w:hAnchor="text" w:yAlign="inline"/>
              <w:spacing w:line="360" w:lineRule="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论文发表：</w:t>
            </w:r>
          </w:p>
          <w:p w14:paraId="399EE54D">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val="en-US" w:eastAsia="zh-CN"/>
              </w:rPr>
              <w:tab/>
            </w:r>
            <w:r>
              <w:rPr>
                <w:rFonts w:hint="default" w:ascii="Times New Roman" w:hAnsi="Times New Roman" w:eastAsia="仿宋" w:cs="Times New Roman"/>
                <w:b/>
                <w:bCs/>
                <w:sz w:val="24"/>
                <w:szCs w:val="24"/>
                <w:lang w:val="en-US" w:eastAsia="zh-CN"/>
              </w:rPr>
              <w:t>FU L</w:t>
            </w:r>
            <w:r>
              <w:rPr>
                <w:rFonts w:hint="default" w:ascii="Times New Roman" w:hAnsi="Times New Roman" w:eastAsia="仿宋" w:cs="Times New Roman"/>
                <w:sz w:val="24"/>
                <w:szCs w:val="24"/>
                <w:lang w:val="en-US" w:eastAsia="zh-CN"/>
              </w:rPr>
              <w:t>, WENG T, SUN F, et al. Insignificant difference in culture conversion between bedaquiline-containing and bedaquiline-free all-oral short regimens for multidrug-resistant tuberculosis[J]. Int J Infect Dis, 2021,111: 138-147。</w:t>
            </w:r>
          </w:p>
          <w:p w14:paraId="6F041FD7">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[2] LIANG J, </w:t>
            </w:r>
            <w:r>
              <w:rPr>
                <w:rFonts w:hint="default" w:ascii="Times New Roman" w:hAnsi="Times New Roman" w:eastAsia="仿宋" w:cs="Times New Roman"/>
                <w:b/>
                <w:bCs/>
                <w:sz w:val="24"/>
                <w:szCs w:val="24"/>
                <w:lang w:val="en-US" w:eastAsia="zh-CN"/>
              </w:rPr>
              <w:t>FU L,</w:t>
            </w:r>
            <w:r>
              <w:rPr>
                <w:rFonts w:hint="default" w:ascii="Times New Roman" w:hAnsi="Times New Roman" w:eastAsia="仿宋" w:cs="Times New Roman"/>
                <w:sz w:val="24"/>
                <w:szCs w:val="24"/>
                <w:lang w:val="en-US" w:eastAsia="zh-CN"/>
              </w:rPr>
              <w:t xml:space="preserve"> LI M, et al. Allogeneic Vγ9Vδ2 T-Cell Therapy Promotes Pulmonary Lesion Repair: An Open-Label,</w:t>
            </w:r>
            <w:r>
              <w:rPr>
                <w:rFonts w:hint="eastAsia"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Single-Arm Pilot Study in Patients With Multidrug-Resistant Tuberculosis[J]. Front Immunol, 2021,12: 756495.</w:t>
            </w:r>
          </w:p>
          <w:p w14:paraId="692C992D">
            <w:pPr>
              <w:pStyle w:val="16"/>
              <w:framePr w:wrap="auto" w:vAnchor="margin" w:hAnchor="text" w:yAlign="inline"/>
              <w:spacing w:line="360" w:lineRule="auto"/>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梁娟, 张国良, 等. γδ T细胞在结核病免疫治疗的研究及其应用前景[J]. 中国防痨杂志, 2019,41(6): 5.</w:t>
            </w:r>
          </w:p>
          <w:p w14:paraId="4D23101C">
            <w:pPr>
              <w:pStyle w:val="16"/>
              <w:framePr w:wrap="auto" w:vAnchor="margin" w:hAnchor="text" w:yAlign="inline"/>
              <w:spacing w:line="360" w:lineRule="auto"/>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en-US" w:eastAsia="zh-CN"/>
              </w:rPr>
              <w:t>4</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sz w:val="24"/>
                <w:szCs w:val="24"/>
                <w:lang w:val="zh-CN" w:eastAsia="zh-CN"/>
              </w:rPr>
              <w:t xml:space="preserve">邓国防, 张培泽, 杨敏, </w:t>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二线注射剂治疗耐多药结核病的现状与思考[J]. 中国防痨杂志, 2019,41(6): 604-608.</w:t>
            </w:r>
          </w:p>
          <w:p w14:paraId="7CEA7EFC">
            <w:pPr>
              <w:pStyle w:val="16"/>
              <w:framePr w:wrap="auto" w:vAnchor="margin" w:hAnchor="text" w:yAlign="inline"/>
              <w:spacing w:line="360" w:lineRule="auto"/>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en-US" w:eastAsia="zh-CN"/>
              </w:rPr>
              <w:t>5</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邓国防. 实验室检测技术在肺结核活动性判断中的应用进展[J]. 中国防痨杂志, 2020,42(06): 626-629.</w:t>
            </w:r>
          </w:p>
          <w:p w14:paraId="6D1B32C2">
            <w:pPr>
              <w:pStyle w:val="16"/>
              <w:framePr w:wrap="auto" w:vAnchor="margin" w:hAnchor="text" w:yAlign="inline"/>
              <w:spacing w:line="360" w:lineRule="auto"/>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en-US" w:eastAsia="zh-CN"/>
              </w:rPr>
              <w:t>6</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廖伟明, 张惠华, 等. 含异烟肼耐药的耐药结核病临床特点和治疗方案的回顾性队列分析[J]. 新发传染病电子杂志, 2021,6(04): 306-310.</w:t>
            </w:r>
          </w:p>
          <w:p w14:paraId="18F9E5CC">
            <w:pPr>
              <w:pStyle w:val="16"/>
              <w:framePr w:wrap="auto" w:vAnchor="margin" w:hAnchor="text" w:yAlign="inline"/>
              <w:spacing w:line="360" w:lineRule="auto"/>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zh-CN" w:eastAsia="zh-CN"/>
              </w:rPr>
              <w:t>[</w:t>
            </w:r>
            <w:r>
              <w:rPr>
                <w:rFonts w:hint="eastAsia" w:ascii="Times New Roman" w:hAnsi="Times New Roman" w:eastAsia="仿宋" w:cs="Times New Roman"/>
                <w:sz w:val="24"/>
                <w:szCs w:val="24"/>
                <w:lang w:val="en-US" w:eastAsia="zh-CN"/>
              </w:rPr>
              <w:t>7</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任坦坦，张培泽，卢水华. 世界卫生组织《结核病整合指南模块4:耐药结核病治疗2022年更新版》解读[Z]. 2023: 45, 336-348.</w:t>
            </w:r>
          </w:p>
          <w:p w14:paraId="7B1708EE">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zh-CN" w:eastAsia="zh-CN"/>
              </w:rPr>
              <w:t>[</w:t>
            </w:r>
            <w:r>
              <w:rPr>
                <w:rFonts w:hint="eastAsia" w:ascii="Times New Roman" w:hAnsi="Times New Roman" w:eastAsia="仿宋" w:cs="Times New Roman"/>
                <w:sz w:val="24"/>
                <w:szCs w:val="24"/>
                <w:lang w:val="en-US" w:eastAsia="zh-CN"/>
              </w:rPr>
              <w:t>8</w:t>
            </w:r>
            <w:r>
              <w:rPr>
                <w:rFonts w:hint="default" w:ascii="Times New Roman" w:hAnsi="Times New Roman" w:eastAsia="仿宋" w:cs="Times New Roman"/>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sz w:val="24"/>
                <w:szCs w:val="24"/>
                <w:lang w:val="en-US" w:eastAsia="zh-CN"/>
              </w:rPr>
              <w:t xml:space="preserve">Mo Y, Zhu Z, Tan J, Liang Z, Wu J, Chen X, Hu M, Zhang P, Deng G, </w:t>
            </w:r>
            <w:r>
              <w:rPr>
                <w:rFonts w:hint="default" w:ascii="Times New Roman" w:hAnsi="Times New Roman" w:eastAsia="仿宋" w:cs="Times New Roman"/>
                <w:b/>
                <w:bCs/>
                <w:sz w:val="24"/>
                <w:szCs w:val="24"/>
                <w:lang w:val="en-US" w:eastAsia="zh-CN"/>
              </w:rPr>
              <w:t>Fu L.</w:t>
            </w:r>
            <w:r>
              <w:rPr>
                <w:rFonts w:hint="default" w:ascii="Times New Roman" w:hAnsi="Times New Roman" w:eastAsia="仿宋" w:cs="Times New Roman"/>
                <w:sz w:val="24"/>
                <w:szCs w:val="24"/>
                <w:lang w:val="en-US" w:eastAsia="zh-CN"/>
              </w:rPr>
              <w:t xml:space="preserve"> Case report: Significant relief of linezolid-induced peripheral neuropathy in a pre-XDR-TB case after acupuncture treatment. Front Neurol. 2022 Sep 8;13:985499.</w:t>
            </w:r>
          </w:p>
          <w:p w14:paraId="05884BD3">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9</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ab/>
            </w:r>
            <w:r>
              <w:rPr>
                <w:rFonts w:hint="default" w:ascii="Times New Roman" w:hAnsi="Times New Roman" w:eastAsia="仿宋" w:cs="Times New Roman"/>
                <w:b/>
                <w:bCs/>
                <w:sz w:val="24"/>
                <w:szCs w:val="24"/>
                <w:lang w:val="en-US" w:eastAsia="zh-CN"/>
              </w:rPr>
              <w:t>FU L</w:t>
            </w:r>
            <w:r>
              <w:rPr>
                <w:rFonts w:hint="default" w:ascii="Times New Roman" w:hAnsi="Times New Roman" w:eastAsia="仿宋" w:cs="Times New Roman"/>
                <w:sz w:val="24"/>
                <w:szCs w:val="24"/>
                <w:lang w:val="en-US" w:eastAsia="zh-CN"/>
              </w:rPr>
              <w:t>, WANG L, WANG H, et al. A cross-sectional study: a breathomics based pulmonary tuberculosis detection  method[J]. BMC Infect Dis, 2023,23(1): 148.</w:t>
            </w:r>
          </w:p>
          <w:p w14:paraId="3B91045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w:t>
            </w:r>
            <w:r>
              <w:rPr>
                <w:rFonts w:hint="eastAsia" w:ascii="Times New Roman" w:hAnsi="Times New Roman" w:eastAsia="仿宋" w:cs="Times New Roman"/>
                <w:sz w:val="24"/>
                <w:szCs w:val="24"/>
                <w:lang w:val="en-US" w:eastAsia="zh-CN"/>
              </w:rPr>
              <w:t>10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ab/>
            </w:r>
            <w:r>
              <w:rPr>
                <w:rFonts w:hint="default" w:ascii="Times New Roman" w:hAnsi="Times New Roman" w:eastAsia="仿宋" w:cs="Times New Roman"/>
                <w:b/>
                <w:bCs/>
                <w:sz w:val="24"/>
                <w:szCs w:val="24"/>
                <w:lang w:val="en-US" w:eastAsia="zh-CN"/>
              </w:rPr>
              <w:t>FU L</w:t>
            </w:r>
            <w:r>
              <w:rPr>
                <w:rFonts w:hint="default" w:ascii="Times New Roman" w:hAnsi="Times New Roman" w:eastAsia="仿宋" w:cs="Times New Roman"/>
                <w:sz w:val="24"/>
                <w:szCs w:val="24"/>
                <w:lang w:val="en-US" w:eastAsia="zh-CN"/>
              </w:rPr>
              <w:t>, FENG Y, REN T, et al. Detecting latent tuberculosis infection with a breath test using mass</w:t>
            </w:r>
            <w:r>
              <w:rPr>
                <w:rFonts w:hint="eastAsia"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spectrometer: A pilot cross-sectional study[J]. Biosci Trends, 2023.</w:t>
            </w:r>
          </w:p>
          <w:p w14:paraId="63915D69">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p w14:paraId="17DFC4D8">
            <w:pPr>
              <w:pStyle w:val="16"/>
              <w:framePr w:wrap="auto" w:vAnchor="margin" w:hAnchor="text" w:yAlign="inline"/>
              <w:spacing w:line="360" w:lineRule="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论著：</w:t>
            </w:r>
          </w:p>
          <w:p w14:paraId="17802D1F">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 唐神结, 等.《中国结核病年鉴2018》. 编委，秘书.</w:t>
            </w:r>
          </w:p>
          <w:p w14:paraId="79C6FC41">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 唐神结, 等.《中国结核病年鉴2019》. 编委.</w:t>
            </w:r>
          </w:p>
          <w:p w14:paraId="3FA8B05D">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[3] 唐神结, 等.《中国结核病年鉴2020》. 编委.</w:t>
            </w:r>
          </w:p>
          <w:p w14:paraId="0EE48A6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p w14:paraId="759AB8AB">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p w14:paraId="73098AC2">
            <w:pPr>
              <w:pStyle w:val="16"/>
              <w:framePr w:wrap="auto" w:vAnchor="margin" w:hAnchor="text" w:yAlign="inline"/>
              <w:spacing w:line="360" w:lineRule="auto"/>
              <w:rPr>
                <w:rFonts w:hint="default" w:ascii="Times New Roman" w:hAnsi="Times New Roman" w:eastAsia="仿宋" w:cs="Times New Roman"/>
                <w:b/>
                <w:bCs/>
                <w:sz w:val="24"/>
                <w:szCs w:val="24"/>
                <w:lang w:eastAsia="zh-CN"/>
              </w:rPr>
            </w:pPr>
            <w:r>
              <w:rPr>
                <w:rFonts w:hint="default" w:ascii="Times New Roman" w:hAnsi="Times New Roman" w:eastAsia="仿宋" w:cs="Times New Roman"/>
                <w:b/>
                <w:bCs/>
                <w:sz w:val="24"/>
                <w:szCs w:val="24"/>
                <w:lang w:eastAsia="zh-CN"/>
              </w:rPr>
              <w:t>会议报告（仅统计口头发言）：</w:t>
            </w:r>
          </w:p>
          <w:p w14:paraId="29085000">
            <w:pPr>
              <w:pStyle w:val="16"/>
              <w:framePr w:wrap="auto" w:vAnchor="margin" w:hAnchor="text" w:yAlign="inline"/>
              <w:spacing w:line="360" w:lineRule="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val="en-US" w:eastAsia="zh-CN"/>
              </w:rPr>
              <w:t>（1）</w:t>
            </w:r>
            <w:r>
              <w:rPr>
                <w:rFonts w:hint="default" w:ascii="Times New Roman" w:hAnsi="Times New Roman" w:eastAsia="仿宋" w:cs="Times New Roman"/>
                <w:sz w:val="24"/>
                <w:szCs w:val="24"/>
                <w:lang w:eastAsia="zh-CN"/>
              </w:rPr>
              <w:t>中华医学会结核病分会2020年：同种异体γδT细胞治疗耐多药结核病的有效性和安全性。</w:t>
            </w:r>
          </w:p>
          <w:p w14:paraId="583B7F86">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（2）中华医学会结核病分会2022年：MDR-Chin研究的有效性和安全性报告。</w:t>
            </w:r>
          </w:p>
          <w:p w14:paraId="48715C34">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（3）中华医学会结核病分会2023年：经呼出气检测评估抗结核疗效的前瞻性队列研究。</w:t>
            </w:r>
          </w:p>
          <w:p w14:paraId="236BB75A">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（4）51st Union World Conference on Lung Health （2020）: Diagnosis of tuberculosis through exhaled volatile organic compounds using a real-time high-pressure photon ionization time-of-flight mass spectrometry.</w:t>
            </w:r>
          </w:p>
          <w:p w14:paraId="19EBF893">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（5）The Union World Conference on Lung Health 2023: All-oral short-course regimens for patients with MDR-TB and pre-XDR-TB in a high-burden country: A multicenter prospective cohort study.</w:t>
            </w:r>
          </w:p>
          <w:p w14:paraId="5F7F4A75">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（6）The Union World Conference on Lung Health 2023: Clofazimine-induced skin pigmentation and psychiatric disorders in the treatment of multidrug-resistant tuberculosis: longitudinal analyses of two prospective cohorts.</w:t>
            </w:r>
          </w:p>
          <w:p w14:paraId="6A8BF600">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（7）The Union World Conference on Lung Health 2023: A pilot study of managing tuberculosis treatment with a breath test using mass spectrometer in three prospective cohorts.</w:t>
            </w:r>
          </w:p>
          <w:p w14:paraId="6D15098A">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p w14:paraId="0515C71E">
            <w:pPr>
              <w:pStyle w:val="16"/>
              <w:framePr w:wrap="auto" w:vAnchor="margin" w:hAnchor="text" w:yAlign="inline"/>
              <w:spacing w:line="360" w:lineRule="auto"/>
              <w:rPr>
                <w:rFonts w:hint="default" w:ascii="Times New Roman" w:hAnsi="Times New Roman" w:eastAsia="仿宋" w:cs="Times New Roman"/>
                <w:b/>
                <w:bCs/>
                <w:sz w:val="24"/>
                <w:szCs w:val="24"/>
                <w:lang w:val="en-US" w:eastAsia="zh-CN"/>
              </w:rPr>
            </w:pPr>
            <w:r>
              <w:rPr>
                <w:rFonts w:hint="default" w:ascii="Times New Roman" w:hAnsi="Times New Roman" w:eastAsia="仿宋" w:cs="Times New Roman"/>
                <w:b/>
                <w:bCs/>
                <w:sz w:val="24"/>
                <w:szCs w:val="24"/>
                <w:lang w:val="en-US" w:eastAsia="zh-CN"/>
              </w:rPr>
              <w:t>课题基金：</w:t>
            </w:r>
          </w:p>
          <w:p w14:paraId="509A2ED3">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 2020年度国家自然科学基金面上项目，宿主SNP对柳氮磺吡啶调控巨噬细胞结核免疫效果的影响及其机制研究。第二负责人。在研。项目批准号：82070016。55万元。2021.01-2024.12。</w:t>
            </w:r>
          </w:p>
          <w:p w14:paraId="71C4F010">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 2020年度（院内自选课题），基于新型呼出气高通量实时质谱检测的感染性肺炎诊断和疗效评估的前瞻性队列研究。负责人。在研。</w:t>
            </w:r>
          </w:p>
          <w:p w14:paraId="0545AB9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[3] 2020年度，佛山市第四人民医院登峰计划开放课题：中国耐多药肺结核全口服短程抗结核方案多中心临床研究。第二负责人。在研。项目号：FSSYKF-2020001。100万元。2020.06-2023.07。</w:t>
            </w:r>
          </w:p>
          <w:p w14:paraId="7D5EC745">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[4] 2018年深圳市科创委自由探索项目：复治耐多药结核病患者MTB耐药谱变迁的分子机制研究；负责人；立项。项目号：JCYJ20180228162112889。30万元。2019.03至2022.03。</w:t>
            </w:r>
          </w:p>
          <w:p w14:paraId="1FF76FF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[5] 2018年度，深圳市卫生计生系统科研项目-临床研究项目：同种异体γδT细胞治疗耐多药肺结核的临床研究；第三负责人；立项。项目号：SZLY2018017。30万元。2018.05-2021.05。</w:t>
            </w:r>
          </w:p>
          <w:p w14:paraId="722A83CC">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p>
        </w:tc>
      </w:tr>
      <w:tr w14:paraId="1FB0F7A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034" w:hRule="atLeast"/>
          <w:jc w:val="center"/>
        </w:trPr>
        <w:tc>
          <w:tcPr>
            <w:tcW w:w="8501" w:type="dxa"/>
            <w:gridSpan w:val="4"/>
            <w:tcBorders>
              <w:top w:val="single" w:color="000000" w:sz="4"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2DFA65A5">
            <w:pPr>
              <w:pStyle w:val="16"/>
              <w:framePr w:wrap="auto" w:vAnchor="margin" w:hAnchor="text" w:yAlign="inline"/>
              <w:spacing w:line="360" w:lineRule="auto"/>
              <w:rPr>
                <w:rFonts w:hint="default" w:ascii="Times New Roman" w:hAnsi="Times New Roman" w:eastAsia="仿宋" w:cs="Times New Roman"/>
                <w:sz w:val="24"/>
                <w:szCs w:val="24"/>
              </w:rPr>
            </w:pPr>
            <w:r>
              <w:rPr>
                <w:rFonts w:hint="default" w:ascii="Times New Roman" w:hAnsi="Times New Roman" w:eastAsia="仿宋" w:cs="Times New Roman"/>
                <w:b/>
                <w:bCs/>
                <w:sz w:val="24"/>
                <w:szCs w:val="24"/>
                <w:lang w:val="zh-TW" w:eastAsia="zh-TW"/>
              </w:rPr>
              <w:t>四、存在的主要问题、困难及其解决方案</w:t>
            </w:r>
          </w:p>
          <w:p w14:paraId="3F65C875">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从2018年首次开题以来，由于该研究成果的利益冲突，无法用于本人的博士毕业论文，故而已经弃用首个选题。2020年更改了研究课题，但由于新冠疫情和本人统筹安排失误，没有及时向首都医科大学和博士培养学院提交更改开题申请，后来于2023年才提交改题申请。但前后两次选题（γδT细胞和柳氮磺吡啶）均关注宿主导向治疗（HDT）用于耐多药结核病的有效性、安全性和机制研究，主题没有重大更改。</w:t>
            </w:r>
          </w:p>
          <w:p w14:paraId="0A468E7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目前柳氮磺吡啶治疗耐多药肺结核的课题，分成临床研究和基础研究两部分；本人主要负责临床研究的部分，部分参与基础研究部分。1）临床研究部分获得了佛山市开放课题的资助（100万元，本人为第二负责人），已经完成了临床研究的远期随访，已经撰写SCI论文，准备投稿，可用于博士毕业。2）基础研究部分获得了国家自然科学基金的资助（55万元，本人为第二负责人）。基础研究的大部分内容已经完成，已经发表两篇SCI文章。下一步，需尽快完成临床研究文章的发表，积极准备博士论文结题和毕业。</w:t>
            </w:r>
          </w:p>
        </w:tc>
      </w:tr>
      <w:tr w14:paraId="17B2D7D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034" w:hRule="atLeast"/>
          <w:jc w:val="center"/>
        </w:trPr>
        <w:tc>
          <w:tcPr>
            <w:tcW w:w="8501" w:type="dxa"/>
            <w:gridSpan w:val="4"/>
            <w:tcBorders>
              <w:top w:val="single" w:color="000000" w:sz="4"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216A9134">
            <w:pPr>
              <w:pStyle w:val="16"/>
              <w:framePr w:wrap="auto" w:vAnchor="margin" w:hAnchor="text" w:yAlign="inline"/>
              <w:spacing w:line="360" w:lineRule="auto"/>
              <w:rPr>
                <w:rFonts w:hint="default" w:ascii="Times New Roman" w:hAnsi="Times New Roman" w:eastAsia="仿宋" w:cs="Times New Roman"/>
                <w:b/>
                <w:bCs/>
                <w:sz w:val="24"/>
                <w:szCs w:val="24"/>
                <w:lang w:val="zh-TW" w:eastAsia="zh-TW"/>
              </w:rPr>
            </w:pPr>
            <w:r>
              <w:rPr>
                <w:rFonts w:hint="default" w:ascii="Times New Roman" w:hAnsi="Times New Roman" w:eastAsia="仿宋" w:cs="Times New Roman"/>
                <w:b/>
                <w:bCs/>
                <w:sz w:val="24"/>
                <w:szCs w:val="24"/>
                <w:lang w:val="zh-TW" w:eastAsia="zh-TW"/>
              </w:rPr>
              <w:t>五、下一阶段研究计划</w:t>
            </w:r>
          </w:p>
          <w:p w14:paraId="7A7C14D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1.柳氮磺吡啶治疗的SCI文章发表。《评估柳氮磺吡啶辅助疗法对pre-XDR-TB的作用：疗效、安全性及对优化治疗的启示（Evaluation of Adjunctive Sulfasalazine Therapy in Pulmonary Pre-XDR-TB: Efficacy, Safety, and Implications for Treatment Optimization）》。截至2023-07-24，正准备投稿。</w:t>
            </w:r>
          </w:p>
          <w:p w14:paraId="37FA5588">
            <w:pPr>
              <w:pStyle w:val="16"/>
              <w:framePr w:wrap="auto" w:vAnchor="margin" w:hAnchor="text" w:yAlign="inline"/>
              <w:spacing w:line="360" w:lineRule="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2.撰写博士毕业论文。准备博士毕业相关事宜。</w:t>
            </w:r>
          </w:p>
          <w:p w14:paraId="773463A1">
            <w:pPr>
              <w:pStyle w:val="16"/>
              <w:framePr w:wrap="auto" w:vAnchor="margin" w:hAnchor="text" w:yAlign="inline"/>
              <w:spacing w:line="360" w:lineRule="auto"/>
              <w:rPr>
                <w:rFonts w:hint="default" w:ascii="Times New Roman" w:hAnsi="Times New Roman" w:eastAsia="仿宋" w:cs="Times New Roman"/>
              </w:rPr>
            </w:pPr>
          </w:p>
        </w:tc>
      </w:tr>
      <w:tr w14:paraId="72D6AA6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589" w:hRule="atLeast"/>
          <w:jc w:val="center"/>
        </w:trPr>
        <w:tc>
          <w:tcPr>
            <w:tcW w:w="8501" w:type="dxa"/>
            <w:gridSpan w:val="4"/>
            <w:tcBorders>
              <w:top w:val="single" w:color="000000" w:sz="4" w:space="0"/>
              <w:left w:val="single" w:color="auto" w:sz="12" w:space="0"/>
              <w:bottom w:val="single" w:color="000000" w:sz="4" w:space="0"/>
              <w:right w:val="single" w:color="auto" w:sz="12" w:space="0"/>
            </w:tcBorders>
            <w:shd w:val="clear" w:color="auto" w:fill="auto"/>
            <w:tcMar>
              <w:top w:w="80" w:type="dxa"/>
              <w:left w:w="80" w:type="dxa"/>
              <w:bottom w:w="80" w:type="dxa"/>
              <w:right w:w="80" w:type="dxa"/>
            </w:tcMar>
          </w:tcPr>
          <w:p w14:paraId="08CCBE7E">
            <w:pPr>
              <w:pStyle w:val="16"/>
              <w:framePr w:wrap="auto" w:vAnchor="margin" w:hAnchor="text" w:yAlign="inline"/>
              <w:spacing w:line="360" w:lineRule="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lang w:val="zh-TW" w:eastAsia="zh-TW"/>
              </w:rPr>
              <w:t>六、预计完成时间</w:t>
            </w:r>
          </w:p>
          <w:tbl>
            <w:tblPr>
              <w:tblStyle w:val="7"/>
              <w:tblW w:w="834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0"/>
              <w:gridCol w:w="2780"/>
              <w:gridCol w:w="2781"/>
            </w:tblGrid>
            <w:tr w14:paraId="2AEA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tcPr>
                <w:p w14:paraId="6CE3EDB5">
                  <w:pPr>
                    <w:pStyle w:val="16"/>
                    <w:framePr w:wrap="auto" w:vAnchor="margin" w:hAnchor="text" w:yAlign="inline"/>
                    <w:spacing w:line="360" w:lineRule="auto"/>
                    <w:rPr>
                      <w:rFonts w:hint="default" w:ascii="Times New Roman" w:hAnsi="Times New Roman" w:eastAsia="仿宋" w:cs="Times New Roman"/>
                      <w:b/>
                      <w:bCs/>
                      <w:sz w:val="24"/>
                      <w:szCs w:val="24"/>
                      <w:vertAlign w:val="baseline"/>
                      <w:lang w:val="en-US" w:eastAsia="zh-CN"/>
                    </w:rPr>
                  </w:pPr>
                  <w:r>
                    <w:rPr>
                      <w:rFonts w:hint="default" w:ascii="Times New Roman" w:hAnsi="Times New Roman" w:eastAsia="仿宋" w:cs="Times New Roman"/>
                      <w:b/>
                      <w:bCs/>
                      <w:sz w:val="24"/>
                      <w:szCs w:val="24"/>
                      <w:vertAlign w:val="baseline"/>
                      <w:lang w:val="en-US" w:eastAsia="zh-CN"/>
                    </w:rPr>
                    <w:t>时间</w:t>
                  </w:r>
                </w:p>
              </w:tc>
              <w:tc>
                <w:tcPr>
                  <w:tcW w:w="2780" w:type="dxa"/>
                </w:tcPr>
                <w:p w14:paraId="0E1C0459">
                  <w:pPr>
                    <w:pStyle w:val="16"/>
                    <w:framePr w:wrap="auto" w:vAnchor="margin" w:hAnchor="text" w:yAlign="inline"/>
                    <w:spacing w:line="360" w:lineRule="auto"/>
                    <w:rPr>
                      <w:rFonts w:hint="default" w:ascii="Times New Roman" w:hAnsi="Times New Roman" w:eastAsia="仿宋" w:cs="Times New Roman"/>
                      <w:b/>
                      <w:bCs/>
                      <w:sz w:val="24"/>
                      <w:szCs w:val="24"/>
                      <w:vertAlign w:val="baseline"/>
                      <w:lang w:val="en-US" w:eastAsia="zh-CN"/>
                    </w:rPr>
                  </w:pPr>
                  <w:r>
                    <w:rPr>
                      <w:rFonts w:hint="default" w:ascii="Times New Roman" w:hAnsi="Times New Roman" w:eastAsia="仿宋" w:cs="Times New Roman"/>
                      <w:b/>
                      <w:bCs/>
                      <w:sz w:val="24"/>
                      <w:szCs w:val="24"/>
                      <w:vertAlign w:val="baseline"/>
                      <w:lang w:val="en-US" w:eastAsia="zh-CN"/>
                    </w:rPr>
                    <w:t>动作</w:t>
                  </w:r>
                </w:p>
              </w:tc>
              <w:tc>
                <w:tcPr>
                  <w:tcW w:w="2781" w:type="dxa"/>
                </w:tcPr>
                <w:p w14:paraId="706CCFDF">
                  <w:pPr>
                    <w:pStyle w:val="16"/>
                    <w:framePr w:wrap="auto" w:vAnchor="margin" w:hAnchor="text" w:yAlign="inline"/>
                    <w:spacing w:line="360" w:lineRule="auto"/>
                    <w:rPr>
                      <w:rFonts w:hint="default" w:ascii="Times New Roman" w:hAnsi="Times New Roman" w:eastAsia="仿宋" w:cs="Times New Roman"/>
                      <w:b/>
                      <w:bCs/>
                      <w:sz w:val="24"/>
                      <w:szCs w:val="24"/>
                      <w:vertAlign w:val="baseline"/>
                      <w:lang w:val="en-US" w:eastAsia="zh-CN"/>
                    </w:rPr>
                  </w:pPr>
                  <w:r>
                    <w:rPr>
                      <w:rFonts w:hint="default" w:ascii="Times New Roman" w:hAnsi="Times New Roman" w:eastAsia="仿宋" w:cs="Times New Roman"/>
                      <w:b/>
                      <w:bCs/>
                      <w:sz w:val="24"/>
                      <w:szCs w:val="24"/>
                      <w:vertAlign w:val="baseline"/>
                      <w:lang w:val="en-US" w:eastAsia="zh-CN"/>
                    </w:rPr>
                    <w:t>备注</w:t>
                  </w:r>
                </w:p>
              </w:tc>
            </w:tr>
            <w:tr w14:paraId="243B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vAlign w:val="top"/>
                </w:tcPr>
                <w:p w14:paraId="2F2290BF">
                  <w:pPr>
                    <w:pStyle w:val="16"/>
                    <w:framePr w:wrap="auto" w:vAnchor="margin" w:hAnchor="text" w:yAlign="inline"/>
                    <w:spacing w:line="360" w:lineRule="auto"/>
                    <w:rPr>
                      <w:rFonts w:hint="default" w:ascii="Times New Roman" w:hAnsi="Times New Roman" w:eastAsia="仿宋" w:cs="Times New Roman"/>
                      <w:color w:val="000000"/>
                      <w:kern w:val="2"/>
                      <w:sz w:val="24"/>
                      <w:szCs w:val="24"/>
                      <w:u w:color="000000"/>
                      <w:vertAlign w:val="baseline"/>
                      <w:lang w:val="en-US" w:eastAsia="zh-CN" w:bidi="ar-SA"/>
                    </w:rPr>
                  </w:pPr>
                  <w:r>
                    <w:rPr>
                      <w:rFonts w:hint="default" w:ascii="Times New Roman" w:hAnsi="Times New Roman" w:eastAsia="仿宋" w:cs="Times New Roman"/>
                      <w:sz w:val="24"/>
                      <w:szCs w:val="24"/>
                      <w:lang w:val="en-US" w:eastAsia="zh-CN"/>
                    </w:rPr>
                    <w:t>~2023-07</w:t>
                  </w:r>
                </w:p>
              </w:tc>
              <w:tc>
                <w:tcPr>
                  <w:tcW w:w="2780" w:type="dxa"/>
                </w:tcPr>
                <w:p w14:paraId="16C3B08C">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lang w:val="en-US" w:eastAsia="zh-CN"/>
                    </w:rPr>
                    <w:t>完成论文撰写和润色。</w:t>
                  </w:r>
                </w:p>
              </w:tc>
              <w:tc>
                <w:tcPr>
                  <w:tcW w:w="2781" w:type="dxa"/>
                </w:tcPr>
                <w:p w14:paraId="03737E81">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p>
              </w:tc>
            </w:tr>
            <w:tr w14:paraId="5C7B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vAlign w:val="top"/>
                </w:tcPr>
                <w:p w14:paraId="2036CBD5">
                  <w:pPr>
                    <w:pStyle w:val="16"/>
                    <w:framePr w:wrap="auto" w:vAnchor="margin" w:hAnchor="text" w:yAlign="inline"/>
                    <w:spacing w:line="360" w:lineRule="auto"/>
                    <w:rPr>
                      <w:rFonts w:hint="default" w:ascii="Times New Roman" w:hAnsi="Times New Roman" w:eastAsia="仿宋" w:cs="Times New Roman"/>
                      <w:color w:val="000000"/>
                      <w:kern w:val="2"/>
                      <w:sz w:val="24"/>
                      <w:szCs w:val="24"/>
                      <w:u w:color="000000"/>
                      <w:vertAlign w:val="baseline"/>
                      <w:lang w:val="en-US" w:eastAsia="zh-CN" w:bidi="ar-SA"/>
                    </w:rPr>
                  </w:pPr>
                  <w:r>
                    <w:rPr>
                      <w:rFonts w:hint="default" w:ascii="Times New Roman" w:hAnsi="Times New Roman" w:eastAsia="仿宋" w:cs="Times New Roman"/>
                      <w:sz w:val="24"/>
                      <w:szCs w:val="24"/>
                      <w:lang w:val="en-US" w:eastAsia="zh-CN"/>
                    </w:rPr>
                    <w:t>2023-08到2023-10</w:t>
                  </w:r>
                </w:p>
              </w:tc>
              <w:tc>
                <w:tcPr>
                  <w:tcW w:w="2780" w:type="dxa"/>
                </w:tcPr>
                <w:p w14:paraId="74C3C414">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lang w:val="en-US" w:eastAsia="zh-CN"/>
                    </w:rPr>
                    <w:t>文章投稿。</w:t>
                  </w:r>
                </w:p>
              </w:tc>
              <w:tc>
                <w:tcPr>
                  <w:tcW w:w="2781" w:type="dxa"/>
                </w:tcPr>
                <w:p w14:paraId="00DD6A91">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p>
              </w:tc>
            </w:tr>
            <w:tr w14:paraId="74A8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tcPr>
                <w:p w14:paraId="7D36638B">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vertAlign w:val="baseline"/>
                      <w:lang w:val="en-US" w:eastAsia="zh-CN"/>
                    </w:rPr>
                    <w:t>2023-11到2024-01</w:t>
                  </w:r>
                </w:p>
              </w:tc>
              <w:tc>
                <w:tcPr>
                  <w:tcW w:w="2780" w:type="dxa"/>
                </w:tcPr>
                <w:p w14:paraId="4680ED34">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vertAlign w:val="baseline"/>
                      <w:lang w:val="en-US" w:eastAsia="zh-CN"/>
                    </w:rPr>
                    <w:t>文章修回和发表。</w:t>
                  </w:r>
                </w:p>
              </w:tc>
              <w:tc>
                <w:tcPr>
                  <w:tcW w:w="2781" w:type="dxa"/>
                </w:tcPr>
                <w:p w14:paraId="3D862944">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p>
              </w:tc>
            </w:tr>
            <w:tr w14:paraId="083E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0" w:type="dxa"/>
                </w:tcPr>
                <w:p w14:paraId="12A9C693">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vertAlign w:val="baseline"/>
                      <w:lang w:val="en-US" w:eastAsia="zh-CN"/>
                    </w:rPr>
                    <w:t>2014-02到2024-05</w:t>
                  </w:r>
                </w:p>
              </w:tc>
              <w:tc>
                <w:tcPr>
                  <w:tcW w:w="2780" w:type="dxa"/>
                </w:tcPr>
                <w:p w14:paraId="20F912E3">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r>
                    <w:rPr>
                      <w:rFonts w:hint="default" w:ascii="Times New Roman" w:hAnsi="Times New Roman" w:eastAsia="仿宋" w:cs="Times New Roman"/>
                      <w:sz w:val="24"/>
                      <w:szCs w:val="24"/>
                      <w:vertAlign w:val="baseline"/>
                      <w:lang w:val="en-US" w:eastAsia="zh-CN"/>
                    </w:rPr>
                    <w:t>完成博士论文。申请博士毕业，完成答辩。</w:t>
                  </w:r>
                </w:p>
              </w:tc>
              <w:tc>
                <w:tcPr>
                  <w:tcW w:w="2781" w:type="dxa"/>
                </w:tcPr>
                <w:p w14:paraId="23D5C271">
                  <w:pPr>
                    <w:pStyle w:val="16"/>
                    <w:framePr w:wrap="auto" w:vAnchor="margin" w:hAnchor="text" w:yAlign="inline"/>
                    <w:spacing w:line="360" w:lineRule="auto"/>
                    <w:rPr>
                      <w:rFonts w:hint="default" w:ascii="Times New Roman" w:hAnsi="Times New Roman" w:eastAsia="仿宋" w:cs="Times New Roman"/>
                      <w:sz w:val="24"/>
                      <w:szCs w:val="24"/>
                      <w:vertAlign w:val="baseline"/>
                      <w:lang w:val="en-US" w:eastAsia="zh-CN"/>
                    </w:rPr>
                  </w:pPr>
                </w:p>
              </w:tc>
            </w:tr>
          </w:tbl>
          <w:p w14:paraId="0B52997A">
            <w:pPr>
              <w:pStyle w:val="16"/>
              <w:framePr w:wrap="auto" w:vAnchor="margin" w:hAnchor="text" w:yAlign="inline"/>
              <w:spacing w:line="360" w:lineRule="auto"/>
              <w:rPr>
                <w:rFonts w:hint="default" w:ascii="Times New Roman" w:hAnsi="Times New Roman" w:eastAsia="仿宋" w:cs="Times New Roman"/>
                <w:sz w:val="24"/>
                <w:szCs w:val="24"/>
              </w:rPr>
            </w:pPr>
          </w:p>
          <w:p w14:paraId="410375CD">
            <w:pPr>
              <w:pStyle w:val="16"/>
              <w:framePr w:wrap="auto" w:vAnchor="margin" w:hAnchor="text" w:yAlign="inline"/>
              <w:spacing w:line="360" w:lineRule="auto"/>
              <w:rPr>
                <w:rFonts w:hint="default" w:ascii="Times New Roman" w:hAnsi="Times New Roman" w:eastAsia="仿宋" w:cs="Times New Roman"/>
              </w:rPr>
            </w:pPr>
          </w:p>
        </w:tc>
      </w:tr>
      <w:tr w14:paraId="7BADB68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589" w:hRule="atLeast"/>
          <w:jc w:val="center"/>
        </w:trPr>
        <w:tc>
          <w:tcPr>
            <w:tcW w:w="8501" w:type="dxa"/>
            <w:gridSpan w:val="4"/>
            <w:tcBorders>
              <w:top w:val="single" w:color="000000" w:sz="4" w:space="0"/>
              <w:left w:val="single" w:color="auto" w:sz="12" w:space="0"/>
              <w:bottom w:val="single" w:color="auto" w:sz="12" w:space="0"/>
              <w:right w:val="single" w:color="auto" w:sz="12" w:space="0"/>
            </w:tcBorders>
            <w:shd w:val="clear" w:color="auto" w:fill="auto"/>
            <w:tcMar>
              <w:top w:w="80" w:type="dxa"/>
              <w:left w:w="80" w:type="dxa"/>
              <w:bottom w:w="80" w:type="dxa"/>
              <w:right w:w="80" w:type="dxa"/>
            </w:tcMar>
          </w:tcPr>
          <w:p w14:paraId="510EFD90">
            <w:pPr>
              <w:pStyle w:val="16"/>
              <w:framePr w:wrap="auto" w:vAnchor="margin" w:hAnchor="text" w:yAlign="inline"/>
              <w:spacing w:line="360" w:lineRule="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lang w:val="zh-TW" w:eastAsia="zh-TW"/>
              </w:rPr>
              <w:t>七、学术论文</w:t>
            </w:r>
            <w:r>
              <w:rPr>
                <w:rFonts w:hint="default" w:ascii="Times New Roman" w:hAnsi="Times New Roman" w:eastAsia="仿宋" w:cs="Times New Roman"/>
                <w:b/>
                <w:bCs/>
                <w:sz w:val="24"/>
                <w:szCs w:val="24"/>
                <w:lang w:val="zh-TW"/>
              </w:rPr>
              <w:t>撰写和</w:t>
            </w:r>
            <w:r>
              <w:rPr>
                <w:rFonts w:hint="default" w:ascii="Times New Roman" w:hAnsi="Times New Roman" w:eastAsia="仿宋" w:cs="Times New Roman"/>
                <w:b/>
                <w:bCs/>
                <w:sz w:val="24"/>
                <w:szCs w:val="24"/>
                <w:lang w:val="zh-TW" w:eastAsia="zh-TW"/>
              </w:rPr>
              <w:t>发表情况</w:t>
            </w:r>
          </w:p>
          <w:p w14:paraId="01A1B643">
            <w:pPr>
              <w:pStyle w:val="16"/>
              <w:framePr w:wrap="auto" w:vAnchor="margin" w:hAnchor="text" w:yAlign="inline"/>
              <w:spacing w:line="360" w:lineRule="auto"/>
              <w:ind w:firstLine="480" w:firstLineChars="200"/>
              <w:jc w:val="left"/>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人是MDR-Chin临床研究的主要参与者（主要负责研究方案撰写、注册、实施，研究数据的分析、记录，论文的撰写、投稿等）。MDR-Chin研究包含四个（A、B、C、D）短程全口服治疗方案，其中含柳氮磺吡啶的治疗方案是治疗方案D，可分析受试者数量为19人。已经将针对pre-XDR-TB的治疗方案C和D的有效性、安全性进行对比分析，已经完成了SCI论文的撰写：评估柳氮磺吡啶辅助疗法对pre-XDR-TB的作用：疗效、安全性及对优化治疗的启示（Evaluation of Adjunctive Sulfasalazine Therapy in Pulmonary Pre-XDR-TB: Efficacy, Safety, and Implications for Treatment Optimization）。本人为第一作者，导师唐神结教授为通讯作者。截至2023-07-24，正准备投稿。</w:t>
            </w:r>
          </w:p>
          <w:p w14:paraId="357F2CBF">
            <w:pPr>
              <w:pStyle w:val="16"/>
              <w:framePr w:wrap="auto" w:vAnchor="margin" w:hAnchor="text" w:yAlign="inline"/>
              <w:spacing w:line="360" w:lineRule="auto"/>
              <w:ind w:firstLine="480" w:firstLineChars="200"/>
              <w:jc w:val="left"/>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柳氮磺吡啶相关基础研究获得2020年国自然资助，本人为第二负责人。挂靠国自然基金号的已发表文章如下：Wang W, Ning Y, Wang Y, Deng G, Pace S, Barth SA, Menge C, Zhang K, Dai Y, Cai Y, Chen X and Werz O (2022) Mycobacterium tuberculosis-Induced Upregulation of the COX-2/mPGES-1 Pathway in Human Macrophages Is Abrogated by Sulfasalazine. Front. Immunol. 13:849583. doi: 10.3389/fimmu.2022.849583.</w:t>
            </w:r>
          </w:p>
          <w:p w14:paraId="7156B93D">
            <w:pPr>
              <w:pStyle w:val="16"/>
              <w:framePr w:wrap="auto" w:vAnchor="margin" w:hAnchor="text" w:yAlign="inline"/>
              <w:spacing w:line="360" w:lineRule="auto"/>
              <w:ind w:firstLine="480"/>
              <w:rPr>
                <w:rFonts w:hint="default" w:ascii="Times New Roman" w:hAnsi="Times New Roman" w:eastAsia="仿宋" w:cs="Times New Roman"/>
                <w:sz w:val="24"/>
                <w:szCs w:val="24"/>
                <w:lang w:val="zh-CN" w:eastAsia="zh-CN"/>
              </w:rPr>
            </w:pPr>
            <w:r>
              <w:rPr>
                <w:rFonts w:hint="default" w:ascii="Times New Roman" w:hAnsi="Times New Roman" w:eastAsia="仿宋" w:cs="Times New Roman"/>
                <w:sz w:val="24"/>
                <w:szCs w:val="24"/>
                <w:lang w:val="en-US" w:eastAsia="zh-CN"/>
              </w:rPr>
              <w:t>综述文章有两篇已经发表：</w:t>
            </w:r>
            <w:r>
              <w:rPr>
                <w:rFonts w:hint="default" w:ascii="Times New Roman" w:hAnsi="Times New Roman" w:eastAsia="仿宋" w:cs="Times New Roman"/>
                <w:b/>
                <w:bCs/>
                <w:sz w:val="24"/>
                <w:szCs w:val="24"/>
                <w:lang w:val="zh-CN" w:eastAsia="zh-CN"/>
              </w:rPr>
              <w:t>[</w:t>
            </w:r>
            <w:r>
              <w:rPr>
                <w:rFonts w:hint="default" w:ascii="Times New Roman" w:hAnsi="Times New Roman" w:eastAsia="仿宋" w:cs="Times New Roman"/>
                <w:b/>
                <w:bCs/>
                <w:sz w:val="24"/>
                <w:szCs w:val="24"/>
                <w:lang w:val="en-US" w:eastAsia="zh-CN"/>
              </w:rPr>
              <w:t>1</w:t>
            </w:r>
            <w:r>
              <w:rPr>
                <w:rFonts w:hint="default" w:ascii="Times New Roman" w:hAnsi="Times New Roman" w:eastAsia="仿宋" w:cs="Times New Roman"/>
                <w:b/>
                <w:bCs/>
                <w:sz w:val="24"/>
                <w:szCs w:val="24"/>
                <w:lang w:val="zh-CN" w:eastAsia="zh-CN"/>
              </w:rPr>
              <w:t>]</w:t>
            </w:r>
            <w:r>
              <w:rPr>
                <w:rFonts w:hint="default" w:ascii="Times New Roman" w:hAnsi="Times New Roman" w:eastAsia="仿宋" w:cs="Times New Roman"/>
                <w:sz w:val="24"/>
                <w:szCs w:val="24"/>
                <w:lang w:val="zh-CN" w:eastAsia="zh-CN"/>
              </w:rPr>
              <w:tab/>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梁娟, 张国良, 等. γδ T细胞在结核病免疫治疗的研究及其应用前景[J]. 中国防痨杂志, 2019,41(6): 5.</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b/>
                <w:bCs/>
                <w:sz w:val="24"/>
                <w:szCs w:val="24"/>
                <w:lang w:val="zh-CN" w:eastAsia="zh-CN"/>
              </w:rPr>
              <w:t>[</w:t>
            </w:r>
            <w:r>
              <w:rPr>
                <w:rFonts w:hint="default" w:ascii="Times New Roman" w:hAnsi="Times New Roman" w:eastAsia="仿宋" w:cs="Times New Roman"/>
                <w:b/>
                <w:bCs/>
                <w:sz w:val="24"/>
                <w:szCs w:val="24"/>
                <w:lang w:val="en-US" w:eastAsia="zh-CN"/>
              </w:rPr>
              <w:t>2</w:t>
            </w:r>
            <w:r>
              <w:rPr>
                <w:rFonts w:hint="default" w:ascii="Times New Roman" w:hAnsi="Times New Roman" w:eastAsia="仿宋" w:cs="Times New Roman"/>
                <w:b/>
                <w:bCs/>
                <w:sz w:val="24"/>
                <w:szCs w:val="24"/>
                <w:lang w:val="zh-CN" w:eastAsia="zh-CN"/>
              </w:rPr>
              <w:t>]</w:t>
            </w: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zh-CN" w:eastAsia="zh-CN"/>
              </w:rPr>
              <w:t xml:space="preserve">邓国防, 张培泽, 杨敏, </w:t>
            </w:r>
            <w:r>
              <w:rPr>
                <w:rFonts w:hint="default" w:ascii="Times New Roman" w:hAnsi="Times New Roman" w:eastAsia="仿宋" w:cs="Times New Roman"/>
                <w:b/>
                <w:bCs/>
                <w:sz w:val="24"/>
                <w:szCs w:val="24"/>
                <w:lang w:val="zh-CN" w:eastAsia="zh-CN"/>
              </w:rPr>
              <w:t>付亮</w:t>
            </w:r>
            <w:r>
              <w:rPr>
                <w:rFonts w:hint="default" w:ascii="Times New Roman" w:hAnsi="Times New Roman" w:eastAsia="仿宋" w:cs="Times New Roman"/>
                <w:sz w:val="24"/>
                <w:szCs w:val="24"/>
                <w:lang w:val="zh-CN" w:eastAsia="zh-CN"/>
              </w:rPr>
              <w:t>. 二线注射剂治疗耐多药结核病的现状与思考[J]. 中国防痨杂志, 2019,41(6): 604-608.</w:t>
            </w:r>
          </w:p>
          <w:p w14:paraId="33AC8B1B">
            <w:pPr>
              <w:pStyle w:val="16"/>
              <w:framePr w:wrap="auto" w:vAnchor="margin" w:hAnchor="text" w:yAlign="inline"/>
              <w:spacing w:line="360" w:lineRule="auto"/>
              <w:ind w:firstLine="480"/>
              <w:rPr>
                <w:rFonts w:hint="default" w:ascii="Times New Roman" w:hAnsi="Times New Roman" w:eastAsia="仿宋" w:cs="Times New Roman"/>
                <w:sz w:val="24"/>
                <w:szCs w:val="24"/>
                <w:lang w:val="en-US" w:eastAsia="zh-CN"/>
              </w:rPr>
            </w:pPr>
          </w:p>
          <w:p w14:paraId="3DFB5C19">
            <w:pPr>
              <w:pStyle w:val="16"/>
              <w:framePr w:wrap="auto" w:vAnchor="margin" w:hAnchor="text" w:yAlign="inline"/>
              <w:spacing w:line="360" w:lineRule="auto"/>
              <w:jc w:val="right"/>
              <w:rPr>
                <w:rFonts w:hint="eastAsia" w:ascii="仿宋" w:hAnsi="仿宋" w:eastAsia="仿宋" w:cs="仿宋"/>
                <w:sz w:val="24"/>
                <w:szCs w:val="24"/>
                <w:lang w:val="en-US" w:eastAsia="zh-CN"/>
              </w:rPr>
            </w:pPr>
            <w:r>
              <w:rPr>
                <w:rFonts w:ascii="仿宋" w:hAnsi="仿宋" w:eastAsia="仿宋" w:cs="仿宋"/>
                <w:sz w:val="24"/>
                <w:szCs w:val="24"/>
                <w:lang w:val="zh-TW" w:eastAsia="zh-TW"/>
              </w:rPr>
              <w:t>研究生签字：</w:t>
            </w:r>
            <w:r>
              <w:rPr>
                <w:rFonts w:hint="eastAsia" w:ascii="仿宋" w:hAnsi="仿宋" w:eastAsia="仿宋" w:cs="仿宋"/>
                <w:sz w:val="24"/>
                <w:szCs w:val="24"/>
                <w:lang w:val="en-US" w:eastAsia="zh-CN"/>
              </w:rPr>
              <w:drawing>
                <wp:inline distT="0" distB="0" distL="114300" distR="114300">
                  <wp:extent cx="564515" cy="483235"/>
                  <wp:effectExtent l="0" t="0" r="6985" b="12065"/>
                  <wp:docPr id="13" name="图片 13" descr="60c759c98027593d4760a85fccce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0c759c98027593d4760a85fcccea5a"/>
                          <pic:cNvPicPr>
                            <a:picLocks noChangeAspect="1"/>
                          </pic:cNvPicPr>
                        </pic:nvPicPr>
                        <pic:blipFill>
                          <a:blip r:embed="rId16"/>
                          <a:stretch>
                            <a:fillRect/>
                          </a:stretch>
                        </pic:blipFill>
                        <pic:spPr>
                          <a:xfrm>
                            <a:off x="0" y="0"/>
                            <a:ext cx="564515" cy="483235"/>
                          </a:xfrm>
                          <a:prstGeom prst="rect">
                            <a:avLst/>
                          </a:prstGeom>
                        </pic:spPr>
                      </pic:pic>
                    </a:graphicData>
                  </a:graphic>
                </wp:inline>
              </w:drawing>
            </w:r>
          </w:p>
          <w:p w14:paraId="7378F050">
            <w:pPr>
              <w:pStyle w:val="16"/>
              <w:framePr w:wrap="auto" w:vAnchor="margin" w:hAnchor="text" w:yAlign="inline"/>
              <w:spacing w:line="360" w:lineRule="auto"/>
              <w:ind w:firstLine="6000" w:firstLineChars="2500"/>
              <w:rPr>
                <w:rFonts w:hint="default" w:ascii="Times New Roman" w:hAnsi="Times New Roman" w:eastAsia="仿宋" w:cs="Times New Roman"/>
                <w:sz w:val="24"/>
                <w:szCs w:val="24"/>
                <w:lang w:val="en-US" w:eastAsia="zh-CN"/>
              </w:rPr>
            </w:pPr>
            <w:r>
              <w:rPr>
                <w:rFonts w:ascii="仿宋" w:hAnsi="仿宋" w:eastAsia="仿宋" w:cs="仿宋"/>
                <w:sz w:val="24"/>
                <w:szCs w:val="24"/>
                <w:lang w:val="zh-TW" w:eastAsia="zh-TW"/>
              </w:rPr>
              <w:t>日期：</w:t>
            </w:r>
            <w:r>
              <w:rPr>
                <w:rFonts w:hint="eastAsia" w:ascii="仿宋" w:hAnsi="仿宋" w:eastAsia="仿宋" w:cs="仿宋"/>
                <w:sz w:val="24"/>
                <w:szCs w:val="24"/>
                <w:lang w:val="en-US" w:eastAsia="zh-CN"/>
              </w:rPr>
              <w:t>2023-07-26</w:t>
            </w:r>
          </w:p>
          <w:p w14:paraId="2C847C98">
            <w:pPr>
              <w:pStyle w:val="16"/>
              <w:framePr w:wrap="auto" w:vAnchor="margin" w:hAnchor="text" w:yAlign="inline"/>
              <w:spacing w:line="360" w:lineRule="auto"/>
              <w:jc w:val="left"/>
              <w:rPr>
                <w:rFonts w:hint="default" w:ascii="Times New Roman" w:hAnsi="Times New Roman" w:eastAsia="仿宋" w:cs="Times New Roman"/>
              </w:rPr>
            </w:pPr>
          </w:p>
        </w:tc>
      </w:tr>
    </w:tbl>
    <w:p w14:paraId="0F8F8B91">
      <w:pPr>
        <w:pStyle w:val="16"/>
        <w:framePr w:wrap="auto" w:vAnchor="margin" w:hAnchor="text" w:yAlign="inline"/>
        <w:jc w:val="center"/>
        <w:rPr>
          <w:rFonts w:ascii="华文中宋" w:hAnsi="华文中宋" w:eastAsia="华文中宋" w:cs="华文中宋"/>
          <w:sz w:val="36"/>
          <w:szCs w:val="36"/>
          <w:lang w:val="zh-TW" w:eastAsia="zh-TW"/>
        </w:rPr>
      </w:pPr>
    </w:p>
    <w:p w14:paraId="163FCCE6">
      <w:pPr>
        <w:pStyle w:val="16"/>
        <w:framePr w:wrap="auto" w:vAnchor="margin" w:hAnchor="text" w:yAlign="inline"/>
        <w:jc w:val="center"/>
        <w:rPr>
          <w:rFonts w:ascii="华文中宋" w:hAnsi="华文中宋" w:eastAsia="华文中宋" w:cs="华文中宋"/>
          <w:sz w:val="36"/>
          <w:szCs w:val="36"/>
          <w:lang w:val="zh-TW" w:eastAsia="zh-TW"/>
        </w:rPr>
      </w:pPr>
    </w:p>
    <w:p w14:paraId="635FF0D3">
      <w:pPr>
        <w:pStyle w:val="16"/>
        <w:framePr w:wrap="auto" w:vAnchor="margin" w:hAnchor="text" w:yAlign="inline"/>
        <w:jc w:val="center"/>
        <w:rPr>
          <w:rFonts w:ascii="华文中宋" w:hAnsi="华文中宋" w:eastAsia="华文中宋" w:cs="华文中宋"/>
          <w:sz w:val="36"/>
          <w:szCs w:val="36"/>
          <w:lang w:val="zh-TW" w:eastAsia="zh-TW"/>
        </w:rPr>
      </w:pPr>
    </w:p>
    <w:p w14:paraId="65F003E3">
      <w:pPr>
        <w:pStyle w:val="16"/>
        <w:framePr w:wrap="auto" w:vAnchor="margin" w:hAnchor="text" w:yAlign="inline"/>
        <w:jc w:val="center"/>
        <w:rPr>
          <w:rFonts w:ascii="华文中宋" w:hAnsi="华文中宋" w:eastAsia="华文中宋" w:cs="华文中宋"/>
          <w:sz w:val="36"/>
          <w:szCs w:val="36"/>
          <w:lang w:val="zh-TW" w:eastAsia="zh-TW"/>
        </w:rPr>
      </w:pPr>
    </w:p>
    <w:p w14:paraId="2BA01075">
      <w:pPr>
        <w:pStyle w:val="16"/>
        <w:framePr w:wrap="auto" w:vAnchor="margin" w:hAnchor="text" w:yAlign="inline"/>
        <w:jc w:val="center"/>
        <w:rPr>
          <w:rFonts w:ascii="华文中宋" w:hAnsi="华文中宋" w:eastAsia="华文中宋" w:cs="华文中宋"/>
          <w:sz w:val="36"/>
          <w:szCs w:val="36"/>
          <w:lang w:val="zh-TW" w:eastAsia="zh-TW"/>
        </w:rPr>
      </w:pPr>
    </w:p>
    <w:p w14:paraId="67CB9CCD">
      <w:pPr>
        <w:pStyle w:val="16"/>
        <w:framePr w:wrap="auto" w:vAnchor="margin" w:hAnchor="text" w:yAlign="inline"/>
        <w:jc w:val="center"/>
        <w:rPr>
          <w:rFonts w:ascii="华文中宋" w:hAnsi="华文中宋" w:eastAsia="华文中宋" w:cs="华文中宋"/>
          <w:sz w:val="36"/>
          <w:szCs w:val="36"/>
          <w:lang w:val="zh-TW" w:eastAsia="zh-TW"/>
        </w:rPr>
      </w:pPr>
    </w:p>
    <w:p w14:paraId="3403ECB2">
      <w:pPr>
        <w:pStyle w:val="16"/>
        <w:framePr w:wrap="auto" w:vAnchor="margin" w:hAnchor="text" w:yAlign="inline"/>
        <w:jc w:val="center"/>
        <w:rPr>
          <w:rFonts w:ascii="华文中宋" w:hAnsi="华文中宋" w:eastAsia="华文中宋" w:cs="华文中宋"/>
          <w:sz w:val="36"/>
          <w:szCs w:val="36"/>
          <w:lang w:val="zh-TW" w:eastAsia="zh-TW"/>
        </w:rPr>
      </w:pPr>
    </w:p>
    <w:p w14:paraId="562CB848">
      <w:pPr>
        <w:pStyle w:val="16"/>
        <w:framePr w:wrap="auto" w:vAnchor="margin" w:hAnchor="text" w:yAlign="inline"/>
        <w:jc w:val="center"/>
        <w:rPr>
          <w:rFonts w:ascii="华文中宋" w:hAnsi="华文中宋" w:eastAsia="华文中宋" w:cs="华文中宋"/>
          <w:sz w:val="36"/>
          <w:szCs w:val="36"/>
          <w:lang w:val="zh-TW" w:eastAsia="zh-TW"/>
        </w:rPr>
      </w:pPr>
    </w:p>
    <w:p w14:paraId="3CAB8443">
      <w:pPr>
        <w:pStyle w:val="16"/>
        <w:framePr w:wrap="auto" w:vAnchor="margin" w:hAnchor="text" w:yAlign="inline"/>
        <w:jc w:val="center"/>
        <w:rPr>
          <w:rFonts w:ascii="华文中宋" w:hAnsi="华文中宋" w:eastAsia="华文中宋" w:cs="华文中宋"/>
          <w:sz w:val="36"/>
          <w:szCs w:val="36"/>
          <w:lang w:val="zh-TW" w:eastAsia="zh-TW"/>
        </w:rPr>
      </w:pPr>
    </w:p>
    <w:p w14:paraId="7C98130D">
      <w:pPr>
        <w:pStyle w:val="16"/>
        <w:framePr w:wrap="auto" w:vAnchor="margin" w:hAnchor="text" w:yAlign="inline"/>
        <w:jc w:val="center"/>
        <w:rPr>
          <w:rFonts w:ascii="华文中宋" w:hAnsi="华文中宋" w:eastAsia="华文中宋" w:cs="华文中宋"/>
          <w:sz w:val="36"/>
          <w:szCs w:val="36"/>
          <w:lang w:val="zh-TW" w:eastAsia="zh-TW"/>
        </w:rPr>
      </w:pPr>
    </w:p>
    <w:p w14:paraId="455B4413">
      <w:pPr>
        <w:pStyle w:val="16"/>
        <w:framePr w:wrap="auto" w:vAnchor="margin" w:hAnchor="text" w:yAlign="inline"/>
        <w:jc w:val="center"/>
        <w:rPr>
          <w:rFonts w:ascii="华文中宋" w:hAnsi="华文中宋" w:eastAsia="华文中宋" w:cs="华文中宋"/>
          <w:sz w:val="36"/>
          <w:szCs w:val="36"/>
          <w:lang w:val="zh-TW" w:eastAsia="zh-TW"/>
        </w:rPr>
      </w:pPr>
    </w:p>
    <w:p w14:paraId="15EF27E9">
      <w:pPr>
        <w:pStyle w:val="16"/>
        <w:framePr w:wrap="auto" w:vAnchor="margin" w:hAnchor="text" w:yAlign="inline"/>
        <w:jc w:val="center"/>
        <w:rPr>
          <w:rFonts w:ascii="华文中宋" w:hAnsi="华文中宋" w:eastAsia="华文中宋" w:cs="华文中宋"/>
          <w:sz w:val="36"/>
          <w:szCs w:val="36"/>
          <w:lang w:val="zh-TW" w:eastAsia="zh-TW"/>
        </w:rPr>
      </w:pPr>
    </w:p>
    <w:p w14:paraId="7415BF12">
      <w:pPr>
        <w:pStyle w:val="16"/>
        <w:framePr w:wrap="auto" w:vAnchor="margin" w:hAnchor="text" w:yAlign="inline"/>
        <w:jc w:val="center"/>
        <w:rPr>
          <w:rFonts w:ascii="华文中宋" w:hAnsi="华文中宋" w:eastAsia="华文中宋" w:cs="华文中宋"/>
          <w:sz w:val="36"/>
          <w:szCs w:val="36"/>
          <w:lang w:val="zh-TW" w:eastAsia="zh-TW"/>
        </w:rPr>
      </w:pPr>
    </w:p>
    <w:p w14:paraId="3A914117">
      <w:pPr>
        <w:pStyle w:val="16"/>
        <w:framePr w:wrap="auto" w:vAnchor="margin" w:hAnchor="text" w:yAlign="inline"/>
        <w:jc w:val="center"/>
        <w:rPr>
          <w:rFonts w:ascii="华文中宋" w:hAnsi="华文中宋" w:eastAsia="华文中宋" w:cs="华文中宋"/>
          <w:sz w:val="36"/>
          <w:szCs w:val="36"/>
          <w:lang w:val="zh-TW" w:eastAsia="zh-TW"/>
        </w:rPr>
      </w:pPr>
    </w:p>
    <w:p w14:paraId="056F7820">
      <w:pPr>
        <w:pStyle w:val="16"/>
        <w:framePr w:wrap="auto" w:vAnchor="margin" w:hAnchor="text" w:yAlign="inline"/>
        <w:jc w:val="center"/>
        <w:rPr>
          <w:rFonts w:ascii="华文中宋" w:hAnsi="华文中宋" w:eastAsia="华文中宋" w:cs="华文中宋"/>
          <w:sz w:val="36"/>
          <w:szCs w:val="36"/>
          <w:lang w:val="zh-TW" w:eastAsia="zh-TW"/>
        </w:rPr>
      </w:pPr>
    </w:p>
    <w:p w14:paraId="50983D9B">
      <w:pPr>
        <w:pStyle w:val="16"/>
        <w:framePr w:wrap="auto" w:vAnchor="margin" w:hAnchor="text" w:yAlign="inline"/>
        <w:jc w:val="center"/>
        <w:rPr>
          <w:rFonts w:ascii="华文中宋" w:hAnsi="华文中宋" w:eastAsia="华文中宋" w:cs="华文中宋"/>
          <w:b/>
          <w:bCs/>
          <w:sz w:val="36"/>
          <w:szCs w:val="36"/>
          <w:lang w:val="zh-TW" w:eastAsia="zh-TW"/>
        </w:rPr>
      </w:pPr>
      <w:r>
        <w:rPr>
          <w:rFonts w:ascii="华文中宋" w:hAnsi="华文中宋" w:eastAsia="华文中宋" w:cs="华文中宋"/>
          <w:sz w:val="36"/>
          <w:szCs w:val="36"/>
          <w:lang w:val="zh-TW" w:eastAsia="zh-TW"/>
        </w:rPr>
        <w:t>首都医科大学学位论文中期考核记录</w:t>
      </w:r>
    </w:p>
    <w:tbl>
      <w:tblPr>
        <w:tblStyle w:val="6"/>
        <w:tblW w:w="863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1545"/>
        <w:gridCol w:w="1676"/>
        <w:gridCol w:w="1300"/>
        <w:gridCol w:w="4111"/>
      </w:tblGrid>
      <w:tr w14:paraId="368055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387" w:hRule="atLeast"/>
          <w:jc w:val="center"/>
        </w:trPr>
        <w:tc>
          <w:tcPr>
            <w:tcW w:w="1545" w:type="dxa"/>
            <w:tcBorders>
              <w:top w:val="single" w:color="auto" w:sz="12"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141D5F18">
            <w:pPr>
              <w:pStyle w:val="16"/>
              <w:framePr w:wrap="auto" w:vAnchor="margin" w:hAnchor="text" w:yAlign="inline"/>
              <w:jc w:val="center"/>
              <w:rPr>
                <w:rFonts w:ascii="仿宋" w:hAnsi="仿宋" w:eastAsia="仿宋" w:cs="仿宋"/>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676" w:type="dxa"/>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52041D36">
            <w:pPr>
              <w:rPr>
                <w:rFonts w:hint="eastAsia" w:ascii="仿宋" w:hAnsi="仿宋" w:eastAsia="仿宋" w:cs="仿宋"/>
                <w:lang w:eastAsia="zh-CN"/>
              </w:rPr>
            </w:pPr>
            <w:r>
              <w:rPr>
                <w:rFonts w:hint="eastAsia" w:ascii="仿宋" w:hAnsi="仿宋" w:eastAsia="仿宋" w:cs="仿宋"/>
                <w:lang w:eastAsia="zh-CN"/>
              </w:rPr>
              <w:t>付亮</w:t>
            </w:r>
          </w:p>
        </w:tc>
        <w:tc>
          <w:tcPr>
            <w:tcW w:w="1300" w:type="dxa"/>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7DFA9353">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学号</w:t>
            </w:r>
          </w:p>
        </w:tc>
        <w:tc>
          <w:tcPr>
            <w:tcW w:w="4111" w:type="dxa"/>
            <w:tcBorders>
              <w:top w:val="single" w:color="auto" w:sz="12"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121A717C">
            <w:pPr>
              <w:rPr>
                <w:rFonts w:ascii="仿宋" w:hAnsi="仿宋" w:eastAsia="仿宋" w:cs="仿宋"/>
              </w:rPr>
            </w:pPr>
            <w:r>
              <w:rPr>
                <w:rFonts w:hint="default" w:ascii="Times New Roman" w:hAnsi="Times New Roman" w:eastAsia="宋体" w:cs="Times New Roman"/>
                <w:sz w:val="24"/>
                <w:szCs w:val="24"/>
              </w:rPr>
              <w:t>132017100062</w:t>
            </w:r>
          </w:p>
        </w:tc>
      </w:tr>
      <w:tr w14:paraId="2CFE550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482" w:hRule="atLeast"/>
          <w:jc w:val="center"/>
        </w:trPr>
        <w:tc>
          <w:tcPr>
            <w:tcW w:w="1545"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36BE2106">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学科专业</w:t>
            </w:r>
          </w:p>
        </w:tc>
        <w:tc>
          <w:tcPr>
            <w:tcW w:w="1676"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F7ED8C2">
            <w:pPr>
              <w:rPr>
                <w:rFonts w:ascii="仿宋" w:hAnsi="仿宋" w:eastAsia="仿宋" w:cs="仿宋"/>
              </w:rPr>
            </w:pPr>
            <w:r>
              <w:rPr>
                <w:rFonts w:hint="default" w:ascii="Times New Roman" w:hAnsi="Times New Roman" w:eastAsia="仿宋" w:cs="Times New Roman"/>
                <w:lang w:eastAsia="zh-CN"/>
              </w:rPr>
              <w:t>内科学（传染病）</w:t>
            </w:r>
          </w:p>
        </w:tc>
        <w:tc>
          <w:tcPr>
            <w:tcW w:w="1300"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6B4193EA">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学位类型</w:t>
            </w:r>
          </w:p>
        </w:tc>
        <w:tc>
          <w:tcPr>
            <w:tcW w:w="4111"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097EFA86">
            <w:pPr>
              <w:pStyle w:val="16"/>
              <w:framePr w:wrap="auto" w:vAnchor="margin" w:hAnchor="text" w:yAlign="inline"/>
              <w:jc w:val="left"/>
              <w:rPr>
                <w:rFonts w:ascii="仿宋" w:hAnsi="仿宋" w:eastAsia="仿宋" w:cs="仿宋"/>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0E70DBF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407" w:hRule="atLeast"/>
          <w:jc w:val="center"/>
        </w:trPr>
        <w:tc>
          <w:tcPr>
            <w:tcW w:w="1545"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515148ED">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导师姓名</w:t>
            </w:r>
          </w:p>
        </w:tc>
        <w:tc>
          <w:tcPr>
            <w:tcW w:w="1676"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31A20672">
            <w:pPr>
              <w:rPr>
                <w:rFonts w:hint="eastAsia" w:ascii="仿宋" w:hAnsi="仿宋" w:eastAsia="仿宋" w:cs="仿宋"/>
                <w:lang w:eastAsia="zh-CN"/>
              </w:rPr>
            </w:pPr>
            <w:r>
              <w:rPr>
                <w:rFonts w:hint="eastAsia" w:ascii="仿宋" w:hAnsi="仿宋" w:eastAsia="仿宋" w:cs="仿宋"/>
                <w:lang w:eastAsia="zh-CN"/>
              </w:rPr>
              <w:t>唐神结</w:t>
            </w:r>
          </w:p>
        </w:tc>
        <w:tc>
          <w:tcPr>
            <w:tcW w:w="1300"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26CE4DF4">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培养单位</w:t>
            </w:r>
          </w:p>
        </w:tc>
        <w:tc>
          <w:tcPr>
            <w:tcW w:w="4111"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00F3C994">
            <w:pPr>
              <w:rPr>
                <w:rFonts w:ascii="仿宋" w:hAnsi="仿宋" w:eastAsia="仿宋" w:cs="仿宋"/>
              </w:rPr>
            </w:pPr>
            <w:r>
              <w:rPr>
                <w:rFonts w:hint="default" w:ascii="Times New Roman" w:hAnsi="Times New Roman" w:eastAsia="仿宋" w:cs="Times New Roman"/>
                <w:lang w:eastAsia="zh-CN"/>
              </w:rPr>
              <w:t>首都医科大学附属北京胸科医院（第十临床医学院）</w:t>
            </w:r>
          </w:p>
        </w:tc>
      </w:tr>
      <w:tr w14:paraId="2181918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407" w:hRule="atLeast"/>
          <w:jc w:val="center"/>
        </w:trPr>
        <w:tc>
          <w:tcPr>
            <w:tcW w:w="1545" w:type="dxa"/>
            <w:tcBorders>
              <w:top w:val="single" w:color="000000" w:sz="4" w:space="0"/>
              <w:left w:val="single" w:color="auto" w:sz="12" w:space="0"/>
              <w:bottom w:val="single" w:color="000000" w:sz="12" w:space="0"/>
              <w:right w:val="single" w:color="auto" w:sz="4" w:space="0"/>
            </w:tcBorders>
            <w:shd w:val="clear" w:color="auto" w:fill="auto"/>
            <w:tcMar>
              <w:top w:w="80" w:type="dxa"/>
              <w:left w:w="80" w:type="dxa"/>
              <w:bottom w:w="80" w:type="dxa"/>
              <w:right w:w="80" w:type="dxa"/>
            </w:tcMar>
            <w:vAlign w:val="center"/>
          </w:tcPr>
          <w:p w14:paraId="7282383D">
            <w:pPr>
              <w:pStyle w:val="16"/>
              <w:framePr w:wrap="auto" w:vAnchor="margin" w:hAnchor="text" w:yAlign="inline"/>
              <w:jc w:val="center"/>
              <w:rPr>
                <w:rFonts w:ascii="仿宋" w:hAnsi="仿宋" w:eastAsia="仿宋" w:cs="仿宋"/>
              </w:rPr>
            </w:pPr>
            <w:r>
              <w:rPr>
                <w:rFonts w:hint="eastAsia" w:ascii="仿宋" w:hAnsi="仿宋" w:eastAsia="仿宋" w:cs="仿宋"/>
                <w:sz w:val="24"/>
                <w:szCs w:val="24"/>
                <w:lang w:val="zh-TW"/>
              </w:rPr>
              <w:t>考核日期</w:t>
            </w:r>
          </w:p>
        </w:tc>
        <w:tc>
          <w:tcPr>
            <w:tcW w:w="1676" w:type="dxa"/>
            <w:tcBorders>
              <w:top w:val="single" w:color="000000" w:sz="4"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56D4DD71">
            <w:pPr>
              <w:rPr>
                <w:rFonts w:hint="default" w:ascii="仿宋" w:hAnsi="仿宋" w:eastAsia="仿宋" w:cs="仿宋"/>
                <w:lang w:val="en-US" w:eastAsia="zh-CN"/>
              </w:rPr>
            </w:pPr>
            <w:r>
              <w:rPr>
                <w:rFonts w:hint="eastAsia" w:ascii="仿宋" w:hAnsi="仿宋" w:eastAsia="仿宋" w:cs="仿宋"/>
                <w:lang w:val="en-US" w:eastAsia="zh-CN"/>
              </w:rPr>
              <w:t>2023-08-03</w:t>
            </w:r>
          </w:p>
        </w:tc>
        <w:tc>
          <w:tcPr>
            <w:tcW w:w="1300" w:type="dxa"/>
            <w:tcBorders>
              <w:top w:val="single" w:color="000000" w:sz="4"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70328876">
            <w:pPr>
              <w:pStyle w:val="16"/>
              <w:framePr w:wrap="auto" w:vAnchor="margin" w:hAnchor="text" w:yAlign="inline"/>
              <w:jc w:val="center"/>
              <w:rPr>
                <w:rFonts w:ascii="仿宋" w:hAnsi="仿宋" w:eastAsia="仿宋" w:cs="仿宋"/>
              </w:rPr>
            </w:pPr>
            <w:r>
              <w:rPr>
                <w:rFonts w:hint="eastAsia" w:ascii="仿宋" w:hAnsi="仿宋" w:eastAsia="仿宋" w:cs="仿宋"/>
                <w:sz w:val="24"/>
                <w:szCs w:val="24"/>
                <w:lang w:val="zh-TW"/>
              </w:rPr>
              <w:t>考核</w:t>
            </w:r>
            <w:r>
              <w:rPr>
                <w:rFonts w:ascii="仿宋" w:hAnsi="仿宋" w:eastAsia="仿宋" w:cs="仿宋"/>
                <w:sz w:val="24"/>
                <w:szCs w:val="24"/>
                <w:lang w:val="zh-TW" w:eastAsia="zh-TW"/>
              </w:rPr>
              <w:t>地点</w:t>
            </w:r>
          </w:p>
        </w:tc>
        <w:tc>
          <w:tcPr>
            <w:tcW w:w="4111" w:type="dxa"/>
            <w:tcBorders>
              <w:top w:val="single" w:color="000000" w:sz="4" w:space="0"/>
              <w:left w:val="single" w:color="auto" w:sz="4" w:space="0"/>
              <w:bottom w:val="single" w:color="000000" w:sz="12" w:space="0"/>
              <w:right w:val="single" w:color="auto" w:sz="12" w:space="0"/>
            </w:tcBorders>
            <w:shd w:val="clear" w:color="auto" w:fill="auto"/>
            <w:tcMar>
              <w:top w:w="80" w:type="dxa"/>
              <w:left w:w="80" w:type="dxa"/>
              <w:bottom w:w="80" w:type="dxa"/>
              <w:right w:w="80" w:type="dxa"/>
            </w:tcMar>
            <w:vAlign w:val="center"/>
          </w:tcPr>
          <w:p w14:paraId="5FB1D97C">
            <w:pPr>
              <w:rPr>
                <w:rFonts w:hint="eastAsia" w:ascii="仿宋" w:hAnsi="仿宋" w:eastAsia="仿宋" w:cs="仿宋"/>
                <w:lang w:eastAsia="zh-CN"/>
              </w:rPr>
            </w:pPr>
            <w:r>
              <w:rPr>
                <w:rFonts w:hint="eastAsia" w:ascii="仿宋" w:hAnsi="仿宋" w:eastAsia="仿宋" w:cs="仿宋"/>
                <w:lang w:eastAsia="zh-CN"/>
              </w:rPr>
              <w:t>北京胸科医院</w:t>
            </w:r>
          </w:p>
        </w:tc>
      </w:tr>
      <w:tr w14:paraId="55E5042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410" w:hRule="atLeast"/>
          <w:jc w:val="center"/>
        </w:trPr>
        <w:tc>
          <w:tcPr>
            <w:tcW w:w="8632" w:type="dxa"/>
            <w:gridSpan w:val="4"/>
            <w:tcBorders>
              <w:top w:val="single" w:color="000000" w:sz="12" w:space="0"/>
              <w:left w:val="single" w:color="auto" w:sz="12" w:space="0"/>
              <w:bottom w:val="single" w:color="auto" w:sz="12" w:space="0"/>
              <w:right w:val="single" w:color="auto" w:sz="12" w:space="0"/>
            </w:tcBorders>
            <w:shd w:val="clear" w:color="auto" w:fill="auto"/>
            <w:tcMar>
              <w:top w:w="80" w:type="dxa"/>
              <w:left w:w="80" w:type="dxa"/>
              <w:bottom w:w="80" w:type="dxa"/>
              <w:right w:w="80" w:type="dxa"/>
            </w:tcMar>
          </w:tcPr>
          <w:p w14:paraId="66A459A1">
            <w:pPr>
              <w:pStyle w:val="16"/>
              <w:framePr w:wrap="auto" w:vAnchor="margin" w:hAnchor="text" w:yAlign="inline"/>
              <w:spacing w:line="360" w:lineRule="auto"/>
              <w:rPr>
                <w:rFonts w:ascii="仿宋" w:hAnsi="仿宋" w:eastAsia="仿宋" w:cs="仿宋"/>
                <w:b/>
                <w:bCs/>
                <w:sz w:val="24"/>
                <w:szCs w:val="24"/>
              </w:rPr>
            </w:pPr>
            <w:r>
              <w:rPr>
                <w:rFonts w:ascii="仿宋" w:hAnsi="仿宋" w:eastAsia="仿宋" w:cs="仿宋"/>
                <w:b/>
                <w:bCs/>
                <w:sz w:val="24"/>
                <w:szCs w:val="24"/>
                <w:lang w:val="zh-TW" w:eastAsia="zh-TW"/>
              </w:rPr>
              <w:t>中期检查记录：</w:t>
            </w:r>
          </w:p>
          <w:p w14:paraId="626B36C2">
            <w:pPr>
              <w:pStyle w:val="16"/>
              <w:framePr w:wrap="auto" w:vAnchor="margin" w:hAnchor="text" w:yAlign="inline"/>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李传友：</w:t>
            </w:r>
            <w:r>
              <w:rPr>
                <w:rFonts w:hint="eastAsia" w:ascii="仿宋" w:hAnsi="仿宋" w:eastAsia="仿宋" w:cs="仿宋"/>
                <w:sz w:val="24"/>
                <w:szCs w:val="24"/>
                <w:lang w:val="en-US" w:eastAsia="zh-CN"/>
              </w:rPr>
              <w:t>这是一个宿主导向治疗的基础研究和临床试验相结合的课题，但是题目仅仅提及临床研究，未能覆盖整个研究内容，建议修改。选题有一定创新性，但样本量偏小，能否增加样本量？氟喹诺酮类和其他药物的耐药性检测是在什么时间点完成的，能否用于指导抗结核方案制定？</w:t>
            </w:r>
          </w:p>
          <w:p w14:paraId="5AEF6110">
            <w:pPr>
              <w:pStyle w:val="16"/>
              <w:framePr w:wrap="auto" w:vAnchor="margin" w:hAnchor="text" w:yAlign="inline"/>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逄宇：</w:t>
            </w:r>
            <w:r>
              <w:rPr>
                <w:rFonts w:hint="eastAsia" w:ascii="仿宋" w:hAnsi="仿宋" w:eastAsia="仿宋" w:cs="仿宋"/>
                <w:sz w:val="24"/>
                <w:szCs w:val="24"/>
                <w:lang w:val="en-US" w:eastAsia="zh-CN"/>
              </w:rPr>
              <w:t>工作量大，产出丰富。从答辩格式上说，不应该泛泛而谈、把近年来工作全都做一个总结，内容应该聚焦、围绕一个主题来展开。汇报的时候，建议保持低调、谦逊。柳氮磺吡啶作为一个辅助治疗药物，是否考虑加入到贝达喹啉组，而不是替代贝达喹啉？如果有特殊原因需要替代（比如经济因素），请说明。本课题的临床研究部分比较丰富，但基础研究部分需要说清楚自己的贡献。可以做一个基础研究计划，比如对队列受试者（使用和未使用SASP的两组受试者；治疗成功和治疗失败的两组受试者）的血液样本进行SNPs（上游，比如AA型、GG型）、炎症因子（下游，如COX2、PGE2）。</w:t>
            </w:r>
          </w:p>
          <w:p w14:paraId="32D1045D">
            <w:pPr>
              <w:pStyle w:val="16"/>
              <w:framePr w:wrap="auto" w:vAnchor="margin" w:hAnchor="text" w:yAlign="inline"/>
              <w:spacing w:line="360" w:lineRule="auto"/>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张俊杰：</w:t>
            </w:r>
            <w:r>
              <w:rPr>
                <w:rFonts w:hint="eastAsia" w:ascii="仿宋" w:hAnsi="仿宋" w:eastAsia="仿宋" w:cs="仿宋"/>
                <w:sz w:val="24"/>
                <w:szCs w:val="24"/>
                <w:lang w:val="en-US" w:eastAsia="zh-CN"/>
              </w:rPr>
              <w:t>题目太简略，建议修改以覆盖整个研究内容，比如《SASP治疗耐多药肺结核的基因易感性和临床验证研究》。结核病的化学药物治疗与宿主导向治疗并不是简单的替换关系，而是应该拔高宿主导向治疗的创新意义，并应该深入研究其理论基础，比如宿主遗传易感性（精准治疗）和宿主免疫功能的能动性（抗结核治疗的新方向）。围绕着研究主题，把分散的数据提炼一下，不要让评委觉得抓不住重点。</w:t>
            </w:r>
          </w:p>
          <w:p w14:paraId="257B47B8">
            <w:pPr>
              <w:pStyle w:val="16"/>
              <w:framePr w:wrap="auto" w:vAnchor="margin" w:hAnchor="text" w:yAlign="inline"/>
              <w:spacing w:line="360" w:lineRule="auto"/>
              <w:rPr>
                <w:rFonts w:hint="default" w:ascii="仿宋" w:hAnsi="仿宋" w:eastAsia="仿宋" w:cs="仿宋"/>
                <w:sz w:val="24"/>
                <w:szCs w:val="24"/>
                <w:lang w:val="en-US" w:eastAsia="zh-CN"/>
              </w:rPr>
            </w:pPr>
            <w:r>
              <w:rPr>
                <w:rFonts w:hint="eastAsia" w:ascii="仿宋" w:hAnsi="仿宋" w:eastAsia="仿宋" w:cs="仿宋"/>
                <w:b/>
                <w:bCs/>
                <w:sz w:val="24"/>
                <w:szCs w:val="24"/>
                <w:lang w:val="en-US" w:eastAsia="zh-CN"/>
              </w:rPr>
              <w:t>唐神结：</w:t>
            </w:r>
            <w:r>
              <w:rPr>
                <w:rFonts w:hint="eastAsia" w:ascii="仿宋" w:hAnsi="仿宋" w:eastAsia="仿宋" w:cs="仿宋"/>
                <w:sz w:val="24"/>
                <w:szCs w:val="24"/>
                <w:lang w:val="en-US" w:eastAsia="zh-CN"/>
              </w:rPr>
              <w:t>本次中期报告显得比较零散，核心不明确，需要凝练。大论文要求五万字，可以详细描述各个治疗方案的背景、方法、内容；除了治疗结局，也可以做影响因素分析。除了临床部分，基础研究部分需要加强。</w:t>
            </w:r>
          </w:p>
          <w:p w14:paraId="491109AF">
            <w:pPr>
              <w:pStyle w:val="16"/>
              <w:framePr w:wrap="auto" w:vAnchor="margin" w:hAnchor="text" w:yAlign="inline"/>
              <w:spacing w:line="360" w:lineRule="auto"/>
              <w:rPr>
                <w:rFonts w:hint="eastAsia" w:ascii="仿宋" w:hAnsi="仿宋" w:eastAsia="仿宋" w:cs="仿宋"/>
                <w:sz w:val="24"/>
                <w:szCs w:val="24"/>
              </w:rPr>
            </w:pPr>
          </w:p>
          <w:p w14:paraId="0D0E7DA3">
            <w:pPr>
              <w:pStyle w:val="16"/>
              <w:framePr w:wrap="auto" w:vAnchor="margin" w:hAnchor="text" w:yAlign="inline"/>
              <w:spacing w:line="360" w:lineRule="auto"/>
              <w:rPr>
                <w:rFonts w:hint="eastAsia" w:ascii="仿宋" w:hAnsi="仿宋" w:eastAsia="仿宋" w:cs="仿宋"/>
                <w:sz w:val="24"/>
                <w:szCs w:val="24"/>
                <w:lang w:val="en-US" w:eastAsia="zh-CN"/>
              </w:rPr>
            </w:pPr>
            <w:r>
              <w:rPr>
                <w:rFonts w:ascii="仿宋" w:hAnsi="仿宋" w:eastAsia="仿宋" w:cs="仿宋"/>
                <w:b/>
                <w:bCs/>
                <w:sz w:val="24"/>
                <w:szCs w:val="24"/>
                <w:lang w:val="zh-TW" w:eastAsia="zh-TW"/>
              </w:rPr>
              <w:t>记录人：</w:t>
            </w:r>
            <w:r>
              <w:rPr>
                <w:rFonts w:hint="eastAsia" w:ascii="仿宋" w:hAnsi="仿宋" w:eastAsia="仿宋" w:cs="仿宋"/>
                <w:sz w:val="24"/>
                <w:szCs w:val="24"/>
                <w:lang w:val="en-US" w:eastAsia="zh-CN"/>
              </w:rPr>
              <w:t>刘艳</w:t>
            </w:r>
          </w:p>
          <w:p w14:paraId="27AAC18D">
            <w:pPr>
              <w:pStyle w:val="16"/>
              <w:framePr w:wrap="auto" w:vAnchor="margin" w:hAnchor="text" w:yAlign="inline"/>
              <w:spacing w:line="360" w:lineRule="auto"/>
              <w:rPr>
                <w:rFonts w:hint="default" w:ascii="仿宋" w:hAnsi="仿宋" w:eastAsia="仿宋" w:cs="仿宋"/>
                <w:sz w:val="24"/>
                <w:szCs w:val="24"/>
                <w:lang w:val="en-US" w:eastAsia="zh-CN"/>
              </w:rPr>
            </w:pPr>
            <w:r>
              <w:rPr>
                <w:rFonts w:hint="eastAsia" w:ascii="仿宋" w:hAnsi="仿宋" w:eastAsia="仿宋" w:cs="仿宋"/>
                <w:b/>
                <w:bCs/>
                <w:sz w:val="24"/>
                <w:szCs w:val="24"/>
                <w:lang w:val="en-US" w:eastAsia="zh-CN"/>
              </w:rPr>
              <w:t>记录日期：</w:t>
            </w:r>
            <w:r>
              <w:rPr>
                <w:rFonts w:hint="eastAsia" w:ascii="仿宋" w:hAnsi="仿宋" w:eastAsia="仿宋" w:cs="仿宋"/>
                <w:sz w:val="24"/>
                <w:szCs w:val="24"/>
                <w:lang w:val="en-US" w:eastAsia="zh-CN"/>
              </w:rPr>
              <w:t>2023-08-03 上午</w:t>
            </w:r>
          </w:p>
        </w:tc>
      </w:tr>
    </w:tbl>
    <w:p w14:paraId="0F13DCDE">
      <w:pPr>
        <w:pStyle w:val="16"/>
        <w:framePr w:wrap="auto" w:vAnchor="margin" w:hAnchor="text" w:yAlign="inline"/>
        <w:jc w:val="both"/>
        <w:rPr>
          <w:rFonts w:ascii="华文中宋" w:hAnsi="华文中宋" w:eastAsia="华文中宋" w:cs="华文中宋"/>
          <w:b/>
          <w:bCs/>
          <w:sz w:val="44"/>
          <w:szCs w:val="44"/>
          <w:lang w:eastAsia="zh-TW"/>
        </w:rPr>
      </w:pPr>
    </w:p>
    <w:p w14:paraId="3CA89421">
      <w:pPr>
        <w:pStyle w:val="16"/>
        <w:framePr w:wrap="auto" w:vAnchor="margin" w:hAnchor="text" w:yAlign="inline"/>
        <w:jc w:val="both"/>
        <w:rPr>
          <w:rFonts w:ascii="华文中宋" w:hAnsi="华文中宋" w:eastAsia="华文中宋" w:cs="华文中宋"/>
          <w:b/>
          <w:bCs/>
          <w:sz w:val="44"/>
          <w:szCs w:val="44"/>
          <w:lang w:eastAsia="zh-TW"/>
        </w:rPr>
      </w:pPr>
    </w:p>
    <w:p w14:paraId="449BA6BC">
      <w:pPr>
        <w:pStyle w:val="16"/>
        <w:framePr w:wrap="auto" w:vAnchor="margin" w:hAnchor="text" w:yAlign="inline"/>
        <w:jc w:val="both"/>
        <w:rPr>
          <w:rFonts w:ascii="华文中宋" w:hAnsi="华文中宋" w:eastAsia="华文中宋" w:cs="华文中宋"/>
          <w:b/>
          <w:bCs/>
          <w:sz w:val="44"/>
          <w:szCs w:val="44"/>
          <w:lang w:eastAsia="zh-TW"/>
        </w:rPr>
      </w:pPr>
    </w:p>
    <w:p w14:paraId="1B61BE53">
      <w:pPr>
        <w:pStyle w:val="16"/>
        <w:framePr w:wrap="auto" w:vAnchor="margin" w:hAnchor="text" w:yAlign="inline"/>
        <w:jc w:val="both"/>
        <w:rPr>
          <w:rFonts w:ascii="华文中宋" w:hAnsi="华文中宋" w:eastAsia="华文中宋" w:cs="华文中宋"/>
          <w:b/>
          <w:bCs/>
          <w:sz w:val="44"/>
          <w:szCs w:val="44"/>
          <w:lang w:eastAsia="zh-TW"/>
        </w:rPr>
      </w:pPr>
    </w:p>
    <w:p w14:paraId="5EAFF0A4">
      <w:pPr>
        <w:pStyle w:val="16"/>
        <w:framePr w:wrap="auto" w:vAnchor="margin" w:hAnchor="text" w:yAlign="inline"/>
        <w:jc w:val="both"/>
        <w:rPr>
          <w:rFonts w:ascii="华文中宋" w:hAnsi="华文中宋" w:eastAsia="华文中宋" w:cs="华文中宋"/>
          <w:b/>
          <w:bCs/>
          <w:sz w:val="44"/>
          <w:szCs w:val="44"/>
          <w:lang w:eastAsia="zh-TW"/>
        </w:rPr>
      </w:pPr>
    </w:p>
    <w:p w14:paraId="373EBA34">
      <w:pPr>
        <w:pStyle w:val="16"/>
        <w:framePr w:wrap="auto" w:vAnchor="margin" w:hAnchor="text" w:yAlign="inline"/>
        <w:jc w:val="both"/>
        <w:rPr>
          <w:rFonts w:ascii="华文中宋" w:hAnsi="华文中宋" w:eastAsia="华文中宋" w:cs="华文中宋"/>
          <w:b/>
          <w:bCs/>
          <w:sz w:val="44"/>
          <w:szCs w:val="44"/>
          <w:lang w:eastAsia="zh-TW"/>
        </w:rPr>
      </w:pPr>
    </w:p>
    <w:p w14:paraId="086D338E">
      <w:pPr>
        <w:pStyle w:val="16"/>
        <w:framePr w:wrap="auto" w:vAnchor="margin" w:hAnchor="text" w:yAlign="inline"/>
        <w:jc w:val="both"/>
        <w:rPr>
          <w:rFonts w:ascii="华文中宋" w:hAnsi="华文中宋" w:eastAsia="华文中宋" w:cs="华文中宋"/>
          <w:b/>
          <w:bCs/>
          <w:sz w:val="44"/>
          <w:szCs w:val="44"/>
          <w:lang w:eastAsia="zh-TW"/>
        </w:rPr>
      </w:pPr>
    </w:p>
    <w:p w14:paraId="0C5068A7">
      <w:pPr>
        <w:pStyle w:val="16"/>
        <w:framePr w:wrap="auto" w:vAnchor="margin" w:hAnchor="text" w:yAlign="inline"/>
        <w:jc w:val="both"/>
        <w:rPr>
          <w:rFonts w:ascii="华文中宋" w:hAnsi="华文中宋" w:eastAsia="华文中宋" w:cs="华文中宋"/>
          <w:b/>
          <w:bCs/>
          <w:sz w:val="44"/>
          <w:szCs w:val="44"/>
          <w:lang w:eastAsia="zh-TW"/>
        </w:rPr>
      </w:pPr>
    </w:p>
    <w:p w14:paraId="407F8C3C">
      <w:pPr>
        <w:pStyle w:val="16"/>
        <w:framePr w:wrap="auto" w:vAnchor="margin" w:hAnchor="text" w:yAlign="inline"/>
        <w:jc w:val="both"/>
        <w:rPr>
          <w:rFonts w:ascii="华文中宋" w:hAnsi="华文中宋" w:eastAsia="华文中宋" w:cs="华文中宋"/>
          <w:b/>
          <w:bCs/>
          <w:sz w:val="44"/>
          <w:szCs w:val="44"/>
          <w:lang w:eastAsia="zh-TW"/>
        </w:rPr>
      </w:pPr>
    </w:p>
    <w:p w14:paraId="41A0D16B">
      <w:pPr>
        <w:pStyle w:val="16"/>
        <w:framePr w:wrap="auto" w:vAnchor="margin" w:hAnchor="text" w:yAlign="inline"/>
        <w:jc w:val="both"/>
        <w:rPr>
          <w:rFonts w:ascii="华文中宋" w:hAnsi="华文中宋" w:eastAsia="华文中宋" w:cs="华文中宋"/>
          <w:b/>
          <w:bCs/>
          <w:sz w:val="44"/>
          <w:szCs w:val="44"/>
          <w:lang w:eastAsia="zh-TW"/>
        </w:rPr>
      </w:pPr>
    </w:p>
    <w:p w14:paraId="5ADB5701">
      <w:pPr>
        <w:pStyle w:val="16"/>
        <w:framePr w:wrap="auto" w:vAnchor="margin" w:hAnchor="text" w:yAlign="inline"/>
        <w:jc w:val="both"/>
        <w:rPr>
          <w:rFonts w:ascii="华文中宋" w:hAnsi="华文中宋" w:eastAsia="华文中宋" w:cs="华文中宋"/>
          <w:b/>
          <w:bCs/>
          <w:sz w:val="44"/>
          <w:szCs w:val="44"/>
          <w:lang w:eastAsia="zh-TW"/>
        </w:rPr>
      </w:pPr>
    </w:p>
    <w:p w14:paraId="507C6E83">
      <w:pPr>
        <w:pStyle w:val="16"/>
        <w:framePr w:wrap="auto" w:vAnchor="margin" w:hAnchor="text" w:yAlign="inline"/>
        <w:jc w:val="both"/>
        <w:rPr>
          <w:rFonts w:ascii="华文中宋" w:hAnsi="华文中宋" w:eastAsia="华文中宋" w:cs="华文中宋"/>
          <w:b/>
          <w:bCs/>
          <w:sz w:val="44"/>
          <w:szCs w:val="44"/>
          <w:lang w:eastAsia="zh-TW"/>
        </w:rPr>
      </w:pPr>
    </w:p>
    <w:p w14:paraId="31C3ED40">
      <w:pPr>
        <w:pStyle w:val="16"/>
        <w:framePr w:wrap="auto" w:vAnchor="margin" w:hAnchor="text" w:yAlign="inline"/>
        <w:jc w:val="both"/>
        <w:rPr>
          <w:rFonts w:ascii="华文中宋" w:hAnsi="华文中宋" w:eastAsia="华文中宋" w:cs="华文中宋"/>
          <w:b/>
          <w:bCs/>
          <w:sz w:val="44"/>
          <w:szCs w:val="44"/>
          <w:lang w:eastAsia="zh-TW"/>
        </w:rPr>
      </w:pPr>
    </w:p>
    <w:p w14:paraId="6CFAD6BA">
      <w:pPr>
        <w:pStyle w:val="16"/>
        <w:framePr w:wrap="auto" w:vAnchor="margin" w:hAnchor="text" w:yAlign="inline"/>
        <w:jc w:val="both"/>
        <w:rPr>
          <w:rFonts w:ascii="华文中宋" w:hAnsi="华文中宋" w:eastAsia="华文中宋" w:cs="华文中宋"/>
          <w:b/>
          <w:bCs/>
          <w:sz w:val="44"/>
          <w:szCs w:val="44"/>
          <w:lang w:eastAsia="zh-TW"/>
        </w:rPr>
      </w:pPr>
    </w:p>
    <w:p w14:paraId="35A623EB">
      <w:pPr>
        <w:pStyle w:val="16"/>
        <w:framePr w:wrap="auto" w:vAnchor="margin" w:hAnchor="text" w:yAlign="inline"/>
        <w:jc w:val="both"/>
        <w:rPr>
          <w:rFonts w:ascii="华文中宋" w:hAnsi="华文中宋" w:eastAsia="华文中宋" w:cs="华文中宋"/>
          <w:b/>
          <w:bCs/>
          <w:sz w:val="44"/>
          <w:szCs w:val="44"/>
          <w:lang w:eastAsia="zh-TW"/>
        </w:rPr>
      </w:pPr>
    </w:p>
    <w:p w14:paraId="249216F0">
      <w:pPr>
        <w:pStyle w:val="16"/>
        <w:framePr w:wrap="auto" w:vAnchor="margin" w:hAnchor="text" w:yAlign="inline"/>
        <w:jc w:val="both"/>
        <w:rPr>
          <w:rFonts w:ascii="华文中宋" w:hAnsi="华文中宋" w:eastAsia="华文中宋" w:cs="华文中宋"/>
          <w:b/>
          <w:bCs/>
          <w:sz w:val="44"/>
          <w:szCs w:val="44"/>
          <w:lang w:eastAsia="zh-TW"/>
        </w:rPr>
      </w:pPr>
    </w:p>
    <w:p w14:paraId="46DD8CD6">
      <w:pPr>
        <w:pStyle w:val="16"/>
        <w:framePr w:wrap="auto" w:vAnchor="margin" w:hAnchor="text" w:yAlign="inline"/>
        <w:jc w:val="both"/>
        <w:rPr>
          <w:rFonts w:ascii="华文中宋" w:hAnsi="华文中宋" w:eastAsia="华文中宋" w:cs="华文中宋"/>
          <w:b/>
          <w:bCs/>
          <w:sz w:val="44"/>
          <w:szCs w:val="44"/>
          <w:lang w:eastAsia="zh-TW"/>
        </w:rPr>
      </w:pPr>
    </w:p>
    <w:p w14:paraId="411229EF">
      <w:pPr>
        <w:pStyle w:val="16"/>
        <w:framePr w:wrap="auto" w:vAnchor="margin" w:hAnchor="text" w:yAlign="inline"/>
        <w:jc w:val="both"/>
        <w:rPr>
          <w:rFonts w:ascii="华文中宋" w:hAnsi="华文中宋" w:eastAsia="华文中宋" w:cs="华文中宋"/>
          <w:b/>
          <w:bCs/>
          <w:sz w:val="44"/>
          <w:szCs w:val="44"/>
          <w:lang w:eastAsia="zh-TW"/>
        </w:rPr>
      </w:pPr>
    </w:p>
    <w:p w14:paraId="477348BF">
      <w:pPr>
        <w:pStyle w:val="16"/>
        <w:framePr w:wrap="auto" w:vAnchor="margin" w:hAnchor="text" w:yAlign="inline"/>
        <w:jc w:val="center"/>
        <w:rPr>
          <w:rFonts w:ascii="华文中宋" w:hAnsi="华文中宋" w:eastAsia="华文中宋" w:cs="华文中宋"/>
          <w:sz w:val="36"/>
          <w:szCs w:val="36"/>
          <w:lang w:val="zh-TW" w:eastAsia="zh-TW"/>
        </w:rPr>
      </w:pPr>
    </w:p>
    <w:p w14:paraId="723463F6">
      <w:pPr>
        <w:pStyle w:val="16"/>
        <w:framePr w:wrap="auto" w:vAnchor="margin" w:hAnchor="text" w:yAlign="inline"/>
        <w:jc w:val="center"/>
        <w:rPr>
          <w:rFonts w:ascii="华文中宋" w:hAnsi="华文中宋" w:eastAsia="华文中宋" w:cs="华文中宋"/>
          <w:sz w:val="36"/>
          <w:szCs w:val="36"/>
          <w:lang w:val="zh-TW" w:eastAsia="zh-TW"/>
        </w:rPr>
      </w:pPr>
      <w:r>
        <w:rPr>
          <w:rFonts w:ascii="华文中宋" w:hAnsi="华文中宋" w:eastAsia="华文中宋" w:cs="华文中宋"/>
          <w:sz w:val="36"/>
          <w:szCs w:val="36"/>
          <w:lang w:val="zh-TW" w:eastAsia="zh-TW"/>
        </w:rPr>
        <w:t>首都医科大学学位论文中期考核</w:t>
      </w:r>
      <w:r>
        <w:rPr>
          <w:rFonts w:hint="eastAsia" w:ascii="华文中宋" w:hAnsi="华文中宋" w:eastAsia="华文中宋" w:cs="华文中宋"/>
          <w:sz w:val="36"/>
          <w:szCs w:val="36"/>
          <w:lang w:val="zh-TW"/>
        </w:rPr>
        <w:t>评分表</w:t>
      </w:r>
    </w:p>
    <w:tbl>
      <w:tblPr>
        <w:tblStyle w:val="6"/>
        <w:tblW w:w="8916" w:type="dxa"/>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CED7E7"/>
        <w:tblLayout w:type="fixed"/>
        <w:tblCellMar>
          <w:top w:w="0" w:type="dxa"/>
          <w:left w:w="10" w:type="dxa"/>
          <w:bottom w:w="0" w:type="dxa"/>
          <w:right w:w="10" w:type="dxa"/>
        </w:tblCellMar>
      </w:tblPr>
      <w:tblGrid>
        <w:gridCol w:w="1413"/>
        <w:gridCol w:w="59"/>
        <w:gridCol w:w="1123"/>
        <w:gridCol w:w="757"/>
        <w:gridCol w:w="1595"/>
        <w:gridCol w:w="2716"/>
        <w:gridCol w:w="1253"/>
      </w:tblGrid>
      <w:tr w14:paraId="50B686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shd w:val="clear" w:color="auto" w:fill="CED7E7"/>
          <w:tblCellMar>
            <w:top w:w="0" w:type="dxa"/>
            <w:left w:w="10" w:type="dxa"/>
            <w:bottom w:w="0" w:type="dxa"/>
            <w:right w:w="10" w:type="dxa"/>
          </w:tblCellMar>
        </w:tblPrEx>
        <w:trPr>
          <w:trHeight w:val="407" w:hRule="atLeast"/>
          <w:jc w:val="center"/>
        </w:trPr>
        <w:tc>
          <w:tcPr>
            <w:tcW w:w="1472" w:type="dxa"/>
            <w:gridSpan w:val="2"/>
            <w:tcBorders>
              <w:top w:val="single" w:color="auto" w:sz="12"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311953BE">
            <w:pPr>
              <w:adjustRightInd w:val="0"/>
              <w:snapToGrid w:val="0"/>
              <w:jc w:val="center"/>
              <w:rPr>
                <w:rFonts w:ascii="仿宋" w:hAnsi="仿宋" w:eastAsia="仿宋" w:cs="仿宋"/>
              </w:rPr>
            </w:pPr>
            <w:r>
              <w:rPr>
                <w:rFonts w:hint="eastAsia" w:ascii="仿宋" w:hAnsi="仿宋" w:eastAsia="仿宋"/>
                <w:sz w:val="24"/>
                <w:szCs w:val="24"/>
              </w:rPr>
              <w:t>学生姓名</w:t>
            </w:r>
          </w:p>
        </w:tc>
        <w:tc>
          <w:tcPr>
            <w:tcW w:w="1880" w:type="dxa"/>
            <w:gridSpan w:val="2"/>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50E5B718">
            <w:pPr>
              <w:rPr>
                <w:rFonts w:ascii="仿宋" w:hAnsi="仿宋" w:eastAsia="仿宋" w:cs="仿宋"/>
              </w:rPr>
            </w:pPr>
            <w:r>
              <w:rPr>
                <w:rFonts w:hint="eastAsia" w:ascii="仿宋" w:hAnsi="仿宋" w:eastAsia="仿宋" w:cs="仿宋"/>
                <w:lang w:eastAsia="zh-CN"/>
              </w:rPr>
              <w:t>付亮</w:t>
            </w:r>
          </w:p>
        </w:tc>
        <w:tc>
          <w:tcPr>
            <w:tcW w:w="1595" w:type="dxa"/>
            <w:tcBorders>
              <w:top w:val="single" w:color="auto"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129D9F9">
            <w:pPr>
              <w:adjustRightInd w:val="0"/>
              <w:snapToGrid w:val="0"/>
              <w:jc w:val="center"/>
              <w:rPr>
                <w:rFonts w:ascii="仿宋" w:hAnsi="仿宋" w:eastAsia="仿宋" w:cs="仿宋"/>
              </w:rPr>
            </w:pPr>
            <w:r>
              <w:rPr>
                <w:rFonts w:hint="eastAsia" w:ascii="仿宋" w:hAnsi="仿宋" w:eastAsia="仿宋"/>
                <w:sz w:val="24"/>
                <w:szCs w:val="24"/>
              </w:rPr>
              <w:t>学号</w:t>
            </w:r>
          </w:p>
        </w:tc>
        <w:tc>
          <w:tcPr>
            <w:tcW w:w="3969" w:type="dxa"/>
            <w:gridSpan w:val="2"/>
            <w:tcBorders>
              <w:top w:val="single" w:color="auto" w:sz="12"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502401BD">
            <w:pPr>
              <w:adjustRightInd w:val="0"/>
              <w:snapToGrid w:val="0"/>
              <w:jc w:val="center"/>
              <w:rPr>
                <w:rFonts w:ascii="仿宋" w:hAnsi="仿宋" w:eastAsia="仿宋" w:cs="仿宋"/>
              </w:rPr>
            </w:pPr>
            <w:r>
              <w:rPr>
                <w:rFonts w:hint="default" w:ascii="Times New Roman" w:hAnsi="Times New Roman" w:eastAsia="宋体" w:cs="Times New Roman"/>
                <w:sz w:val="24"/>
                <w:szCs w:val="24"/>
              </w:rPr>
              <w:t>132017100062</w:t>
            </w:r>
          </w:p>
        </w:tc>
      </w:tr>
      <w:tr w14:paraId="05394F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531" w:hRule="atLeast"/>
          <w:jc w:val="center"/>
        </w:trPr>
        <w:tc>
          <w:tcPr>
            <w:tcW w:w="1472" w:type="dxa"/>
            <w:gridSpan w:val="2"/>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18FB6B1F">
            <w:pPr>
              <w:adjustRightInd w:val="0"/>
              <w:snapToGrid w:val="0"/>
              <w:jc w:val="center"/>
              <w:rPr>
                <w:rFonts w:ascii="仿宋" w:hAnsi="仿宋" w:eastAsia="仿宋" w:cs="仿宋"/>
              </w:rPr>
            </w:pPr>
            <w:r>
              <w:rPr>
                <w:rFonts w:hint="eastAsia" w:ascii="仿宋" w:hAnsi="仿宋" w:eastAsia="仿宋"/>
                <w:sz w:val="24"/>
                <w:szCs w:val="24"/>
              </w:rPr>
              <w:t>学科专业</w:t>
            </w:r>
          </w:p>
        </w:tc>
        <w:tc>
          <w:tcPr>
            <w:tcW w:w="1880"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878297A">
            <w:pPr>
              <w:rPr>
                <w:rFonts w:ascii="仿宋" w:hAnsi="仿宋" w:eastAsia="仿宋" w:cs="仿宋"/>
              </w:rPr>
            </w:pPr>
            <w:r>
              <w:rPr>
                <w:rFonts w:hint="default" w:ascii="Times New Roman" w:hAnsi="Times New Roman" w:eastAsia="仿宋" w:cs="Times New Roman"/>
                <w:lang w:eastAsia="zh-CN"/>
              </w:rPr>
              <w:t>内科学（传染病）</w:t>
            </w:r>
          </w:p>
        </w:tc>
        <w:tc>
          <w:tcPr>
            <w:tcW w:w="1595"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74789309">
            <w:pPr>
              <w:adjustRightInd w:val="0"/>
              <w:snapToGrid w:val="0"/>
              <w:jc w:val="center"/>
              <w:rPr>
                <w:rFonts w:ascii="仿宋" w:hAnsi="仿宋" w:eastAsia="仿宋" w:cs="仿宋"/>
              </w:rPr>
            </w:pPr>
            <w:r>
              <w:rPr>
                <w:rFonts w:hint="eastAsia" w:ascii="仿宋" w:hAnsi="仿宋" w:eastAsia="仿宋"/>
                <w:sz w:val="24"/>
                <w:szCs w:val="24"/>
              </w:rPr>
              <w:t>学位类型</w:t>
            </w:r>
          </w:p>
        </w:tc>
        <w:tc>
          <w:tcPr>
            <w:tcW w:w="3969" w:type="dxa"/>
            <w:gridSpan w:val="2"/>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13185D81">
            <w:pPr>
              <w:tabs>
                <w:tab w:val="left" w:pos="860"/>
                <w:tab w:val="left" w:pos="4714"/>
                <w:tab w:val="left" w:pos="8850"/>
              </w:tabs>
              <w:jc w:val="left"/>
              <w:rPr>
                <w:rFonts w:ascii="仿宋" w:hAnsi="仿宋" w:eastAsia="仿宋" w:cs="仿宋"/>
              </w:rPr>
            </w:pPr>
            <w:r>
              <w:rPr>
                <w:rFonts w:hint="eastAsia" w:ascii="仿宋" w:hAnsi="仿宋" w:eastAsia="仿宋"/>
                <w:sz w:val="24"/>
                <w:szCs w:val="24"/>
                <w:lang w:eastAsia="zh-CN"/>
              </w:rPr>
              <w:t>☑</w:t>
            </w:r>
            <w:r>
              <w:rPr>
                <w:rFonts w:ascii="仿宋" w:hAnsi="仿宋" w:eastAsia="仿宋" w:cs="宋体"/>
                <w:sz w:val="24"/>
                <w:szCs w:val="24"/>
                <w:lang w:val="zh-TW" w:eastAsia="zh-TW"/>
              </w:rPr>
              <w:t>博士</w:t>
            </w:r>
            <w:r>
              <w:rPr>
                <w:rFonts w:ascii="仿宋" w:hAnsi="仿宋" w:eastAsia="仿宋"/>
                <w:sz w:val="24"/>
                <w:szCs w:val="24"/>
              </w:rPr>
              <w:t xml:space="preserve"> □</w:t>
            </w:r>
            <w:r>
              <w:rPr>
                <w:rFonts w:ascii="仿宋" w:hAnsi="仿宋" w:eastAsia="仿宋" w:cs="宋体"/>
                <w:sz w:val="24"/>
                <w:szCs w:val="24"/>
                <w:lang w:val="zh-TW" w:eastAsia="zh-TW"/>
              </w:rPr>
              <w:t>硕士</w:t>
            </w:r>
            <w:r>
              <w:rPr>
                <w:rFonts w:hint="eastAsia" w:ascii="仿宋" w:hAnsi="仿宋" w:eastAsia="仿宋" w:cs="宋体"/>
                <w:sz w:val="24"/>
                <w:szCs w:val="24"/>
                <w:lang w:val="zh-TW"/>
              </w:rPr>
              <w:t xml:space="preserve"> </w:t>
            </w:r>
            <w:r>
              <w:rPr>
                <w:rFonts w:hint="eastAsia" w:ascii="仿宋" w:hAnsi="仿宋" w:eastAsia="仿宋"/>
                <w:sz w:val="24"/>
                <w:szCs w:val="24"/>
                <w:lang w:eastAsia="zh-CN"/>
              </w:rPr>
              <w:t>☑</w:t>
            </w:r>
            <w:r>
              <w:rPr>
                <w:rFonts w:ascii="仿宋" w:hAnsi="仿宋" w:eastAsia="仿宋" w:cs="宋体"/>
                <w:sz w:val="24"/>
                <w:szCs w:val="24"/>
                <w:lang w:val="zh-TW" w:eastAsia="zh-TW"/>
              </w:rPr>
              <w:t>专业型</w:t>
            </w:r>
            <w:r>
              <w:rPr>
                <w:rFonts w:ascii="仿宋" w:hAnsi="仿宋" w:eastAsia="仿宋"/>
                <w:sz w:val="24"/>
                <w:szCs w:val="24"/>
              </w:rPr>
              <w:t xml:space="preserve"> □</w:t>
            </w:r>
            <w:r>
              <w:rPr>
                <w:rFonts w:ascii="仿宋" w:hAnsi="仿宋" w:eastAsia="仿宋" w:cs="宋体"/>
                <w:sz w:val="24"/>
                <w:szCs w:val="24"/>
                <w:lang w:val="zh-TW" w:eastAsia="zh-TW"/>
              </w:rPr>
              <w:t>学术型</w:t>
            </w:r>
          </w:p>
        </w:tc>
      </w:tr>
      <w:tr w14:paraId="1FF0909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407" w:hRule="atLeast"/>
          <w:jc w:val="center"/>
        </w:trPr>
        <w:tc>
          <w:tcPr>
            <w:tcW w:w="1472" w:type="dxa"/>
            <w:gridSpan w:val="2"/>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16A053A5">
            <w:pPr>
              <w:adjustRightInd w:val="0"/>
              <w:snapToGrid w:val="0"/>
              <w:jc w:val="center"/>
              <w:rPr>
                <w:rFonts w:ascii="仿宋" w:hAnsi="仿宋" w:eastAsia="仿宋" w:cs="仿宋"/>
              </w:rPr>
            </w:pPr>
            <w:r>
              <w:rPr>
                <w:rFonts w:hint="eastAsia" w:ascii="仿宋" w:hAnsi="仿宋" w:eastAsia="仿宋"/>
                <w:sz w:val="24"/>
                <w:szCs w:val="24"/>
              </w:rPr>
              <w:t>导师姓名</w:t>
            </w:r>
          </w:p>
        </w:tc>
        <w:tc>
          <w:tcPr>
            <w:tcW w:w="1880"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58A111F">
            <w:pPr>
              <w:adjustRightInd w:val="0"/>
              <w:snapToGrid w:val="0"/>
              <w:jc w:val="center"/>
              <w:rPr>
                <w:rFonts w:ascii="仿宋" w:hAnsi="仿宋" w:eastAsia="仿宋" w:cs="仿宋"/>
              </w:rPr>
            </w:pPr>
            <w:r>
              <w:rPr>
                <w:rFonts w:hint="eastAsia" w:ascii="仿宋" w:hAnsi="仿宋" w:eastAsia="仿宋"/>
                <w:sz w:val="24"/>
                <w:szCs w:val="24"/>
                <w:lang w:val="en-US" w:eastAsia="zh-CN"/>
              </w:rPr>
              <w:t>唐神结</w:t>
            </w:r>
          </w:p>
        </w:tc>
        <w:tc>
          <w:tcPr>
            <w:tcW w:w="1595" w:type="dxa"/>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718D8D43">
            <w:pPr>
              <w:adjustRightInd w:val="0"/>
              <w:snapToGrid w:val="0"/>
              <w:jc w:val="center"/>
              <w:rPr>
                <w:rFonts w:ascii="仿宋" w:hAnsi="仿宋" w:eastAsia="仿宋" w:cs="仿宋"/>
              </w:rPr>
            </w:pPr>
            <w:r>
              <w:rPr>
                <w:rFonts w:hint="eastAsia" w:ascii="仿宋" w:hAnsi="仿宋" w:eastAsia="仿宋"/>
                <w:sz w:val="24"/>
                <w:szCs w:val="24"/>
              </w:rPr>
              <w:t>培养单位</w:t>
            </w:r>
          </w:p>
        </w:tc>
        <w:tc>
          <w:tcPr>
            <w:tcW w:w="3969" w:type="dxa"/>
            <w:gridSpan w:val="2"/>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491AF87F">
            <w:pPr>
              <w:adjustRightInd w:val="0"/>
              <w:snapToGrid w:val="0"/>
              <w:jc w:val="left"/>
              <w:rPr>
                <w:rFonts w:ascii="仿宋" w:hAnsi="仿宋" w:eastAsia="仿宋" w:cs="仿宋"/>
              </w:rPr>
            </w:pPr>
            <w:r>
              <w:rPr>
                <w:rFonts w:hint="default" w:ascii="Times New Roman" w:hAnsi="Times New Roman" w:eastAsia="仿宋" w:cs="Times New Roman"/>
                <w:lang w:eastAsia="zh-CN"/>
              </w:rPr>
              <w:t>首都医科大学附属北京胸科医院（第十临床医学院）</w:t>
            </w:r>
          </w:p>
        </w:tc>
      </w:tr>
      <w:tr w14:paraId="20D3F5A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407" w:hRule="atLeast"/>
          <w:jc w:val="center"/>
        </w:trPr>
        <w:tc>
          <w:tcPr>
            <w:tcW w:w="8916" w:type="dxa"/>
            <w:gridSpan w:val="7"/>
            <w:tcBorders>
              <w:top w:val="single" w:color="000000" w:sz="12" w:space="0"/>
              <w:left w:val="single" w:color="auto" w:sz="12" w:space="0"/>
              <w:bottom w:val="single" w:color="000000" w:sz="12" w:space="0"/>
              <w:right w:val="single" w:color="auto" w:sz="12" w:space="0"/>
            </w:tcBorders>
            <w:shd w:val="clear" w:color="auto" w:fill="auto"/>
            <w:tcMar>
              <w:top w:w="80" w:type="dxa"/>
              <w:left w:w="80" w:type="dxa"/>
              <w:bottom w:w="80" w:type="dxa"/>
              <w:right w:w="80" w:type="dxa"/>
            </w:tcMar>
            <w:vAlign w:val="center"/>
          </w:tcPr>
          <w:p w14:paraId="14842536">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考核专家名单</w:t>
            </w:r>
          </w:p>
        </w:tc>
      </w:tr>
      <w:tr w14:paraId="08499AF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441" w:hRule="atLeast"/>
          <w:jc w:val="center"/>
        </w:trPr>
        <w:tc>
          <w:tcPr>
            <w:tcW w:w="1413" w:type="dxa"/>
            <w:tcBorders>
              <w:top w:val="single" w:color="000000" w:sz="12"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6CD59CC8">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姓名</w:t>
            </w:r>
          </w:p>
        </w:tc>
        <w:tc>
          <w:tcPr>
            <w:tcW w:w="1182" w:type="dxa"/>
            <w:gridSpan w:val="2"/>
            <w:tcBorders>
              <w:top w:val="single" w:color="000000"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135F3128">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职称</w:t>
            </w:r>
          </w:p>
        </w:tc>
        <w:tc>
          <w:tcPr>
            <w:tcW w:w="5068" w:type="dxa"/>
            <w:gridSpan w:val="3"/>
            <w:tcBorders>
              <w:top w:val="single" w:color="000000" w:sz="12"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378FD494">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单位</w:t>
            </w:r>
          </w:p>
        </w:tc>
        <w:tc>
          <w:tcPr>
            <w:tcW w:w="1253" w:type="dxa"/>
            <w:tcBorders>
              <w:top w:val="single" w:color="000000" w:sz="12"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65C8951C">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考核意见</w:t>
            </w:r>
          </w:p>
        </w:tc>
      </w:tr>
      <w:tr w14:paraId="03D2952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361" w:hRule="atLeast"/>
          <w:jc w:val="center"/>
        </w:trPr>
        <w:tc>
          <w:tcPr>
            <w:tcW w:w="1413"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0C18FAA1">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张俊杰</w:t>
            </w:r>
          </w:p>
        </w:tc>
        <w:tc>
          <w:tcPr>
            <w:tcW w:w="1182"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3324ADAE">
            <w:pPr>
              <w:pStyle w:val="18"/>
              <w:framePr w:wrap="auto" w:vAnchor="margin" w:hAnchor="text" w:yAlign="inline"/>
              <w:spacing w:line="276" w:lineRule="auto"/>
              <w:jc w:val="center"/>
              <w:rPr>
                <w:rFonts w:hint="eastAsia" w:ascii="仿宋" w:hAnsi="仿宋" w:eastAsia="仿宋" w:cs="仿宋"/>
                <w:spacing w:val="0"/>
                <w:lang w:val="en-US" w:eastAsia="zh-CN"/>
              </w:rPr>
            </w:pPr>
            <w:r>
              <w:rPr>
                <w:rFonts w:hint="eastAsia" w:ascii="仿宋" w:hAnsi="仿宋" w:eastAsia="仿宋" w:cs="仿宋"/>
                <w:spacing w:val="0"/>
                <w:lang w:val="en-US" w:eastAsia="zh-CN"/>
              </w:rPr>
              <w:t>正高</w:t>
            </w:r>
          </w:p>
        </w:tc>
        <w:tc>
          <w:tcPr>
            <w:tcW w:w="506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51A1B7BB">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北京师范大学</w:t>
            </w:r>
          </w:p>
        </w:tc>
        <w:tc>
          <w:tcPr>
            <w:tcW w:w="1253"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14315C9A">
            <w:pPr>
              <w:pStyle w:val="18"/>
              <w:framePr w:wrap="auto" w:vAnchor="margin" w:hAnchor="text" w:yAlign="inline"/>
              <w:spacing w:line="276" w:lineRule="auto"/>
              <w:jc w:val="center"/>
              <w:rPr>
                <w:rFonts w:hint="default" w:ascii="仿宋" w:hAnsi="仿宋" w:eastAsia="仿宋" w:cs="仿宋"/>
                <w:spacing w:val="0"/>
                <w:lang w:val="zh-TW" w:eastAsia="zh-TW"/>
              </w:rPr>
            </w:pPr>
          </w:p>
        </w:tc>
      </w:tr>
      <w:tr w14:paraId="75D0C9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361" w:hRule="atLeast"/>
          <w:jc w:val="center"/>
        </w:trPr>
        <w:tc>
          <w:tcPr>
            <w:tcW w:w="1413"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4532F1C3">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唐神结</w:t>
            </w:r>
          </w:p>
        </w:tc>
        <w:tc>
          <w:tcPr>
            <w:tcW w:w="1182"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2AB1942B">
            <w:pPr>
              <w:pStyle w:val="18"/>
              <w:framePr w:wrap="auto" w:vAnchor="margin" w:hAnchor="text" w:yAlign="inline"/>
              <w:spacing w:line="276" w:lineRule="auto"/>
              <w:jc w:val="center"/>
              <w:rPr>
                <w:rFonts w:hint="default" w:ascii="仿宋" w:hAnsi="仿宋" w:eastAsia="仿宋" w:cs="仿宋"/>
                <w:spacing w:val="0"/>
                <w:lang w:val="zh-TW" w:eastAsia="zh-TW"/>
              </w:rPr>
            </w:pPr>
            <w:r>
              <w:rPr>
                <w:rFonts w:hint="eastAsia" w:ascii="仿宋" w:hAnsi="仿宋" w:eastAsia="仿宋" w:cs="仿宋"/>
                <w:spacing w:val="0"/>
                <w:lang w:val="en-US" w:eastAsia="zh-CN"/>
              </w:rPr>
              <w:t>正高</w:t>
            </w:r>
          </w:p>
        </w:tc>
        <w:tc>
          <w:tcPr>
            <w:tcW w:w="506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5DA648E4">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附属北京胸科医院(第十临床医学院)</w:t>
            </w:r>
          </w:p>
        </w:tc>
        <w:tc>
          <w:tcPr>
            <w:tcW w:w="1253"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72A42626">
            <w:pPr>
              <w:pStyle w:val="18"/>
              <w:framePr w:wrap="auto" w:vAnchor="margin" w:hAnchor="text" w:yAlign="inline"/>
              <w:spacing w:line="276" w:lineRule="auto"/>
              <w:jc w:val="center"/>
              <w:rPr>
                <w:rFonts w:hint="default" w:ascii="仿宋" w:hAnsi="仿宋" w:eastAsia="仿宋" w:cs="仿宋"/>
                <w:spacing w:val="0"/>
                <w:lang w:val="zh-TW" w:eastAsia="zh-TW"/>
              </w:rPr>
            </w:pPr>
          </w:p>
        </w:tc>
      </w:tr>
      <w:tr w14:paraId="7DDFC0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391" w:hRule="atLeast"/>
          <w:jc w:val="center"/>
        </w:trPr>
        <w:tc>
          <w:tcPr>
            <w:tcW w:w="1413"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6A6F1A1E">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李传友</w:t>
            </w:r>
          </w:p>
        </w:tc>
        <w:tc>
          <w:tcPr>
            <w:tcW w:w="1182"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0DF80D84">
            <w:pPr>
              <w:pStyle w:val="18"/>
              <w:framePr w:wrap="auto" w:vAnchor="margin" w:hAnchor="text" w:yAlign="inline"/>
              <w:spacing w:line="276" w:lineRule="auto"/>
              <w:jc w:val="center"/>
              <w:rPr>
                <w:rFonts w:hint="default" w:ascii="仿宋" w:hAnsi="仿宋" w:eastAsia="仿宋" w:cs="仿宋"/>
                <w:spacing w:val="0"/>
                <w:lang w:val="zh-TW" w:eastAsia="zh-TW"/>
              </w:rPr>
            </w:pPr>
            <w:r>
              <w:rPr>
                <w:rFonts w:hint="eastAsia" w:ascii="仿宋" w:hAnsi="仿宋" w:eastAsia="仿宋" w:cs="仿宋"/>
                <w:spacing w:val="0"/>
                <w:lang w:val="en-US" w:eastAsia="zh-CN"/>
              </w:rPr>
              <w:t>正高</w:t>
            </w:r>
          </w:p>
        </w:tc>
        <w:tc>
          <w:tcPr>
            <w:tcW w:w="506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4D5CB441">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北京市疾病预防控制中心(预防医学教学基地)</w:t>
            </w:r>
          </w:p>
        </w:tc>
        <w:tc>
          <w:tcPr>
            <w:tcW w:w="1253"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1EAD1CB5">
            <w:pPr>
              <w:pStyle w:val="18"/>
              <w:framePr w:wrap="auto" w:vAnchor="margin" w:hAnchor="text" w:yAlign="inline"/>
              <w:spacing w:line="276" w:lineRule="auto"/>
              <w:jc w:val="center"/>
              <w:rPr>
                <w:rFonts w:hint="default" w:ascii="仿宋" w:hAnsi="仿宋" w:eastAsia="仿宋" w:cs="仿宋"/>
                <w:spacing w:val="0"/>
                <w:lang w:val="zh-TW" w:eastAsia="zh-TW"/>
              </w:rPr>
            </w:pPr>
          </w:p>
        </w:tc>
      </w:tr>
      <w:tr w14:paraId="2DAF30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391" w:hRule="atLeast"/>
          <w:jc w:val="center"/>
        </w:trPr>
        <w:tc>
          <w:tcPr>
            <w:tcW w:w="1413" w:type="dxa"/>
            <w:tcBorders>
              <w:top w:val="single" w:color="000000" w:sz="4" w:space="0"/>
              <w:left w:val="single" w:color="auto" w:sz="12" w:space="0"/>
              <w:bottom w:val="single" w:color="000000" w:sz="4" w:space="0"/>
              <w:right w:val="single" w:color="auto" w:sz="4" w:space="0"/>
            </w:tcBorders>
            <w:shd w:val="clear" w:color="auto" w:fill="auto"/>
            <w:tcMar>
              <w:top w:w="80" w:type="dxa"/>
              <w:left w:w="80" w:type="dxa"/>
              <w:bottom w:w="80" w:type="dxa"/>
              <w:right w:w="80" w:type="dxa"/>
            </w:tcMar>
            <w:vAlign w:val="center"/>
          </w:tcPr>
          <w:p w14:paraId="11651B5B">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逄宇</w:t>
            </w:r>
          </w:p>
        </w:tc>
        <w:tc>
          <w:tcPr>
            <w:tcW w:w="1182" w:type="dxa"/>
            <w:gridSpan w:val="2"/>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30714201">
            <w:pPr>
              <w:pStyle w:val="18"/>
              <w:framePr w:wrap="auto" w:vAnchor="margin" w:hAnchor="text" w:yAlign="inline"/>
              <w:spacing w:line="276" w:lineRule="auto"/>
              <w:jc w:val="center"/>
              <w:rPr>
                <w:rFonts w:hint="default" w:ascii="仿宋" w:hAnsi="仿宋" w:eastAsia="仿宋" w:cs="仿宋"/>
                <w:spacing w:val="0"/>
                <w:lang w:val="zh-TW" w:eastAsia="zh-TW"/>
              </w:rPr>
            </w:pPr>
            <w:r>
              <w:rPr>
                <w:rFonts w:hint="eastAsia" w:ascii="仿宋" w:hAnsi="仿宋" w:eastAsia="仿宋" w:cs="仿宋"/>
                <w:spacing w:val="0"/>
                <w:lang w:val="en-US" w:eastAsia="zh-CN"/>
              </w:rPr>
              <w:t>正高</w:t>
            </w:r>
          </w:p>
        </w:tc>
        <w:tc>
          <w:tcPr>
            <w:tcW w:w="5068" w:type="dxa"/>
            <w:gridSpan w:val="3"/>
            <w:tcBorders>
              <w:top w:val="single" w:color="000000" w:sz="4" w:space="0"/>
              <w:left w:val="single" w:color="auto" w:sz="4" w:space="0"/>
              <w:bottom w:val="single" w:color="000000" w:sz="4" w:space="0"/>
              <w:right w:val="single" w:color="auto" w:sz="4" w:space="0"/>
            </w:tcBorders>
            <w:shd w:val="clear" w:color="auto" w:fill="auto"/>
            <w:tcMar>
              <w:top w:w="80" w:type="dxa"/>
              <w:left w:w="80" w:type="dxa"/>
              <w:bottom w:w="80" w:type="dxa"/>
              <w:right w:w="80" w:type="dxa"/>
            </w:tcMar>
            <w:vAlign w:val="center"/>
          </w:tcPr>
          <w:p w14:paraId="0ABC3B15">
            <w:pPr>
              <w:pStyle w:val="18"/>
              <w:framePr w:wrap="auto" w:vAnchor="margin" w:hAnchor="text" w:yAlign="inline"/>
              <w:spacing w:line="276" w:lineRule="auto"/>
              <w:jc w:val="center"/>
              <w:rPr>
                <w:rFonts w:hint="default" w:ascii="仿宋" w:hAnsi="仿宋" w:eastAsia="仿宋" w:cs="仿宋"/>
                <w:spacing w:val="0"/>
                <w:lang w:val="zh-TW" w:eastAsia="zh-TW"/>
              </w:rPr>
            </w:pPr>
            <w:r>
              <w:rPr>
                <w:rFonts w:ascii="仿宋" w:hAnsi="仿宋" w:eastAsia="仿宋" w:cs="仿宋"/>
                <w:spacing w:val="0"/>
                <w:lang w:val="zh-TW" w:eastAsia="zh-TW"/>
              </w:rPr>
              <w:t>附属北京胸科医院(第十临床医学院)</w:t>
            </w:r>
          </w:p>
        </w:tc>
        <w:tc>
          <w:tcPr>
            <w:tcW w:w="1253" w:type="dxa"/>
            <w:tcBorders>
              <w:top w:val="single" w:color="000000" w:sz="4" w:space="0"/>
              <w:left w:val="single" w:color="auto" w:sz="4" w:space="0"/>
              <w:bottom w:val="single" w:color="000000" w:sz="4" w:space="0"/>
              <w:right w:val="single" w:color="auto" w:sz="12" w:space="0"/>
            </w:tcBorders>
            <w:shd w:val="clear" w:color="auto" w:fill="auto"/>
            <w:tcMar>
              <w:top w:w="80" w:type="dxa"/>
              <w:left w:w="80" w:type="dxa"/>
              <w:bottom w:w="80" w:type="dxa"/>
              <w:right w:w="80" w:type="dxa"/>
            </w:tcMar>
            <w:vAlign w:val="center"/>
          </w:tcPr>
          <w:p w14:paraId="64DB776B">
            <w:pPr>
              <w:pStyle w:val="18"/>
              <w:framePr w:wrap="auto" w:vAnchor="margin" w:hAnchor="text" w:yAlign="inline"/>
              <w:spacing w:line="276" w:lineRule="auto"/>
              <w:jc w:val="center"/>
              <w:rPr>
                <w:rFonts w:hint="default" w:ascii="仿宋" w:hAnsi="仿宋" w:eastAsia="仿宋" w:cs="仿宋"/>
                <w:spacing w:val="0"/>
                <w:lang w:val="zh-TW" w:eastAsia="zh-TW"/>
              </w:rPr>
            </w:pPr>
          </w:p>
        </w:tc>
      </w:tr>
      <w:tr w14:paraId="20EA6AD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391" w:hRule="atLeast"/>
          <w:jc w:val="center"/>
        </w:trPr>
        <w:tc>
          <w:tcPr>
            <w:tcW w:w="1413" w:type="dxa"/>
            <w:tcBorders>
              <w:top w:val="single" w:color="000000" w:sz="4" w:space="0"/>
              <w:left w:val="single" w:color="auto" w:sz="12" w:space="0"/>
              <w:bottom w:val="single" w:color="000000" w:sz="12" w:space="0"/>
              <w:right w:val="single" w:color="auto" w:sz="4" w:space="0"/>
            </w:tcBorders>
            <w:shd w:val="clear" w:color="auto" w:fill="auto"/>
            <w:tcMar>
              <w:top w:w="80" w:type="dxa"/>
              <w:left w:w="80" w:type="dxa"/>
              <w:bottom w:w="80" w:type="dxa"/>
              <w:right w:w="80" w:type="dxa"/>
            </w:tcMar>
            <w:vAlign w:val="center"/>
          </w:tcPr>
          <w:p w14:paraId="07B2EF1C">
            <w:pPr>
              <w:pStyle w:val="18"/>
              <w:framePr w:wrap="auto" w:vAnchor="margin" w:hAnchor="text" w:yAlign="inline"/>
              <w:spacing w:line="276" w:lineRule="auto"/>
              <w:jc w:val="center"/>
              <w:rPr>
                <w:rFonts w:hint="default" w:ascii="仿宋" w:hAnsi="仿宋" w:eastAsia="仿宋" w:cs="仿宋"/>
                <w:spacing w:val="0"/>
                <w:lang w:val="zh-TW" w:eastAsia="zh-TW"/>
              </w:rPr>
            </w:pPr>
          </w:p>
        </w:tc>
        <w:tc>
          <w:tcPr>
            <w:tcW w:w="1182" w:type="dxa"/>
            <w:gridSpan w:val="2"/>
            <w:tcBorders>
              <w:top w:val="single" w:color="000000" w:sz="4"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5D083660">
            <w:pPr>
              <w:pStyle w:val="18"/>
              <w:framePr w:wrap="auto" w:vAnchor="margin" w:hAnchor="text" w:yAlign="inline"/>
              <w:spacing w:line="276" w:lineRule="auto"/>
              <w:jc w:val="center"/>
              <w:rPr>
                <w:rFonts w:hint="default" w:ascii="仿宋" w:hAnsi="仿宋" w:eastAsia="仿宋" w:cs="仿宋"/>
                <w:spacing w:val="0"/>
                <w:lang w:val="zh-TW" w:eastAsia="zh-TW"/>
              </w:rPr>
            </w:pPr>
          </w:p>
        </w:tc>
        <w:tc>
          <w:tcPr>
            <w:tcW w:w="5068" w:type="dxa"/>
            <w:gridSpan w:val="3"/>
            <w:tcBorders>
              <w:top w:val="single" w:color="000000" w:sz="4" w:space="0"/>
              <w:left w:val="single" w:color="auto" w:sz="4" w:space="0"/>
              <w:bottom w:val="single" w:color="000000" w:sz="12" w:space="0"/>
              <w:right w:val="single" w:color="auto" w:sz="4" w:space="0"/>
            </w:tcBorders>
            <w:shd w:val="clear" w:color="auto" w:fill="auto"/>
            <w:tcMar>
              <w:top w:w="80" w:type="dxa"/>
              <w:left w:w="80" w:type="dxa"/>
              <w:bottom w:w="80" w:type="dxa"/>
              <w:right w:w="80" w:type="dxa"/>
            </w:tcMar>
            <w:vAlign w:val="center"/>
          </w:tcPr>
          <w:p w14:paraId="6D7C44D7">
            <w:pPr>
              <w:pStyle w:val="18"/>
              <w:framePr w:wrap="auto" w:vAnchor="margin" w:hAnchor="text" w:yAlign="inline"/>
              <w:spacing w:line="276" w:lineRule="auto"/>
              <w:jc w:val="center"/>
              <w:rPr>
                <w:rFonts w:hint="default" w:ascii="仿宋" w:hAnsi="仿宋" w:eastAsia="仿宋" w:cs="仿宋"/>
                <w:spacing w:val="0"/>
                <w:lang w:val="zh-TW" w:eastAsia="zh-TW"/>
              </w:rPr>
            </w:pPr>
          </w:p>
        </w:tc>
        <w:tc>
          <w:tcPr>
            <w:tcW w:w="1253" w:type="dxa"/>
            <w:tcBorders>
              <w:top w:val="single" w:color="000000" w:sz="4" w:space="0"/>
              <w:left w:val="single" w:color="auto" w:sz="4" w:space="0"/>
              <w:bottom w:val="single" w:color="000000" w:sz="12" w:space="0"/>
              <w:right w:val="single" w:color="auto" w:sz="12" w:space="0"/>
            </w:tcBorders>
            <w:shd w:val="clear" w:color="auto" w:fill="auto"/>
            <w:tcMar>
              <w:top w:w="80" w:type="dxa"/>
              <w:left w:w="80" w:type="dxa"/>
              <w:bottom w:w="80" w:type="dxa"/>
              <w:right w:w="80" w:type="dxa"/>
            </w:tcMar>
            <w:vAlign w:val="center"/>
          </w:tcPr>
          <w:p w14:paraId="56C37BD3">
            <w:pPr>
              <w:pStyle w:val="18"/>
              <w:framePr w:wrap="auto" w:vAnchor="margin" w:hAnchor="text" w:yAlign="inline"/>
              <w:spacing w:line="276" w:lineRule="auto"/>
              <w:jc w:val="center"/>
              <w:rPr>
                <w:rFonts w:hint="default" w:ascii="仿宋" w:hAnsi="仿宋" w:eastAsia="仿宋" w:cs="仿宋"/>
                <w:spacing w:val="-1"/>
                <w:lang w:val="zh-TW" w:eastAsia="zh-TW"/>
              </w:rPr>
            </w:pPr>
          </w:p>
        </w:tc>
      </w:tr>
      <w:tr w14:paraId="1B507D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1578" w:hRule="atLeast"/>
          <w:jc w:val="center"/>
        </w:trPr>
        <w:tc>
          <w:tcPr>
            <w:tcW w:w="1413" w:type="dxa"/>
            <w:tcBorders>
              <w:top w:val="single" w:color="000000" w:sz="12" w:space="0"/>
              <w:left w:val="single" w:color="auto" w:sz="12" w:space="0"/>
              <w:right w:val="single" w:color="auto" w:sz="4" w:space="0"/>
            </w:tcBorders>
            <w:shd w:val="clear" w:color="auto" w:fill="auto"/>
            <w:tcMar>
              <w:top w:w="80" w:type="dxa"/>
              <w:left w:w="80" w:type="dxa"/>
              <w:bottom w:w="80" w:type="dxa"/>
              <w:right w:w="80" w:type="dxa"/>
            </w:tcMar>
            <w:vAlign w:val="center"/>
          </w:tcPr>
          <w:p w14:paraId="22BFDB43">
            <w:pPr>
              <w:pStyle w:val="18"/>
              <w:framePr w:wrap="auto" w:vAnchor="margin" w:hAnchor="text" w:yAlign="inline"/>
              <w:spacing w:line="240" w:lineRule="auto"/>
              <w:jc w:val="center"/>
              <w:rPr>
                <w:rFonts w:hint="default" w:ascii="仿宋" w:hAnsi="仿宋" w:eastAsia="仿宋" w:cs="仿宋"/>
              </w:rPr>
            </w:pPr>
            <w:r>
              <w:rPr>
                <w:rFonts w:ascii="仿宋" w:hAnsi="仿宋" w:eastAsia="仿宋" w:cs="仿宋"/>
                <w:spacing w:val="0"/>
                <w:lang w:val="zh-TW" w:eastAsia="zh-TW"/>
              </w:rPr>
              <w:t>考核结果</w:t>
            </w:r>
          </w:p>
        </w:tc>
        <w:tc>
          <w:tcPr>
            <w:tcW w:w="7503" w:type="dxa"/>
            <w:gridSpan w:val="6"/>
            <w:tcBorders>
              <w:top w:val="single" w:color="000000" w:sz="12" w:space="0"/>
              <w:left w:val="single" w:color="auto" w:sz="4" w:space="0"/>
              <w:right w:val="single" w:color="auto" w:sz="12" w:space="0"/>
            </w:tcBorders>
            <w:shd w:val="clear" w:color="auto" w:fill="auto"/>
            <w:tcMar>
              <w:top w:w="80" w:type="dxa"/>
              <w:left w:w="80" w:type="dxa"/>
              <w:bottom w:w="80" w:type="dxa"/>
              <w:right w:w="80" w:type="dxa"/>
            </w:tcMar>
            <w:vAlign w:val="center"/>
          </w:tcPr>
          <w:p w14:paraId="0CB224A8">
            <w:pPr>
              <w:pStyle w:val="16"/>
              <w:framePr w:wrap="auto" w:vAnchor="margin" w:hAnchor="text" w:yAlign="inline"/>
              <w:ind w:firstLine="480"/>
              <w:rPr>
                <w:rFonts w:ascii="仿宋" w:hAnsi="仿宋" w:eastAsia="仿宋" w:cs="仿宋"/>
                <w:sz w:val="24"/>
                <w:szCs w:val="24"/>
              </w:rPr>
            </w:pPr>
            <w:r>
              <w:rPr>
                <w:rFonts w:hint="eastAsia" w:ascii="仿宋" w:hAnsi="仿宋" w:eastAsia="仿宋" w:cs="仿宋"/>
                <w:sz w:val="24"/>
                <w:szCs w:val="24"/>
              </w:rPr>
              <w:t>□</w:t>
            </w:r>
            <w:r>
              <w:rPr>
                <w:rFonts w:ascii="仿宋" w:hAnsi="仿宋" w:eastAsia="仿宋" w:cs="仿宋"/>
                <w:sz w:val="24"/>
                <w:szCs w:val="24"/>
                <w:lang w:val="zh-TW" w:eastAsia="zh-TW"/>
              </w:rPr>
              <w:t xml:space="preserve">优秀      </w:t>
            </w:r>
            <w:r>
              <w:rPr>
                <w:rFonts w:hint="eastAsia" w:ascii="仿宋" w:hAnsi="仿宋" w:eastAsia="仿宋" w:cs="仿宋"/>
                <w:sz w:val="24"/>
                <w:szCs w:val="24"/>
              </w:rPr>
              <w:t>□</w:t>
            </w:r>
            <w:r>
              <w:rPr>
                <w:rFonts w:ascii="仿宋" w:hAnsi="仿宋" w:eastAsia="仿宋" w:cs="仿宋"/>
                <w:sz w:val="24"/>
                <w:szCs w:val="24"/>
                <w:lang w:val="zh-TW" w:eastAsia="zh-TW"/>
              </w:rPr>
              <w:t xml:space="preserve">合格     </w:t>
            </w:r>
            <w:r>
              <w:rPr>
                <w:rFonts w:hint="eastAsia" w:ascii="仿宋" w:hAnsi="仿宋" w:eastAsia="仿宋" w:cs="仿宋"/>
                <w:sz w:val="24"/>
                <w:szCs w:val="24"/>
              </w:rPr>
              <w:t>□</w:t>
            </w:r>
            <w:r>
              <w:rPr>
                <w:rFonts w:ascii="仿宋" w:hAnsi="仿宋" w:eastAsia="仿宋" w:cs="仿宋"/>
                <w:sz w:val="24"/>
                <w:szCs w:val="24"/>
                <w:lang w:val="zh-TW" w:eastAsia="zh-TW"/>
              </w:rPr>
              <w:t>不合格</w:t>
            </w:r>
          </w:p>
          <w:p w14:paraId="508FE3A0">
            <w:pPr>
              <w:pStyle w:val="16"/>
              <w:framePr w:wrap="auto" w:vAnchor="margin" w:hAnchor="text" w:yAlign="inline"/>
              <w:ind w:firstLine="480"/>
              <w:rPr>
                <w:rFonts w:ascii="仿宋" w:hAnsi="仿宋" w:eastAsia="仿宋" w:cs="仿宋"/>
                <w:sz w:val="24"/>
                <w:szCs w:val="24"/>
              </w:rPr>
            </w:pPr>
          </w:p>
          <w:p w14:paraId="37A3A58F">
            <w:pPr>
              <w:pStyle w:val="16"/>
              <w:framePr w:wrap="auto" w:vAnchor="margin" w:hAnchor="text" w:yAlign="inline"/>
              <w:rPr>
                <w:rFonts w:ascii="仿宋" w:hAnsi="仿宋" w:eastAsia="仿宋" w:cs="仿宋"/>
                <w:szCs w:val="24"/>
                <w:lang w:val="zh-TW"/>
              </w:rPr>
            </w:pPr>
            <w:r>
              <w:rPr>
                <w:rFonts w:hint="eastAsia" w:ascii="仿宋" w:hAnsi="仿宋" w:eastAsia="仿宋" w:cs="仿宋"/>
                <w:szCs w:val="24"/>
                <w:lang w:val="zh-TW"/>
              </w:rPr>
              <w:t>说明：</w:t>
            </w:r>
          </w:p>
          <w:p w14:paraId="37A0866B">
            <w:pPr>
              <w:pStyle w:val="16"/>
              <w:framePr w:wrap="auto" w:vAnchor="margin" w:hAnchor="text" w:yAlign="inline"/>
              <w:rPr>
                <w:rFonts w:ascii="仿宋" w:hAnsi="仿宋" w:eastAsia="仿宋" w:cs="仿宋"/>
                <w:szCs w:val="24"/>
                <w:lang w:val="zh-TW" w:eastAsia="zh-TW"/>
              </w:rPr>
            </w:pPr>
            <w:r>
              <w:rPr>
                <w:rFonts w:ascii="仿宋" w:hAnsi="仿宋" w:eastAsia="仿宋" w:cs="仿宋"/>
                <w:szCs w:val="24"/>
                <w:lang w:val="zh-TW" w:eastAsia="zh-TW"/>
              </w:rPr>
              <w:t>1.专家考核结果2/3及以上是“优秀”者，考核结果为优秀。</w:t>
            </w:r>
          </w:p>
          <w:p w14:paraId="429FFF0E">
            <w:pPr>
              <w:pStyle w:val="16"/>
              <w:framePr w:wrap="auto" w:vAnchor="margin" w:hAnchor="text" w:yAlign="inline"/>
              <w:rPr>
                <w:rFonts w:ascii="仿宋" w:hAnsi="仿宋" w:eastAsia="仿宋" w:cs="仿宋"/>
                <w:szCs w:val="24"/>
                <w:lang w:val="zh-TW" w:eastAsia="zh-TW"/>
              </w:rPr>
            </w:pPr>
            <w:r>
              <w:rPr>
                <w:rFonts w:ascii="仿宋" w:hAnsi="仿宋" w:eastAsia="仿宋" w:cs="仿宋"/>
                <w:szCs w:val="24"/>
                <w:lang w:val="zh-TW" w:eastAsia="zh-TW"/>
              </w:rPr>
              <w:t>2.专家考核结果2/3及以上是“不合格”者，考核结果为不合格。</w:t>
            </w:r>
          </w:p>
          <w:p w14:paraId="5848F72E">
            <w:pPr>
              <w:pStyle w:val="16"/>
              <w:framePr w:wrap="auto" w:vAnchor="margin" w:hAnchor="text" w:yAlign="inline"/>
              <w:rPr>
                <w:rFonts w:ascii="仿宋" w:hAnsi="仿宋" w:eastAsia="仿宋" w:cs="仿宋"/>
              </w:rPr>
            </w:pPr>
            <w:r>
              <w:rPr>
                <w:rFonts w:ascii="仿宋" w:hAnsi="仿宋" w:eastAsia="仿宋" w:cs="仿宋"/>
                <w:szCs w:val="24"/>
                <w:lang w:val="zh-TW" w:eastAsia="zh-TW"/>
              </w:rPr>
              <w:t>3.其余情况</w:t>
            </w:r>
            <w:r>
              <w:rPr>
                <w:rFonts w:hint="eastAsia" w:ascii="仿宋" w:hAnsi="仿宋" w:eastAsia="仿宋" w:cs="仿宋"/>
                <w:szCs w:val="24"/>
                <w:lang w:val="zh-TW" w:eastAsia="zh-TW"/>
              </w:rPr>
              <w:t>者，考核结果</w:t>
            </w:r>
            <w:r>
              <w:rPr>
                <w:rFonts w:ascii="仿宋" w:hAnsi="仿宋" w:eastAsia="仿宋" w:cs="仿宋"/>
                <w:szCs w:val="24"/>
                <w:lang w:val="zh-TW" w:eastAsia="zh-TW"/>
              </w:rPr>
              <w:t>为合格。</w:t>
            </w:r>
          </w:p>
        </w:tc>
      </w:tr>
      <w:tr w14:paraId="2335A0A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2195" w:hRule="atLeast"/>
          <w:jc w:val="center"/>
        </w:trPr>
        <w:tc>
          <w:tcPr>
            <w:tcW w:w="1413" w:type="dxa"/>
            <w:tcBorders>
              <w:left w:val="single" w:color="auto" w:sz="12" w:space="0"/>
              <w:right w:val="single" w:color="auto" w:sz="4" w:space="0"/>
            </w:tcBorders>
            <w:shd w:val="clear" w:color="auto" w:fill="auto"/>
            <w:tcMar>
              <w:top w:w="80" w:type="dxa"/>
              <w:left w:w="80" w:type="dxa"/>
              <w:bottom w:w="80" w:type="dxa"/>
              <w:right w:w="80" w:type="dxa"/>
            </w:tcMar>
            <w:vAlign w:val="center"/>
          </w:tcPr>
          <w:p w14:paraId="12649848">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考核小组</w:t>
            </w:r>
          </w:p>
          <w:p w14:paraId="6A88D8E9">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意见</w:t>
            </w:r>
          </w:p>
        </w:tc>
        <w:tc>
          <w:tcPr>
            <w:tcW w:w="7503" w:type="dxa"/>
            <w:gridSpan w:val="6"/>
            <w:tcBorders>
              <w:left w:val="single" w:color="auto" w:sz="4" w:space="0"/>
              <w:right w:val="single" w:color="auto" w:sz="12" w:space="0"/>
            </w:tcBorders>
            <w:shd w:val="clear" w:color="auto" w:fill="auto"/>
            <w:tcMar>
              <w:top w:w="80" w:type="dxa"/>
              <w:left w:w="80" w:type="dxa"/>
              <w:bottom w:w="80" w:type="dxa"/>
              <w:right w:w="80" w:type="dxa"/>
            </w:tcMar>
            <w:vAlign w:val="center"/>
          </w:tcPr>
          <w:p w14:paraId="26152039">
            <w:pPr>
              <w:pStyle w:val="16"/>
              <w:framePr w:wrap="auto" w:vAnchor="margin" w:hAnchor="text" w:yAlign="inline"/>
              <w:widowControl/>
              <w:spacing w:line="360" w:lineRule="auto"/>
              <w:jc w:val="center"/>
              <w:rPr>
                <w:rFonts w:ascii="仿宋" w:hAnsi="仿宋" w:eastAsia="仿宋" w:cs="仿宋"/>
                <w:sz w:val="24"/>
                <w:szCs w:val="24"/>
              </w:rPr>
            </w:pPr>
          </w:p>
          <w:p w14:paraId="39F04D2D">
            <w:pPr>
              <w:pStyle w:val="16"/>
              <w:framePr w:wrap="auto" w:vAnchor="margin" w:hAnchor="text" w:yAlign="inline"/>
              <w:widowControl/>
              <w:spacing w:line="360" w:lineRule="auto"/>
              <w:jc w:val="center"/>
              <w:rPr>
                <w:rFonts w:ascii="仿宋" w:hAnsi="仿宋" w:eastAsia="仿宋" w:cs="仿宋"/>
                <w:sz w:val="24"/>
                <w:szCs w:val="24"/>
              </w:rPr>
            </w:pPr>
          </w:p>
          <w:p w14:paraId="36524220">
            <w:pPr>
              <w:pStyle w:val="16"/>
              <w:framePr w:wrap="auto" w:vAnchor="margin" w:hAnchor="text" w:yAlign="inline"/>
              <w:widowControl/>
              <w:spacing w:line="360" w:lineRule="auto"/>
              <w:ind w:firstLine="3120" w:firstLineChars="1300"/>
              <w:rPr>
                <w:rFonts w:ascii="仿宋" w:hAnsi="仿宋" w:eastAsia="仿宋" w:cs="仿宋"/>
                <w:sz w:val="24"/>
                <w:szCs w:val="24"/>
              </w:rPr>
            </w:pPr>
            <w:r>
              <w:rPr>
                <w:rFonts w:ascii="仿宋" w:hAnsi="仿宋" w:eastAsia="仿宋" w:cs="仿宋"/>
                <w:sz w:val="24"/>
                <w:szCs w:val="24"/>
                <w:lang w:val="zh-TW" w:eastAsia="zh-TW"/>
              </w:rPr>
              <w:t>考核小组组长签字：</w:t>
            </w:r>
          </w:p>
          <w:p w14:paraId="6E321DC6">
            <w:pPr>
              <w:pStyle w:val="16"/>
              <w:framePr w:wrap="auto" w:vAnchor="margin" w:hAnchor="text" w:yAlign="inline"/>
              <w:widowControl/>
              <w:spacing w:line="360" w:lineRule="auto"/>
              <w:ind w:firstLine="4440" w:firstLineChars="1850"/>
              <w:rPr>
                <w:rFonts w:ascii="仿宋" w:hAnsi="仿宋" w:eastAsia="仿宋" w:cs="仿宋"/>
              </w:rPr>
            </w:pPr>
            <w:r>
              <w:rPr>
                <w:rFonts w:ascii="仿宋" w:hAnsi="仿宋" w:eastAsia="仿宋" w:cs="仿宋"/>
                <w:sz w:val="24"/>
                <w:szCs w:val="24"/>
                <w:lang w:val="zh-TW" w:eastAsia="zh-TW"/>
              </w:rPr>
              <w:t>日期：</w:t>
            </w:r>
          </w:p>
        </w:tc>
      </w:tr>
      <w:tr w14:paraId="6EA4D17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 w:type="dxa"/>
            <w:bottom w:w="0" w:type="dxa"/>
            <w:right w:w="10" w:type="dxa"/>
          </w:tblCellMar>
        </w:tblPrEx>
        <w:trPr>
          <w:trHeight w:val="1760" w:hRule="atLeast"/>
          <w:jc w:val="center"/>
        </w:trPr>
        <w:tc>
          <w:tcPr>
            <w:tcW w:w="1413" w:type="dxa"/>
            <w:tcBorders>
              <w:left w:val="single" w:color="auto" w:sz="12" w:space="0"/>
              <w:bottom w:val="single" w:color="auto" w:sz="12" w:space="0"/>
              <w:right w:val="single" w:color="auto" w:sz="4" w:space="0"/>
            </w:tcBorders>
            <w:shd w:val="clear" w:color="auto" w:fill="auto"/>
            <w:tcMar>
              <w:top w:w="80" w:type="dxa"/>
              <w:left w:w="80" w:type="dxa"/>
              <w:bottom w:w="80" w:type="dxa"/>
              <w:right w:w="80" w:type="dxa"/>
            </w:tcMar>
            <w:vAlign w:val="center"/>
          </w:tcPr>
          <w:p w14:paraId="5D2DB3CB">
            <w:pPr>
              <w:pStyle w:val="16"/>
              <w:framePr w:wrap="auto" w:vAnchor="margin" w:hAnchor="text" w:yAlign="inline"/>
              <w:jc w:val="center"/>
              <w:rPr>
                <w:rFonts w:ascii="仿宋" w:hAnsi="仿宋" w:eastAsia="仿宋" w:cs="仿宋"/>
                <w:sz w:val="24"/>
                <w:szCs w:val="24"/>
              </w:rPr>
            </w:pPr>
            <w:r>
              <w:rPr>
                <w:rFonts w:ascii="仿宋" w:hAnsi="仿宋" w:eastAsia="仿宋" w:cs="仿宋"/>
                <w:sz w:val="24"/>
                <w:szCs w:val="24"/>
                <w:lang w:val="zh-TW" w:eastAsia="zh-TW"/>
              </w:rPr>
              <w:t>所在学院</w:t>
            </w:r>
          </w:p>
          <w:p w14:paraId="03E910C8">
            <w:pPr>
              <w:pStyle w:val="16"/>
              <w:framePr w:wrap="auto" w:vAnchor="margin" w:hAnchor="text" w:yAlign="inline"/>
              <w:jc w:val="center"/>
              <w:rPr>
                <w:rFonts w:ascii="仿宋" w:hAnsi="仿宋" w:eastAsia="仿宋" w:cs="仿宋"/>
              </w:rPr>
            </w:pPr>
            <w:r>
              <w:rPr>
                <w:rFonts w:ascii="仿宋" w:hAnsi="仿宋" w:eastAsia="仿宋" w:cs="仿宋"/>
                <w:sz w:val="24"/>
                <w:szCs w:val="24"/>
                <w:lang w:val="zh-TW" w:eastAsia="zh-TW"/>
              </w:rPr>
              <w:t>审核意见</w:t>
            </w:r>
          </w:p>
        </w:tc>
        <w:tc>
          <w:tcPr>
            <w:tcW w:w="7503" w:type="dxa"/>
            <w:gridSpan w:val="6"/>
            <w:tcBorders>
              <w:left w:val="single" w:color="auto" w:sz="4" w:space="0"/>
              <w:bottom w:val="single" w:color="auto" w:sz="12" w:space="0"/>
              <w:right w:val="single" w:color="auto" w:sz="12" w:space="0"/>
            </w:tcBorders>
            <w:shd w:val="clear" w:color="auto" w:fill="auto"/>
            <w:tcMar>
              <w:top w:w="80" w:type="dxa"/>
              <w:left w:w="80" w:type="dxa"/>
              <w:bottom w:w="80" w:type="dxa"/>
              <w:right w:w="80" w:type="dxa"/>
            </w:tcMar>
            <w:vAlign w:val="center"/>
          </w:tcPr>
          <w:p w14:paraId="0E723688">
            <w:pPr>
              <w:pStyle w:val="16"/>
              <w:framePr w:wrap="auto" w:vAnchor="margin" w:hAnchor="text" w:yAlign="inline"/>
              <w:widowControl/>
              <w:spacing w:line="360" w:lineRule="auto"/>
              <w:rPr>
                <w:rFonts w:ascii="仿宋" w:hAnsi="仿宋" w:eastAsia="仿宋" w:cs="仿宋"/>
                <w:sz w:val="24"/>
                <w:szCs w:val="24"/>
              </w:rPr>
            </w:pPr>
          </w:p>
          <w:p w14:paraId="049C60C0">
            <w:pPr>
              <w:pStyle w:val="16"/>
              <w:framePr w:wrap="auto" w:vAnchor="margin" w:hAnchor="text" w:yAlign="inline"/>
              <w:widowControl/>
              <w:spacing w:line="360" w:lineRule="auto"/>
              <w:rPr>
                <w:rFonts w:ascii="仿宋" w:hAnsi="仿宋" w:eastAsia="仿宋" w:cs="仿宋"/>
                <w:sz w:val="24"/>
                <w:szCs w:val="24"/>
              </w:rPr>
            </w:pPr>
          </w:p>
          <w:p w14:paraId="0D511F6D">
            <w:pPr>
              <w:pStyle w:val="16"/>
              <w:framePr w:wrap="auto" w:vAnchor="margin" w:hAnchor="text" w:yAlign="inline"/>
              <w:widowControl/>
              <w:spacing w:line="360" w:lineRule="auto"/>
              <w:ind w:firstLine="2160" w:firstLineChars="900"/>
              <w:rPr>
                <w:rFonts w:ascii="仿宋" w:hAnsi="仿宋" w:eastAsia="仿宋" w:cs="仿宋"/>
                <w:sz w:val="24"/>
                <w:szCs w:val="24"/>
              </w:rPr>
            </w:pPr>
            <w:r>
              <w:rPr>
                <w:rFonts w:ascii="仿宋" w:hAnsi="仿宋" w:eastAsia="仿宋" w:cs="仿宋"/>
                <w:sz w:val="24"/>
                <w:szCs w:val="24"/>
                <w:lang w:val="zh-TW" w:eastAsia="zh-TW"/>
              </w:rPr>
              <w:t xml:space="preserve">负责人签字：             </w:t>
            </w:r>
            <w:r>
              <w:rPr>
                <w:rFonts w:hint="eastAsia" w:ascii="仿宋" w:hAnsi="仿宋" w:eastAsia="仿宋" w:cs="仿宋"/>
                <w:sz w:val="24"/>
                <w:szCs w:val="24"/>
                <w:lang w:val="zh-TW"/>
              </w:rPr>
              <w:t>（</w:t>
            </w:r>
            <w:r>
              <w:rPr>
                <w:rFonts w:ascii="仿宋" w:hAnsi="仿宋" w:eastAsia="仿宋" w:cs="仿宋"/>
                <w:sz w:val="24"/>
                <w:szCs w:val="24"/>
                <w:lang w:val="zh-TW" w:eastAsia="zh-TW"/>
              </w:rPr>
              <w:t>盖章</w:t>
            </w:r>
            <w:r>
              <w:rPr>
                <w:rFonts w:hint="eastAsia" w:ascii="仿宋" w:hAnsi="仿宋" w:eastAsia="仿宋" w:cs="仿宋"/>
                <w:sz w:val="24"/>
                <w:szCs w:val="24"/>
                <w:lang w:val="zh-TW"/>
              </w:rPr>
              <w:t>）</w:t>
            </w:r>
          </w:p>
          <w:p w14:paraId="54FDC123">
            <w:pPr>
              <w:pStyle w:val="16"/>
              <w:framePr w:wrap="auto" w:vAnchor="margin" w:hAnchor="text" w:yAlign="inline"/>
              <w:widowControl/>
              <w:spacing w:line="360" w:lineRule="auto"/>
              <w:ind w:right="315" w:firstLine="2880" w:firstLineChars="1200"/>
              <w:jc w:val="left"/>
              <w:rPr>
                <w:rFonts w:ascii="仿宋" w:hAnsi="仿宋" w:eastAsia="仿宋" w:cs="仿宋"/>
              </w:rPr>
            </w:pPr>
            <w:r>
              <w:rPr>
                <w:rFonts w:ascii="仿宋" w:hAnsi="仿宋" w:eastAsia="仿宋" w:cs="仿宋"/>
                <w:sz w:val="24"/>
                <w:szCs w:val="24"/>
                <w:lang w:val="zh-TW" w:eastAsia="zh-TW"/>
              </w:rPr>
              <w:t>日期：</w:t>
            </w:r>
          </w:p>
        </w:tc>
      </w:tr>
    </w:tbl>
    <w:p w14:paraId="5F62FCAA">
      <w:pPr>
        <w:pStyle w:val="16"/>
        <w:framePr w:wrap="auto" w:vAnchor="margin" w:hAnchor="text" w:yAlign="inline"/>
        <w:jc w:val="both"/>
        <w:rPr>
          <w:rFonts w:ascii="华文中宋" w:hAnsi="华文中宋" w:eastAsia="华文中宋" w:cs="华文中宋"/>
          <w:b/>
          <w:bCs/>
          <w:sz w:val="44"/>
          <w:szCs w:val="44"/>
          <w:lang w:eastAsia="zh-TW"/>
        </w:rPr>
      </w:pPr>
    </w:p>
    <w:p w14:paraId="19C74548">
      <w:pPr>
        <w:spacing w:line="360" w:lineRule="auto"/>
        <w:jc w:val="center"/>
        <w:rPr>
          <w:rFonts w:ascii="华文中宋" w:hAnsi="华文中宋" w:eastAsia="华文中宋"/>
          <w:bCs/>
          <w:sz w:val="36"/>
          <w:szCs w:val="44"/>
        </w:rPr>
      </w:pPr>
      <w:r>
        <w:rPr>
          <w:rFonts w:hint="eastAsia" w:ascii="华文中宋" w:hAnsi="华文中宋" w:eastAsia="华文中宋"/>
          <w:bCs/>
          <w:sz w:val="36"/>
          <w:szCs w:val="44"/>
        </w:rPr>
        <w:t>首都医科大学学位</w:t>
      </w:r>
      <w:r>
        <w:rPr>
          <w:rFonts w:ascii="华文中宋" w:hAnsi="华文中宋" w:eastAsia="华文中宋"/>
          <w:bCs/>
          <w:sz w:val="36"/>
          <w:szCs w:val="44"/>
        </w:rPr>
        <w:t>论文</w:t>
      </w:r>
      <w:r>
        <w:rPr>
          <w:rFonts w:hint="eastAsia" w:ascii="华文中宋" w:hAnsi="华文中宋" w:eastAsia="华文中宋"/>
          <w:bCs/>
          <w:sz w:val="36"/>
          <w:szCs w:val="44"/>
        </w:rPr>
        <w:t>结题</w:t>
      </w:r>
      <w:r>
        <w:rPr>
          <w:rFonts w:ascii="华文中宋" w:hAnsi="华文中宋" w:eastAsia="华文中宋"/>
          <w:bCs/>
          <w:sz w:val="36"/>
          <w:szCs w:val="44"/>
        </w:rPr>
        <w:t>报告</w:t>
      </w:r>
    </w:p>
    <w:tbl>
      <w:tblPr>
        <w:tblStyle w:val="6"/>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70"/>
        <w:gridCol w:w="1595"/>
        <w:gridCol w:w="1254"/>
        <w:gridCol w:w="4104"/>
      </w:tblGrid>
      <w:tr w14:paraId="4D0DE3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tcBorders>
              <w:top w:val="single" w:color="auto" w:sz="12" w:space="0"/>
              <w:left w:val="single" w:color="auto" w:sz="12" w:space="0"/>
            </w:tcBorders>
            <w:vAlign w:val="center"/>
          </w:tcPr>
          <w:p w14:paraId="250DD020">
            <w:pPr>
              <w:adjustRightInd w:val="0"/>
              <w:snapToGrid w:val="0"/>
              <w:jc w:val="center"/>
              <w:rPr>
                <w:rFonts w:ascii="仿宋" w:hAnsi="仿宋" w:eastAsia="仿宋"/>
                <w:sz w:val="24"/>
                <w:szCs w:val="24"/>
              </w:rPr>
            </w:pPr>
            <w:r>
              <w:rPr>
                <w:rFonts w:hint="eastAsia" w:ascii="仿宋" w:hAnsi="仿宋" w:eastAsia="仿宋"/>
                <w:sz w:val="24"/>
                <w:szCs w:val="24"/>
              </w:rPr>
              <w:t>学生姓名</w:t>
            </w:r>
          </w:p>
        </w:tc>
        <w:tc>
          <w:tcPr>
            <w:tcW w:w="1555" w:type="dxa"/>
            <w:tcBorders>
              <w:top w:val="single" w:color="auto" w:sz="12" w:space="0"/>
            </w:tcBorders>
            <w:vAlign w:val="center"/>
          </w:tcPr>
          <w:p w14:paraId="4AF451D0">
            <w:pPr>
              <w:rPr>
                <w:rFonts w:ascii="仿宋" w:hAnsi="仿宋" w:eastAsia="仿宋" w:cs="Times New Roman"/>
                <w:kern w:val="2"/>
                <w:sz w:val="24"/>
                <w:szCs w:val="28"/>
                <w:lang w:val="en-US" w:eastAsia="zh-CN" w:bidi="ar-SA"/>
              </w:rPr>
            </w:pPr>
            <w:r>
              <w:rPr>
                <w:rFonts w:hint="eastAsia" w:ascii="仿宋" w:hAnsi="仿宋" w:eastAsia="仿宋" w:cs="仿宋"/>
                <w:lang w:eastAsia="zh-CN"/>
              </w:rPr>
              <w:t>付亮</w:t>
            </w:r>
          </w:p>
        </w:tc>
        <w:tc>
          <w:tcPr>
            <w:tcW w:w="1265" w:type="dxa"/>
            <w:tcBorders>
              <w:top w:val="single" w:color="auto" w:sz="12" w:space="0"/>
            </w:tcBorders>
            <w:vAlign w:val="center"/>
          </w:tcPr>
          <w:p w14:paraId="28ECF9D7">
            <w:pPr>
              <w:adjustRightInd w:val="0"/>
              <w:snapToGrid w:val="0"/>
              <w:jc w:val="center"/>
              <w:rPr>
                <w:rFonts w:ascii="仿宋" w:hAnsi="仿宋" w:eastAsia="仿宋"/>
                <w:sz w:val="24"/>
                <w:szCs w:val="24"/>
              </w:rPr>
            </w:pPr>
            <w:r>
              <w:rPr>
                <w:rFonts w:hint="eastAsia" w:ascii="仿宋" w:hAnsi="仿宋" w:eastAsia="仿宋"/>
                <w:sz w:val="24"/>
                <w:szCs w:val="24"/>
              </w:rPr>
              <w:t>学号</w:t>
            </w:r>
          </w:p>
        </w:tc>
        <w:tc>
          <w:tcPr>
            <w:tcW w:w="3983" w:type="dxa"/>
            <w:tcBorders>
              <w:top w:val="single" w:color="auto" w:sz="12" w:space="0"/>
              <w:right w:val="single" w:color="auto" w:sz="12" w:space="0"/>
            </w:tcBorders>
            <w:vAlign w:val="center"/>
          </w:tcPr>
          <w:p w14:paraId="0F29C219">
            <w:pPr>
              <w:adjustRightInd w:val="0"/>
              <w:snapToGrid w:val="0"/>
              <w:jc w:val="center"/>
              <w:rPr>
                <w:rFonts w:ascii="仿宋" w:hAnsi="仿宋" w:eastAsia="仿宋"/>
                <w:sz w:val="24"/>
                <w:szCs w:val="24"/>
              </w:rPr>
            </w:pPr>
            <w:r>
              <w:rPr>
                <w:rFonts w:hint="default" w:ascii="Times New Roman" w:hAnsi="Times New Roman" w:eastAsia="宋体" w:cs="Times New Roman"/>
                <w:sz w:val="24"/>
                <w:szCs w:val="24"/>
              </w:rPr>
              <w:t>132017100062</w:t>
            </w:r>
          </w:p>
        </w:tc>
      </w:tr>
      <w:tr w14:paraId="594FB3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tcBorders>
              <w:left w:val="single" w:color="auto" w:sz="12" w:space="0"/>
            </w:tcBorders>
            <w:vAlign w:val="center"/>
          </w:tcPr>
          <w:p w14:paraId="5F528A76">
            <w:pPr>
              <w:adjustRightInd w:val="0"/>
              <w:snapToGrid w:val="0"/>
              <w:jc w:val="center"/>
              <w:rPr>
                <w:rFonts w:ascii="仿宋" w:hAnsi="仿宋" w:eastAsia="仿宋"/>
                <w:sz w:val="24"/>
                <w:szCs w:val="24"/>
              </w:rPr>
            </w:pPr>
            <w:r>
              <w:rPr>
                <w:rFonts w:hint="eastAsia" w:ascii="仿宋" w:hAnsi="仿宋" w:eastAsia="仿宋"/>
                <w:sz w:val="24"/>
                <w:szCs w:val="24"/>
              </w:rPr>
              <w:t>学科专业</w:t>
            </w:r>
          </w:p>
        </w:tc>
        <w:tc>
          <w:tcPr>
            <w:tcW w:w="1555" w:type="dxa"/>
            <w:vAlign w:val="center"/>
          </w:tcPr>
          <w:p w14:paraId="62D047C9">
            <w:pPr>
              <w:rPr>
                <w:rFonts w:ascii="仿宋" w:hAnsi="仿宋" w:eastAsia="仿宋" w:cs="Times New Roman"/>
                <w:kern w:val="2"/>
                <w:sz w:val="24"/>
                <w:szCs w:val="28"/>
                <w:lang w:val="en-US" w:eastAsia="zh-CN" w:bidi="ar-SA"/>
              </w:rPr>
            </w:pPr>
            <w:r>
              <w:rPr>
                <w:rFonts w:hint="default" w:ascii="Times New Roman" w:hAnsi="Times New Roman" w:eastAsia="仿宋" w:cs="Times New Roman"/>
                <w:lang w:eastAsia="zh-CN"/>
              </w:rPr>
              <w:t>内科学（传染病）</w:t>
            </w:r>
          </w:p>
        </w:tc>
        <w:tc>
          <w:tcPr>
            <w:tcW w:w="1265" w:type="dxa"/>
            <w:vAlign w:val="center"/>
          </w:tcPr>
          <w:p w14:paraId="4ED79E18">
            <w:pPr>
              <w:adjustRightInd w:val="0"/>
              <w:snapToGrid w:val="0"/>
              <w:jc w:val="center"/>
              <w:rPr>
                <w:rFonts w:ascii="仿宋" w:hAnsi="仿宋" w:eastAsia="仿宋"/>
                <w:sz w:val="24"/>
                <w:szCs w:val="24"/>
              </w:rPr>
            </w:pPr>
            <w:r>
              <w:rPr>
                <w:rFonts w:hint="eastAsia" w:ascii="仿宋" w:hAnsi="仿宋" w:eastAsia="仿宋"/>
                <w:sz w:val="24"/>
                <w:szCs w:val="24"/>
              </w:rPr>
              <w:t>学位类型</w:t>
            </w:r>
          </w:p>
        </w:tc>
        <w:tc>
          <w:tcPr>
            <w:tcW w:w="3983" w:type="dxa"/>
            <w:tcBorders>
              <w:right w:val="single" w:color="auto" w:sz="12" w:space="0"/>
            </w:tcBorders>
            <w:vAlign w:val="center"/>
          </w:tcPr>
          <w:p w14:paraId="257E6E07">
            <w:pPr>
              <w:tabs>
                <w:tab w:val="left" w:pos="860"/>
                <w:tab w:val="left" w:pos="4714"/>
                <w:tab w:val="left" w:pos="8850"/>
              </w:tabs>
              <w:jc w:val="left"/>
              <w:rPr>
                <w:rFonts w:ascii="仿宋" w:hAnsi="仿宋" w:eastAsia="仿宋"/>
                <w:sz w:val="24"/>
                <w:szCs w:val="24"/>
              </w:rPr>
            </w:pPr>
            <w:r>
              <w:rPr>
                <w:rFonts w:hint="eastAsia" w:ascii="仿宋" w:hAnsi="仿宋" w:eastAsia="仿宋"/>
                <w:sz w:val="24"/>
                <w:szCs w:val="24"/>
                <w:lang w:eastAsia="zh-CN"/>
              </w:rPr>
              <w:t>☑</w:t>
            </w:r>
            <w:r>
              <w:rPr>
                <w:rFonts w:ascii="仿宋" w:hAnsi="仿宋" w:eastAsia="仿宋" w:cs="宋体"/>
                <w:sz w:val="24"/>
                <w:szCs w:val="24"/>
                <w:lang w:val="zh-TW" w:eastAsia="zh-TW"/>
              </w:rPr>
              <w:t>博士</w:t>
            </w:r>
            <w:r>
              <w:rPr>
                <w:rFonts w:ascii="仿宋" w:hAnsi="仿宋" w:eastAsia="仿宋"/>
                <w:sz w:val="24"/>
                <w:szCs w:val="24"/>
              </w:rPr>
              <w:t xml:space="preserve"> □</w:t>
            </w:r>
            <w:r>
              <w:rPr>
                <w:rFonts w:ascii="仿宋" w:hAnsi="仿宋" w:eastAsia="仿宋" w:cs="宋体"/>
                <w:sz w:val="24"/>
                <w:szCs w:val="24"/>
                <w:lang w:val="zh-TW" w:eastAsia="zh-TW"/>
              </w:rPr>
              <w:t>硕士</w:t>
            </w:r>
            <w:r>
              <w:rPr>
                <w:rFonts w:hint="eastAsia" w:ascii="仿宋" w:hAnsi="仿宋" w:eastAsia="仿宋" w:cs="宋体"/>
                <w:sz w:val="24"/>
                <w:szCs w:val="24"/>
                <w:lang w:val="zh-TW"/>
              </w:rPr>
              <w:t xml:space="preserve"> </w:t>
            </w:r>
            <w:r>
              <w:rPr>
                <w:rFonts w:hint="eastAsia" w:ascii="仿宋" w:hAnsi="仿宋" w:eastAsia="仿宋"/>
                <w:sz w:val="24"/>
                <w:szCs w:val="24"/>
                <w:lang w:eastAsia="zh-CN"/>
              </w:rPr>
              <w:t>☑</w:t>
            </w:r>
            <w:r>
              <w:rPr>
                <w:rFonts w:ascii="仿宋" w:hAnsi="仿宋" w:eastAsia="仿宋" w:cs="宋体"/>
                <w:sz w:val="24"/>
                <w:szCs w:val="24"/>
                <w:lang w:val="zh-TW" w:eastAsia="zh-TW"/>
              </w:rPr>
              <w:t>专业型</w:t>
            </w:r>
            <w:r>
              <w:rPr>
                <w:rFonts w:ascii="仿宋" w:hAnsi="仿宋" w:eastAsia="仿宋"/>
                <w:sz w:val="24"/>
                <w:szCs w:val="24"/>
              </w:rPr>
              <w:t xml:space="preserve"> □</w:t>
            </w:r>
            <w:r>
              <w:rPr>
                <w:rFonts w:ascii="仿宋" w:hAnsi="仿宋" w:eastAsia="仿宋" w:cs="宋体"/>
                <w:sz w:val="24"/>
                <w:szCs w:val="24"/>
                <w:lang w:val="zh-TW" w:eastAsia="zh-TW"/>
              </w:rPr>
              <w:t>学术型</w:t>
            </w:r>
          </w:p>
        </w:tc>
      </w:tr>
      <w:tr w14:paraId="5000C6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1" w:type="dxa"/>
            <w:tcBorders>
              <w:left w:val="single" w:color="auto" w:sz="12" w:space="0"/>
            </w:tcBorders>
            <w:vAlign w:val="center"/>
          </w:tcPr>
          <w:p w14:paraId="2D9C1987">
            <w:pPr>
              <w:adjustRightInd w:val="0"/>
              <w:snapToGrid w:val="0"/>
              <w:jc w:val="center"/>
              <w:rPr>
                <w:rFonts w:ascii="仿宋" w:hAnsi="仿宋" w:eastAsia="仿宋"/>
                <w:sz w:val="24"/>
                <w:szCs w:val="24"/>
              </w:rPr>
            </w:pPr>
            <w:r>
              <w:rPr>
                <w:rFonts w:hint="eastAsia" w:ascii="仿宋" w:hAnsi="仿宋" w:eastAsia="仿宋"/>
                <w:sz w:val="24"/>
                <w:szCs w:val="24"/>
              </w:rPr>
              <w:t>导师姓名</w:t>
            </w:r>
          </w:p>
        </w:tc>
        <w:tc>
          <w:tcPr>
            <w:tcW w:w="1555" w:type="dxa"/>
            <w:vAlign w:val="center"/>
          </w:tcPr>
          <w:p w14:paraId="6EB66739">
            <w:pPr>
              <w:adjustRightInd w:val="0"/>
              <w:snapToGrid w:val="0"/>
              <w:jc w:val="center"/>
              <w:rPr>
                <w:rFonts w:hint="eastAsia" w:ascii="仿宋" w:hAnsi="仿宋" w:eastAsia="仿宋"/>
                <w:sz w:val="24"/>
                <w:szCs w:val="24"/>
                <w:lang w:val="en-US" w:eastAsia="zh-CN"/>
              </w:rPr>
            </w:pPr>
            <w:r>
              <w:rPr>
                <w:rFonts w:hint="eastAsia" w:ascii="仿宋" w:hAnsi="仿宋" w:eastAsia="仿宋"/>
                <w:sz w:val="24"/>
                <w:szCs w:val="24"/>
                <w:lang w:val="en-US" w:eastAsia="zh-CN"/>
              </w:rPr>
              <w:t>唐神结</w:t>
            </w:r>
          </w:p>
        </w:tc>
        <w:tc>
          <w:tcPr>
            <w:tcW w:w="1265" w:type="dxa"/>
            <w:vAlign w:val="center"/>
          </w:tcPr>
          <w:p w14:paraId="79DE5CE8">
            <w:pPr>
              <w:adjustRightInd w:val="0"/>
              <w:snapToGrid w:val="0"/>
              <w:jc w:val="center"/>
              <w:rPr>
                <w:rFonts w:ascii="仿宋" w:hAnsi="仿宋" w:eastAsia="仿宋"/>
                <w:sz w:val="24"/>
                <w:szCs w:val="24"/>
              </w:rPr>
            </w:pPr>
            <w:r>
              <w:rPr>
                <w:rFonts w:hint="eastAsia" w:ascii="仿宋" w:hAnsi="仿宋" w:eastAsia="仿宋"/>
                <w:sz w:val="24"/>
                <w:szCs w:val="24"/>
              </w:rPr>
              <w:t>培养单位</w:t>
            </w:r>
          </w:p>
        </w:tc>
        <w:tc>
          <w:tcPr>
            <w:tcW w:w="3983" w:type="dxa"/>
            <w:tcBorders>
              <w:right w:val="single" w:color="auto" w:sz="12" w:space="0"/>
            </w:tcBorders>
            <w:vAlign w:val="center"/>
          </w:tcPr>
          <w:p w14:paraId="047BFCAA">
            <w:pPr>
              <w:adjustRightInd w:val="0"/>
              <w:snapToGrid w:val="0"/>
              <w:jc w:val="left"/>
              <w:rPr>
                <w:rFonts w:ascii="仿宋" w:hAnsi="仿宋" w:eastAsia="仿宋"/>
                <w:sz w:val="24"/>
                <w:szCs w:val="24"/>
              </w:rPr>
            </w:pPr>
            <w:r>
              <w:rPr>
                <w:rFonts w:hint="default" w:ascii="Times New Roman" w:hAnsi="Times New Roman" w:eastAsia="仿宋" w:cs="Times New Roman"/>
                <w:lang w:eastAsia="zh-CN"/>
              </w:rPr>
              <w:t>首都医科大学附属北京胸科医院（第十临床医学院）</w:t>
            </w:r>
          </w:p>
        </w:tc>
      </w:tr>
      <w:tr w14:paraId="6D10D0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8" w:hRule="atLeast"/>
          <w:jc w:val="center"/>
        </w:trPr>
        <w:tc>
          <w:tcPr>
            <w:tcW w:w="1701" w:type="dxa"/>
            <w:tcBorders>
              <w:left w:val="single" w:color="auto" w:sz="12" w:space="0"/>
              <w:bottom w:val="single" w:color="auto" w:sz="4" w:space="0"/>
            </w:tcBorders>
            <w:vAlign w:val="center"/>
          </w:tcPr>
          <w:p w14:paraId="613F2CD2">
            <w:pPr>
              <w:adjustRightInd w:val="0"/>
              <w:snapToGrid w:val="0"/>
              <w:jc w:val="center"/>
              <w:rPr>
                <w:rFonts w:ascii="仿宋" w:hAnsi="仿宋" w:eastAsia="仿宋"/>
                <w:sz w:val="24"/>
                <w:szCs w:val="24"/>
              </w:rPr>
            </w:pPr>
            <w:r>
              <w:rPr>
                <w:rFonts w:hint="eastAsia" w:ascii="仿宋" w:hAnsi="仿宋" w:eastAsia="仿宋"/>
                <w:sz w:val="24"/>
                <w:szCs w:val="24"/>
              </w:rPr>
              <w:t>课题</w:t>
            </w:r>
            <w:r>
              <w:rPr>
                <w:rFonts w:ascii="仿宋" w:hAnsi="仿宋" w:eastAsia="仿宋"/>
                <w:sz w:val="24"/>
                <w:szCs w:val="24"/>
              </w:rPr>
              <w:t>名称</w:t>
            </w:r>
          </w:p>
        </w:tc>
        <w:tc>
          <w:tcPr>
            <w:tcW w:w="6803" w:type="dxa"/>
            <w:gridSpan w:val="3"/>
            <w:tcBorders>
              <w:bottom w:val="single" w:color="auto" w:sz="4" w:space="0"/>
              <w:right w:val="single" w:color="auto" w:sz="12" w:space="0"/>
            </w:tcBorders>
            <w:vAlign w:val="center"/>
          </w:tcPr>
          <w:p w14:paraId="7EA717E8">
            <w:pPr>
              <w:adjustRightInd w:val="0"/>
              <w:snapToGrid w:val="0"/>
              <w:spacing w:line="360" w:lineRule="auto"/>
              <w:rPr>
                <w:rFonts w:ascii="仿宋" w:hAnsi="仿宋" w:eastAsia="仿宋"/>
                <w:sz w:val="24"/>
                <w:szCs w:val="24"/>
              </w:rPr>
            </w:pPr>
            <w:r>
              <w:rPr>
                <w:rFonts w:hint="eastAsia" w:ascii="仿宋" w:hAnsi="仿宋" w:eastAsia="仿宋"/>
                <w:sz w:val="24"/>
                <w:szCs w:val="24"/>
              </w:rPr>
              <w:t>中文题目</w:t>
            </w:r>
            <w:r>
              <w:rPr>
                <w:rFonts w:ascii="仿宋" w:hAnsi="仿宋" w:eastAsia="仿宋"/>
                <w:sz w:val="24"/>
                <w:szCs w:val="24"/>
              </w:rPr>
              <w:t>：</w:t>
            </w:r>
            <w:r>
              <w:rPr>
                <w:rFonts w:hint="eastAsia" w:ascii="仿宋" w:hAnsi="仿宋" w:eastAsia="仿宋"/>
                <w:sz w:val="24"/>
                <w:szCs w:val="24"/>
              </w:rPr>
              <w:t>柳氮磺吡啶治疗耐多药肺结核的机制探索和临床验证</w:t>
            </w:r>
          </w:p>
          <w:p w14:paraId="65E690E5">
            <w:pPr>
              <w:adjustRightInd w:val="0"/>
              <w:snapToGrid w:val="0"/>
              <w:spacing w:line="360" w:lineRule="auto"/>
              <w:rPr>
                <w:rFonts w:ascii="仿宋" w:hAnsi="仿宋" w:eastAsia="仿宋"/>
                <w:sz w:val="24"/>
                <w:szCs w:val="24"/>
              </w:rPr>
            </w:pPr>
            <w:r>
              <w:rPr>
                <w:rFonts w:hint="eastAsia" w:ascii="仿宋" w:hAnsi="仿宋" w:eastAsia="仿宋"/>
                <w:sz w:val="24"/>
                <w:szCs w:val="24"/>
              </w:rPr>
              <w:t>英文题目</w:t>
            </w:r>
            <w:r>
              <w:rPr>
                <w:rFonts w:ascii="仿宋" w:hAnsi="仿宋" w:eastAsia="仿宋"/>
                <w:sz w:val="24"/>
                <w:szCs w:val="24"/>
              </w:rPr>
              <w:t>：</w:t>
            </w:r>
            <w:r>
              <w:rPr>
                <w:rFonts w:hint="eastAsia" w:ascii="仿宋" w:hAnsi="仿宋" w:eastAsia="仿宋"/>
                <w:sz w:val="24"/>
                <w:szCs w:val="24"/>
              </w:rPr>
              <w:t xml:space="preserve">Mechanistic exploration and clinical validation of </w:t>
            </w:r>
            <w:r>
              <w:rPr>
                <w:rFonts w:hint="eastAsia" w:ascii="仿宋" w:hAnsi="仿宋" w:eastAsia="仿宋"/>
                <w:sz w:val="24"/>
                <w:szCs w:val="24"/>
                <w:lang w:val="en-US" w:eastAsia="zh-CN"/>
              </w:rPr>
              <w:t>s</w:t>
            </w:r>
            <w:r>
              <w:rPr>
                <w:rFonts w:hint="eastAsia" w:ascii="仿宋" w:hAnsi="仿宋" w:eastAsia="仿宋"/>
                <w:sz w:val="24"/>
                <w:szCs w:val="24"/>
              </w:rPr>
              <w:t>ulfasalazine in the treatment of multidrug-resistant tuberculosis</w:t>
            </w:r>
          </w:p>
        </w:tc>
      </w:tr>
      <w:tr w14:paraId="0A69FD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04" w:hRule="atLeast"/>
          <w:jc w:val="center"/>
        </w:trPr>
        <w:tc>
          <w:tcPr>
            <w:tcW w:w="8504" w:type="dxa"/>
            <w:gridSpan w:val="4"/>
            <w:tcBorders>
              <w:top w:val="single" w:color="auto" w:sz="4" w:space="0"/>
              <w:left w:val="single" w:color="auto" w:sz="12" w:space="0"/>
              <w:bottom w:val="single" w:color="auto" w:sz="4" w:space="0"/>
              <w:right w:val="single" w:color="auto" w:sz="12" w:space="0"/>
            </w:tcBorders>
            <w:shd w:val="clear" w:color="auto" w:fill="auto"/>
          </w:tcPr>
          <w:p w14:paraId="0B8BF2AF">
            <w:pPr>
              <w:spacing w:line="360" w:lineRule="auto"/>
              <w:rPr>
                <w:rFonts w:ascii="仿宋" w:hAnsi="仿宋" w:eastAsia="仿宋"/>
                <w:sz w:val="24"/>
                <w:szCs w:val="24"/>
              </w:rPr>
            </w:pPr>
            <w:r>
              <w:rPr>
                <w:rFonts w:hint="eastAsia" w:ascii="仿宋" w:hAnsi="仿宋" w:eastAsia="仿宋"/>
                <w:sz w:val="24"/>
                <w:szCs w:val="24"/>
              </w:rPr>
              <w:t>一、课题完成情况：</w:t>
            </w:r>
          </w:p>
          <w:p w14:paraId="2D90FC78">
            <w:pPr>
              <w:spacing w:line="360" w:lineRule="auto"/>
              <w:rPr>
                <w:rFonts w:hint="eastAsia" w:ascii="仿宋" w:hAnsi="仿宋" w:eastAsia="仿宋"/>
                <w:sz w:val="24"/>
                <w:szCs w:val="24"/>
              </w:rPr>
            </w:pPr>
            <w:r>
              <w:rPr>
                <w:rFonts w:hint="eastAsia" w:ascii="仿宋" w:hAnsi="仿宋" w:eastAsia="仿宋"/>
                <w:sz w:val="24"/>
                <w:szCs w:val="24"/>
              </w:rPr>
              <w:t>（从课题设计、方法、结论、效果、存在问题等方面说明课题完成情况）</w:t>
            </w:r>
          </w:p>
          <w:p w14:paraId="7ECDF5C9">
            <w:pPr>
              <w:spacing w:line="360" w:lineRule="auto"/>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（一）课题设计</w:t>
            </w:r>
          </w:p>
          <w:p w14:paraId="1F3BE814">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1. 基础研究：SASP对巨噬细胞功能的影响以及在结核病治疗中的潜在作用。</w:t>
            </w:r>
          </w:p>
          <w:p w14:paraId="72A08C9B">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2. 临床研究：SASP辅助治疗准广泛耐药肺结核的有效性和安全性的临床试验。</w:t>
            </w:r>
          </w:p>
          <w:p w14:paraId="468B9000">
            <w:pPr>
              <w:spacing w:line="360" w:lineRule="auto"/>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（二）方法</w:t>
            </w:r>
          </w:p>
          <w:p w14:paraId="5C276FCA">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1.基础研究</w:t>
            </w:r>
          </w:p>
          <w:p w14:paraId="4B08BFEF">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实验步骤涵盖了细胞培养、感染、药物处理、脂质代谢分析和流式细胞术等多个方面，旨在研究SASP对巨噬细胞功能的影响，以及在结核病治疗中的潜在作用。</w:t>
            </w:r>
          </w:p>
          <w:p w14:paraId="5C7B6FF2">
            <w:pPr>
              <w:spacing w:line="360" w:lineRule="auto"/>
              <w:rPr>
                <w:rFonts w:hint="default" w:ascii="仿宋" w:hAnsi="仿宋" w:eastAsia="仿宋"/>
                <w:sz w:val="24"/>
                <w:szCs w:val="24"/>
                <w:lang w:val="en-US" w:eastAsia="zh-CN"/>
              </w:rPr>
            </w:pPr>
            <w:r>
              <w:rPr>
                <w:rFonts w:hint="eastAsia" w:ascii="仿宋" w:hAnsi="仿宋" w:eastAsia="仿宋"/>
                <w:sz w:val="24"/>
                <w:szCs w:val="24"/>
                <w:lang w:val="en-US" w:eastAsia="zh-CN"/>
              </w:rPr>
              <w:t>（1）</w:t>
            </w:r>
            <w:r>
              <w:rPr>
                <w:rFonts w:hint="default" w:ascii="仿宋" w:hAnsi="仿宋" w:eastAsia="仿宋"/>
                <w:sz w:val="24"/>
                <w:szCs w:val="24"/>
                <w:lang w:val="en-US" w:eastAsia="zh-CN"/>
              </w:rPr>
              <w:t>SASP增强巨噬细胞对结核菌的清除能力实验。</w:t>
            </w:r>
          </w:p>
          <w:p w14:paraId="06432989">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使用CCK8试剂盒确定SASP的浓度。</w:t>
            </w:r>
          </w:p>
          <w:p w14:paraId="3C48468D">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对于CFU（菌落形成单位）计数，首先将分化的THP-1巨噬细胞种入12孔板中，并与结核杆菌（M.tb）感染6小时。</w:t>
            </w:r>
          </w:p>
          <w:p w14:paraId="6E9278BF">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感染后，用PBS洗涤两次去除细胞外细菌，再加入新鲜预热的培养基继续培养72小时。</w:t>
            </w:r>
          </w:p>
          <w:p w14:paraId="78DD1345">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再次用PBS洗涤两次去除细胞外细菌，然后用含有0.1%SDS的梯度稀释的无菌PBS中裂解细胞。</w:t>
            </w:r>
          </w:p>
          <w:p w14:paraId="0C5E7E54">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将裂解液接种到7H10琼脂平板上，并在37°C，5%CO2条件下孵育2至3周，最后进行菌落计数。</w:t>
            </w:r>
          </w:p>
          <w:p w14:paraId="0A570557">
            <w:pPr>
              <w:spacing w:line="360" w:lineRule="auto"/>
              <w:rPr>
                <w:rFonts w:hint="default" w:ascii="仿宋" w:hAnsi="仿宋" w:eastAsia="仿宋"/>
                <w:sz w:val="24"/>
                <w:szCs w:val="24"/>
                <w:lang w:val="en-US" w:eastAsia="zh-CN"/>
              </w:rPr>
            </w:pPr>
            <w:r>
              <w:rPr>
                <w:rFonts w:hint="eastAsia" w:ascii="仿宋" w:hAnsi="仿宋" w:eastAsia="仿宋"/>
                <w:sz w:val="24"/>
                <w:szCs w:val="24"/>
                <w:lang w:val="en-US" w:eastAsia="zh-CN"/>
              </w:rPr>
              <w:t>（2）</w:t>
            </w:r>
            <w:r>
              <w:rPr>
                <w:rFonts w:hint="default" w:ascii="仿宋" w:hAnsi="仿宋" w:eastAsia="仿宋"/>
                <w:sz w:val="24"/>
                <w:szCs w:val="24"/>
                <w:lang w:val="en-US" w:eastAsia="zh-CN"/>
              </w:rPr>
              <w:t>SASP在M1巨噬细胞中抑制COX2基因介导的脂质代谢通路。</w:t>
            </w:r>
          </w:p>
          <w:p w14:paraId="6A036EC5">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检测脂质代谢产物，首先将PMNL、血小板、单核细胞和M1型巨噬细胞在含有1 mM CaCl2的PBS中孵育。</w:t>
            </w:r>
          </w:p>
          <w:p w14:paraId="1531EF70">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加入M.tb激发物（MTB-CM，1%）后，在37°C孵育4小时。</w:t>
            </w:r>
          </w:p>
          <w:p w14:paraId="5E396558">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上清液转移到含有氘标记内标的冰冷甲醇中，进行定量和样品恢复。</w:t>
            </w:r>
          </w:p>
          <w:p w14:paraId="6092278E">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 xml:space="preserve">   - 样品经过沉淀蛋白质、离心、固相萃取等步骤后，使用UPLC-MS-MS进行分析。</w:t>
            </w:r>
          </w:p>
          <w:p w14:paraId="68B22478">
            <w:pPr>
              <w:spacing w:line="360" w:lineRule="auto"/>
              <w:rPr>
                <w:rFonts w:hint="default" w:ascii="仿宋" w:hAnsi="仿宋" w:eastAsia="仿宋"/>
                <w:sz w:val="24"/>
                <w:szCs w:val="24"/>
                <w:lang w:val="en-US" w:eastAsia="zh-CN"/>
              </w:rPr>
            </w:pPr>
            <w:r>
              <w:rPr>
                <w:rFonts w:hint="eastAsia" w:ascii="仿宋" w:hAnsi="仿宋" w:eastAsia="仿宋"/>
                <w:sz w:val="24"/>
                <w:szCs w:val="24"/>
                <w:lang w:val="en-US" w:eastAsia="zh-CN"/>
              </w:rPr>
              <w:t>（3）</w:t>
            </w:r>
            <w:r>
              <w:rPr>
                <w:rFonts w:hint="default" w:ascii="仿宋" w:hAnsi="仿宋" w:eastAsia="仿宋"/>
                <w:sz w:val="24"/>
                <w:szCs w:val="24"/>
                <w:lang w:val="en-US" w:eastAsia="zh-CN"/>
              </w:rPr>
              <w:t>SASP诱导M0巨噬细胞向M2巨噬细胞极化。流式染色步骤。</w:t>
            </w:r>
          </w:p>
          <w:p w14:paraId="14D1B328">
            <w:pPr>
              <w:spacing w:line="360" w:lineRule="auto"/>
              <w:rPr>
                <w:rFonts w:hint="eastAsia" w:ascii="仿宋" w:hAnsi="仿宋" w:eastAsia="仿宋"/>
                <w:sz w:val="24"/>
                <w:szCs w:val="24"/>
              </w:rPr>
            </w:pPr>
            <w:r>
              <w:rPr>
                <w:rFonts w:hint="eastAsia" w:ascii="仿宋" w:hAnsi="仿宋" w:eastAsia="仿宋"/>
                <w:sz w:val="24"/>
                <w:szCs w:val="24"/>
              </w:rPr>
              <w:t xml:space="preserve">   - 从PBMC中分离CD14+单核细胞，使用GM-CSF和M-CSF诱导分化7天成为M0型巨噬细胞。</w:t>
            </w:r>
          </w:p>
          <w:p w14:paraId="1DDA04B5">
            <w:pPr>
              <w:spacing w:line="360" w:lineRule="auto"/>
              <w:rPr>
                <w:rFonts w:hint="eastAsia" w:ascii="仿宋" w:hAnsi="仿宋" w:eastAsia="仿宋"/>
                <w:sz w:val="24"/>
                <w:szCs w:val="24"/>
              </w:rPr>
            </w:pPr>
            <w:r>
              <w:rPr>
                <w:rFonts w:hint="eastAsia" w:ascii="仿宋" w:hAnsi="仿宋" w:eastAsia="仿宋"/>
                <w:sz w:val="24"/>
                <w:szCs w:val="24"/>
              </w:rPr>
              <w:t xml:space="preserve">   - 继续加入LPS和IFN-γ将M0巨噬细胞诱导为M1型巨噬细胞；加入IL-4将M0巨噬细胞诱导为M2型巨噬细胞。</w:t>
            </w:r>
          </w:p>
          <w:p w14:paraId="6B3873AD">
            <w:pPr>
              <w:spacing w:line="360" w:lineRule="auto"/>
              <w:rPr>
                <w:rFonts w:hint="eastAsia" w:ascii="仿宋" w:hAnsi="仿宋" w:eastAsia="仿宋"/>
                <w:sz w:val="24"/>
                <w:szCs w:val="24"/>
              </w:rPr>
            </w:pPr>
            <w:r>
              <w:rPr>
                <w:rFonts w:hint="eastAsia" w:ascii="仿宋" w:hAnsi="仿宋" w:eastAsia="仿宋"/>
                <w:sz w:val="24"/>
                <w:szCs w:val="24"/>
                <w:lang w:eastAsia="zh-CN"/>
              </w:rPr>
              <w:t>（</w:t>
            </w:r>
            <w:r>
              <w:rPr>
                <w:rFonts w:hint="eastAsia" w:ascii="仿宋" w:hAnsi="仿宋" w:eastAsia="仿宋"/>
                <w:sz w:val="24"/>
                <w:szCs w:val="24"/>
                <w:lang w:val="en-US" w:eastAsia="zh-CN"/>
              </w:rPr>
              <w:t>4</w:t>
            </w:r>
            <w:r>
              <w:rPr>
                <w:rFonts w:hint="eastAsia" w:ascii="仿宋" w:hAnsi="仿宋" w:eastAsia="仿宋"/>
                <w:sz w:val="24"/>
                <w:szCs w:val="24"/>
                <w:lang w:eastAsia="zh-CN"/>
              </w:rPr>
              <w:t>）</w:t>
            </w:r>
            <w:r>
              <w:rPr>
                <w:rFonts w:hint="eastAsia" w:ascii="仿宋" w:hAnsi="仿宋" w:eastAsia="仿宋"/>
                <w:sz w:val="24"/>
                <w:szCs w:val="24"/>
              </w:rPr>
              <w:t>流式染色步骤：</w:t>
            </w:r>
          </w:p>
          <w:p w14:paraId="1D536920">
            <w:pPr>
              <w:spacing w:line="360" w:lineRule="auto"/>
              <w:rPr>
                <w:rFonts w:hint="eastAsia" w:ascii="仿宋" w:hAnsi="仿宋" w:eastAsia="仿宋"/>
                <w:sz w:val="24"/>
                <w:szCs w:val="24"/>
              </w:rPr>
            </w:pPr>
            <w:r>
              <w:rPr>
                <w:rFonts w:hint="eastAsia" w:ascii="仿宋" w:hAnsi="仿宋" w:eastAsia="仿宋"/>
                <w:sz w:val="24"/>
                <w:szCs w:val="24"/>
              </w:rPr>
              <w:t xml:space="preserve">   - 标记流式管，加入约1-2×10^6细胞。</w:t>
            </w:r>
          </w:p>
          <w:p w14:paraId="681FA5AE">
            <w:pPr>
              <w:spacing w:line="360" w:lineRule="auto"/>
              <w:rPr>
                <w:rFonts w:hint="eastAsia" w:ascii="仿宋" w:hAnsi="仿宋" w:eastAsia="仿宋"/>
                <w:sz w:val="24"/>
                <w:szCs w:val="24"/>
              </w:rPr>
            </w:pPr>
            <w:r>
              <w:rPr>
                <w:rFonts w:hint="eastAsia" w:ascii="仿宋" w:hAnsi="仿宋" w:eastAsia="仿宋"/>
                <w:sz w:val="24"/>
                <w:szCs w:val="24"/>
              </w:rPr>
              <w:t xml:space="preserve">   - SASP预处理1小时后，用PBS重悬细胞进行后续实验。</w:t>
            </w:r>
          </w:p>
          <w:p w14:paraId="2319ED24">
            <w:pPr>
              <w:spacing w:line="360" w:lineRule="auto"/>
              <w:rPr>
                <w:rFonts w:hint="eastAsia" w:ascii="仿宋" w:hAnsi="仿宋" w:eastAsia="仿宋"/>
                <w:sz w:val="24"/>
                <w:szCs w:val="24"/>
              </w:rPr>
            </w:pPr>
            <w:r>
              <w:rPr>
                <w:rFonts w:hint="eastAsia" w:ascii="仿宋" w:hAnsi="仿宋" w:eastAsia="仿宋"/>
                <w:sz w:val="24"/>
                <w:szCs w:val="24"/>
              </w:rPr>
              <w:t xml:space="preserve">   - 表面染色包括配制表面marker混合物，加入表面抗体并在室温避光孵育15分钟。</w:t>
            </w:r>
          </w:p>
          <w:p w14:paraId="7C6B2079">
            <w:pPr>
              <w:spacing w:line="360" w:lineRule="auto"/>
              <w:rPr>
                <w:rFonts w:hint="eastAsia" w:ascii="仿宋" w:hAnsi="仿宋" w:eastAsia="仿宋"/>
                <w:sz w:val="24"/>
                <w:szCs w:val="24"/>
              </w:rPr>
            </w:pPr>
            <w:r>
              <w:rPr>
                <w:rFonts w:hint="eastAsia" w:ascii="仿宋" w:hAnsi="仿宋" w:eastAsia="仿宋"/>
                <w:sz w:val="24"/>
                <w:szCs w:val="24"/>
              </w:rPr>
              <w:t xml:space="preserve">   - 洗涤细胞后，使用CD14, CD80, CD54标记M1型巨噬细胞；使用CD14, CD163, CD206标记M2型巨噬细胞。</w:t>
            </w:r>
          </w:p>
          <w:p w14:paraId="52074848">
            <w:pPr>
              <w:spacing w:line="360" w:lineRule="auto"/>
              <w:rPr>
                <w:rFonts w:hint="eastAsia" w:ascii="仿宋" w:hAnsi="仿宋" w:eastAsia="仿宋"/>
                <w:sz w:val="24"/>
                <w:szCs w:val="24"/>
              </w:rPr>
            </w:pPr>
            <w:r>
              <w:rPr>
                <w:rFonts w:hint="eastAsia" w:ascii="仿宋" w:hAnsi="仿宋" w:eastAsia="仿宋"/>
                <w:sz w:val="24"/>
                <w:szCs w:val="24"/>
              </w:rPr>
              <w:t xml:space="preserve">   - 计算有无SASP预处理的M1和M2型巨噬细胞的比例，以明确SASP对M0巨噬细胞分化的影响。</w:t>
            </w:r>
          </w:p>
          <w:p w14:paraId="084E9C7B">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2. 临床研究</w:t>
            </w:r>
          </w:p>
          <w:p w14:paraId="1FA0B87B">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摘要</w:t>
            </w:r>
          </w:p>
          <w:p w14:paraId="5DE31025">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背景：随着准广泛耐药肺结核（Pre-XDR-TB）的发病率不断升高，且现有治疗效果有限，迫切需要探索创新治疗方案。宿主导向疗法（Host-Directed Therapy, HDT）与传统抗结核治疗相结合，成为治疗Pre-XDR-TB的一种新策略。研究显示，柳氮磺吡啶（Sulfasalazine, SASP）通过靶向氨基酸转运系统xc（xCT），可减少细胞内结核分枝杆菌负荷并减轻肺部病理变化，显示出成为一种有效的结核病HDT药物的潜力。本研究旨在评估SASP作为Pre-XDR-TB辅助治疗的疗效。</w:t>
            </w:r>
          </w:p>
          <w:p w14:paraId="24DDACFF">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研究方法：本探索性研究考察了两种为期9个月的全口服短程方案治疗Pre-XDR-TB的安全性和有效性：Bdq方案（包括贝达喹啉、利奈唑胺、环丝氨酸、氯法齐胺和吡嗪酰胺）和SASP方案（包括SASP、利奈唑胺、环丝氨酸、氯法齐胺和吡嗪酰胺）。主要终点是治疗后12个月的不良结局发生率。</w:t>
            </w:r>
          </w:p>
          <w:p w14:paraId="69098A7B">
            <w:pPr>
              <w:spacing w:line="360" w:lineRule="auto"/>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（三）结论和效果</w:t>
            </w:r>
          </w:p>
          <w:p w14:paraId="10DD601B">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1.基础研究</w:t>
            </w:r>
          </w:p>
          <w:p w14:paraId="0B452E9E">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SASP对巨噬细胞功能的影响以及对结核分枝杆菌（M.tb）感染的潜在治疗作用可以总结如下：</w:t>
            </w:r>
          </w:p>
          <w:p w14:paraId="15DAF50A">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（1）增强巨噬细胞对结核菌的清除能力：</w:t>
            </w:r>
          </w:p>
          <w:p w14:paraId="09F5677D">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 实验表明，SASP能够增强巨噬细胞清除结核菌的能力。通过CCK8试剂盒确定SASP的有效浓度后，实验通过CFU计数方法验证了SASP处理的巨噬细胞在感染结核菌后，能够有效地减少细菌数量。这表明SASP可能通过激活或增强巨噬细胞的吞噬和杀菌功能，从而提高宿主对结核菌的防御能力。</w:t>
            </w:r>
          </w:p>
          <w:p w14:paraId="22567748">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（2）抑制M1型巨噬细胞中的脂质代谢通路：</w:t>
            </w:r>
          </w:p>
          <w:p w14:paraId="24F34BD9">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 SASP在M1型巨噬细胞中的作用涉及到抑制COX2基因介导的脂质代谢通路。通过检测脂质代谢产物，研究揭示了SASP对M1型巨噬细胞脂质代谢的影响。这一发现可能对于理解SASP如何调节巨噬细胞功能和免疫反应具有重要意义，尤其是在结核病的免疫调节过程中。</w:t>
            </w:r>
          </w:p>
          <w:p w14:paraId="748D3E6C">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（3）诱导M0型巨噬细胞向M2型极化：</w:t>
            </w:r>
          </w:p>
          <w:p w14:paraId="7F048F9D">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 SASP还被发现能够诱导M0型巨噬细胞向M2型巨噬细胞极化。M2型巨噬细胞通常与抗炎、组织修复和病原体清除相关。通过流式细胞术分析，SASP预处理的M0巨噬细胞在感染结核菌后，表现出M2型巨噬细胞特有的表面标记，这可能有助于促进感染组织的修复和增强对结核菌的清除。</w:t>
            </w:r>
          </w:p>
          <w:p w14:paraId="1F7FB013">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（4）潜在的治疗作用：</w:t>
            </w:r>
          </w:p>
          <w:p w14:paraId="7BC76BFB">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 综合上述实验结果，SASP显示出对巨噬细胞功能的多方面影响，包括增强对结核菌的清除能力、调节脂质代谢以及促进M2型巨噬细胞的极化。这些作用可能共同作用于宿主的免疫反应，提高对结核分枝杆菌的防御，并可能有助于结核病的治疗。</w:t>
            </w:r>
          </w:p>
          <w:p w14:paraId="30545853">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 xml:space="preserve">   - 通过调节巨噬细胞的功能，SASP可能有助于改善结核病患者的免疫状态，减少炎症反应，促进感染组织的修复，并可能与现有的抗结核药物产生协同作用，提高治疗效果。</w:t>
            </w:r>
          </w:p>
          <w:p w14:paraId="6D4A2D46">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需要注意的是，实际的治疗效果和安全性需要通过更多的体内外实验和临床试验来进一步验证。此外，SASP的作用机制和长期影响仍需深入研究，以确保其在结核病治疗中的有效性和安全性。</w:t>
            </w:r>
          </w:p>
          <w:p w14:paraId="4021C5E6">
            <w:pPr>
              <w:spacing w:line="360" w:lineRule="auto"/>
              <w:rPr>
                <w:rFonts w:hint="default" w:ascii="仿宋" w:hAnsi="仿宋" w:eastAsia="仿宋"/>
                <w:sz w:val="24"/>
                <w:szCs w:val="24"/>
                <w:lang w:val="en-US" w:eastAsia="zh-CN"/>
              </w:rPr>
            </w:pPr>
            <w:r>
              <w:rPr>
                <w:rFonts w:hint="eastAsia" w:ascii="仿宋" w:hAnsi="仿宋" w:eastAsia="仿宋"/>
                <w:sz w:val="24"/>
                <w:szCs w:val="24"/>
                <w:lang w:val="en-US" w:eastAsia="zh-CN"/>
              </w:rPr>
              <w:t>2.临床研究</w:t>
            </w:r>
          </w:p>
          <w:p w14:paraId="7BE6EDC0">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研究结果：共44名参与者，43人完成了治疗后12个月的评估。第2个月的培养转阴率为73.2%，第6个月达到95.1%。整体而言，88.4%的受试者（38/43）展现出良好的治疗效果，其中Bdq方案为85.2%（19/23），SASP方案为93.8%（14/15）。SASP方案组未记录死亡或治疗失败案例。</w:t>
            </w:r>
          </w:p>
          <w:p w14:paraId="3BC415E5">
            <w:pPr>
              <w:spacing w:line="360" w:lineRule="auto"/>
              <w:rPr>
                <w:rFonts w:hint="default" w:ascii="仿宋" w:hAnsi="仿宋" w:eastAsia="仿宋"/>
                <w:sz w:val="24"/>
                <w:szCs w:val="24"/>
                <w:lang w:val="en-US" w:eastAsia="zh-CN"/>
              </w:rPr>
            </w:pPr>
            <w:r>
              <w:rPr>
                <w:rFonts w:hint="default" w:ascii="仿宋" w:hAnsi="仿宋" w:eastAsia="仿宋"/>
                <w:sz w:val="24"/>
                <w:szCs w:val="24"/>
                <w:lang w:val="en-US" w:eastAsia="zh-CN"/>
              </w:rPr>
              <w:t>结论：两种为期9个月的全口服短程治疗方案在治疗Pre-XDR-TB患者方面均表现出良好的初步疗效。SASP方案安全、有效、耐受性好且具成本效益。</w:t>
            </w:r>
          </w:p>
          <w:p w14:paraId="0F8142AC">
            <w:pPr>
              <w:spacing w:line="360" w:lineRule="auto"/>
            </w:pPr>
            <w:r>
              <w:drawing>
                <wp:inline distT="0" distB="0" distL="114300" distR="114300">
                  <wp:extent cx="5269865" cy="2747010"/>
                  <wp:effectExtent l="0" t="0" r="698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9865" cy="2747010"/>
                          </a:xfrm>
                          <a:prstGeom prst="rect">
                            <a:avLst/>
                          </a:prstGeom>
                          <a:noFill/>
                          <a:ln>
                            <a:noFill/>
                          </a:ln>
                        </pic:spPr>
                      </pic:pic>
                    </a:graphicData>
                  </a:graphic>
                </wp:inline>
              </w:drawing>
            </w:r>
          </w:p>
          <w:p w14:paraId="0168B20F">
            <w:pPr>
              <w:spacing w:line="360" w:lineRule="auto"/>
              <w:rPr>
                <w:rFonts w:hint="eastAsia" w:ascii="仿宋" w:hAnsi="仿宋" w:eastAsia="仿宋"/>
                <w:b/>
                <w:bCs/>
                <w:sz w:val="24"/>
                <w:szCs w:val="24"/>
                <w:lang w:val="en-US" w:eastAsia="zh-CN"/>
              </w:rPr>
            </w:pPr>
            <w:r>
              <w:rPr>
                <w:rFonts w:hint="eastAsia" w:ascii="仿宋" w:hAnsi="仿宋" w:eastAsia="仿宋"/>
                <w:b/>
                <w:bCs/>
                <w:sz w:val="24"/>
                <w:szCs w:val="24"/>
                <w:lang w:eastAsia="zh-CN"/>
              </w:rPr>
              <w:t>（</w:t>
            </w:r>
            <w:r>
              <w:rPr>
                <w:rFonts w:hint="eastAsia" w:ascii="仿宋" w:hAnsi="仿宋" w:eastAsia="仿宋"/>
                <w:b/>
                <w:bCs/>
                <w:sz w:val="24"/>
                <w:szCs w:val="24"/>
                <w:lang w:val="en-US" w:eastAsia="zh-CN"/>
              </w:rPr>
              <w:t>四</w:t>
            </w:r>
            <w:r>
              <w:rPr>
                <w:rFonts w:hint="eastAsia" w:ascii="仿宋" w:hAnsi="仿宋" w:eastAsia="仿宋"/>
                <w:b/>
                <w:bCs/>
                <w:sz w:val="24"/>
                <w:szCs w:val="24"/>
                <w:lang w:eastAsia="zh-CN"/>
              </w:rPr>
              <w:t>）</w:t>
            </w:r>
            <w:r>
              <w:rPr>
                <w:rFonts w:hint="eastAsia" w:ascii="仿宋" w:hAnsi="仿宋" w:eastAsia="仿宋"/>
                <w:b/>
                <w:bCs/>
                <w:sz w:val="24"/>
                <w:szCs w:val="24"/>
                <w:lang w:val="en-US" w:eastAsia="zh-CN"/>
              </w:rPr>
              <w:t>存在问题</w:t>
            </w:r>
          </w:p>
          <w:p w14:paraId="3DD64B45">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1.根据基础研究的结果，选择对SASP基因易感的人群进行治疗可能疗效更佳。在下一步临床试验中，可在基线时进行基因检测以选择合适的目标人群。</w:t>
            </w:r>
          </w:p>
          <w:p w14:paraId="75682AD3">
            <w:pPr>
              <w:spacing w:line="360" w:lineRule="auto"/>
              <w:rPr>
                <w:rFonts w:hint="eastAsia" w:ascii="仿宋" w:hAnsi="仿宋" w:eastAsia="仿宋"/>
                <w:sz w:val="24"/>
                <w:szCs w:val="24"/>
                <w:lang w:val="en-US" w:eastAsia="zh-CN"/>
              </w:rPr>
            </w:pPr>
            <w:r>
              <w:rPr>
                <w:rFonts w:hint="eastAsia" w:ascii="仿宋" w:hAnsi="仿宋" w:eastAsia="仿宋"/>
                <w:sz w:val="24"/>
                <w:szCs w:val="24"/>
                <w:lang w:val="en-US" w:eastAsia="zh-CN"/>
              </w:rPr>
              <w:t>2.临床研究的样本量较小，还需要纳入更多受试者以及更高质量的研究设计（比如随机对照试验），以进一步确定SASP治疗耐多药结核病的有效性和安全性。</w:t>
            </w:r>
          </w:p>
          <w:p w14:paraId="2686F65D">
            <w:pPr>
              <w:spacing w:line="360" w:lineRule="auto"/>
              <w:rPr>
                <w:rFonts w:hint="default" w:ascii="仿宋" w:hAnsi="仿宋" w:eastAsia="仿宋"/>
                <w:sz w:val="24"/>
                <w:szCs w:val="24"/>
                <w:lang w:val="en-US" w:eastAsia="zh-CN"/>
              </w:rPr>
            </w:pPr>
          </w:p>
        </w:tc>
      </w:tr>
      <w:tr w14:paraId="6D4880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8504" w:type="dxa"/>
            <w:gridSpan w:val="4"/>
            <w:tcBorders>
              <w:top w:val="single" w:color="auto" w:sz="4" w:space="0"/>
              <w:left w:val="single" w:color="auto" w:sz="12" w:space="0"/>
              <w:right w:val="single" w:color="auto" w:sz="12" w:space="0"/>
            </w:tcBorders>
            <w:shd w:val="clear" w:color="auto" w:fill="auto"/>
          </w:tcPr>
          <w:p w14:paraId="3D68046B">
            <w:pPr>
              <w:spacing w:line="360" w:lineRule="auto"/>
              <w:rPr>
                <w:rFonts w:ascii="仿宋" w:hAnsi="仿宋" w:eastAsia="仿宋"/>
                <w:sz w:val="24"/>
                <w:szCs w:val="24"/>
              </w:rPr>
            </w:pPr>
            <w:r>
              <w:rPr>
                <w:rFonts w:hint="eastAsia" w:ascii="仿宋" w:hAnsi="仿宋" w:eastAsia="仿宋"/>
                <w:sz w:val="24"/>
                <w:szCs w:val="24"/>
              </w:rPr>
              <w:t>二、取得的主要成果：包括理论研究、实验研究所获得的结论等</w:t>
            </w:r>
          </w:p>
          <w:p w14:paraId="059871AC">
            <w:pPr>
              <w:spacing w:line="360" w:lineRule="auto"/>
              <w:rPr>
                <w:rFonts w:hint="eastAsia" w:ascii="仿宋" w:hAnsi="仿宋" w:eastAsia="仿宋"/>
                <w:sz w:val="24"/>
                <w:szCs w:val="24"/>
              </w:rPr>
            </w:pPr>
            <w:r>
              <w:rPr>
                <w:rFonts w:hint="eastAsia" w:ascii="仿宋" w:hAnsi="仿宋" w:eastAsia="仿宋"/>
                <w:b/>
                <w:bCs/>
                <w:sz w:val="24"/>
                <w:szCs w:val="24"/>
              </w:rPr>
              <w:t>1. 基础研究</w:t>
            </w:r>
            <w:r>
              <w:rPr>
                <w:rFonts w:hint="eastAsia" w:ascii="仿宋" w:hAnsi="仿宋" w:eastAsia="仿宋"/>
                <w:b/>
                <w:bCs/>
                <w:sz w:val="24"/>
                <w:szCs w:val="24"/>
                <w:lang w:eastAsia="zh-CN"/>
              </w:rPr>
              <w:t>：</w:t>
            </w:r>
            <w:r>
              <w:rPr>
                <w:rFonts w:hint="eastAsia" w:ascii="仿宋" w:hAnsi="仿宋" w:eastAsia="仿宋"/>
                <w:b/>
                <w:bCs/>
                <w:sz w:val="24"/>
                <w:szCs w:val="24"/>
              </w:rPr>
              <w:t>SASP对巨噬细胞功能的影响以及在结核病治疗中的潜在作用</w:t>
            </w:r>
          </w:p>
          <w:p w14:paraId="647227BE">
            <w:pPr>
              <w:spacing w:line="360" w:lineRule="auto"/>
              <w:rPr>
                <w:rFonts w:hint="eastAsia" w:ascii="仿宋" w:hAnsi="仿宋" w:eastAsia="仿宋"/>
                <w:sz w:val="24"/>
                <w:szCs w:val="24"/>
              </w:rPr>
            </w:pPr>
            <w:r>
              <w:rPr>
                <w:rFonts w:hint="eastAsia" w:ascii="仿宋" w:hAnsi="仿宋" w:eastAsia="仿宋"/>
                <w:sz w:val="24"/>
                <w:szCs w:val="24"/>
              </w:rPr>
              <w:t>SASP显示出对巨噬细胞功能的多方面影响，包括增强对结核菌的清除能力、调节脂质代谢以及促进M2型巨噬细胞的极化。这些作用可能共同作用于宿主的免疫反应，提高对结核分枝杆菌的防御，并可能有助于结核病的治疗。</w:t>
            </w:r>
          </w:p>
          <w:p w14:paraId="43C16A4B">
            <w:pPr>
              <w:spacing w:line="360" w:lineRule="auto"/>
              <w:rPr>
                <w:rFonts w:hint="eastAsia" w:ascii="仿宋" w:hAnsi="仿宋" w:eastAsia="仿宋"/>
                <w:sz w:val="24"/>
                <w:szCs w:val="24"/>
              </w:rPr>
            </w:pPr>
            <w:r>
              <w:rPr>
                <w:rFonts w:hint="eastAsia" w:ascii="仿宋" w:hAnsi="仿宋" w:eastAsia="仿宋"/>
                <w:sz w:val="24"/>
                <w:szCs w:val="24"/>
              </w:rPr>
              <w:t>通过调节巨噬细胞的功能，SASP可能有助于改善结核病患者的免疫状态，减少炎症反应，促进感染组织的修复，并可能与现有的抗结核药物产生协同作用，提高治疗效果。</w:t>
            </w:r>
          </w:p>
          <w:p w14:paraId="49C75416">
            <w:pPr>
              <w:spacing w:line="360" w:lineRule="auto"/>
              <w:rPr>
                <w:rFonts w:hint="eastAsia" w:ascii="仿宋" w:hAnsi="仿宋" w:eastAsia="仿宋"/>
                <w:sz w:val="24"/>
                <w:szCs w:val="24"/>
              </w:rPr>
            </w:pPr>
            <w:r>
              <w:rPr>
                <w:rFonts w:hint="eastAsia" w:ascii="仿宋" w:hAnsi="仿宋" w:eastAsia="仿宋"/>
                <w:b/>
                <w:bCs/>
                <w:sz w:val="24"/>
                <w:szCs w:val="24"/>
              </w:rPr>
              <w:t>2. 临床研究</w:t>
            </w:r>
            <w:r>
              <w:rPr>
                <w:rFonts w:hint="eastAsia" w:ascii="仿宋" w:hAnsi="仿宋" w:eastAsia="仿宋"/>
                <w:b/>
                <w:bCs/>
                <w:sz w:val="24"/>
                <w:szCs w:val="24"/>
                <w:lang w:eastAsia="zh-CN"/>
              </w:rPr>
              <w:t>：</w:t>
            </w:r>
            <w:r>
              <w:rPr>
                <w:rFonts w:hint="eastAsia" w:ascii="仿宋" w:hAnsi="仿宋" w:eastAsia="仿宋"/>
                <w:b/>
                <w:bCs/>
                <w:sz w:val="24"/>
                <w:szCs w:val="24"/>
              </w:rPr>
              <w:t>SASP辅助治疗准广泛耐药肺结核的有效性和安全性的临床试验</w:t>
            </w:r>
          </w:p>
          <w:p w14:paraId="0AC943CE">
            <w:pPr>
              <w:spacing w:line="360" w:lineRule="auto"/>
              <w:rPr>
                <w:rFonts w:hint="eastAsia" w:ascii="仿宋" w:hAnsi="仿宋" w:eastAsia="仿宋"/>
                <w:sz w:val="24"/>
                <w:szCs w:val="24"/>
              </w:rPr>
            </w:pPr>
            <w:r>
              <w:rPr>
                <w:rFonts w:hint="eastAsia" w:ascii="仿宋" w:hAnsi="仿宋" w:eastAsia="仿宋"/>
                <w:sz w:val="24"/>
                <w:szCs w:val="24"/>
              </w:rPr>
              <w:t>通过一项非随机、有对照临床试验，两种为期9个月的全口服短程治疗方案在治疗Pre-XDR-TB患者方面均表现出良好的初步疗效。为期9个月的SASP方案是治疗Pre-XDR-TB的有效策略，具有高培养转阴率、良好治疗效果（93.8%）和极低复发率。SASP具有出色的安全性和经济性，是一种有效且易于获得的治疗选择。需要更大规模、更全面的研究来验证这些发现。</w:t>
            </w:r>
          </w:p>
          <w:p w14:paraId="4D8AF81B">
            <w:pPr>
              <w:spacing w:line="360" w:lineRule="auto"/>
              <w:rPr>
                <w:rFonts w:hint="eastAsia" w:ascii="仿宋" w:hAnsi="仿宋" w:eastAsia="仿宋"/>
                <w:sz w:val="24"/>
                <w:szCs w:val="24"/>
              </w:rPr>
            </w:pPr>
          </w:p>
        </w:tc>
      </w:tr>
      <w:tr w14:paraId="6C8295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926" w:hRule="atLeast"/>
          <w:jc w:val="center"/>
        </w:trPr>
        <w:tc>
          <w:tcPr>
            <w:tcW w:w="8504" w:type="dxa"/>
            <w:gridSpan w:val="4"/>
            <w:tcBorders>
              <w:left w:val="single" w:color="auto" w:sz="12" w:space="0"/>
              <w:right w:val="single" w:color="auto" w:sz="12" w:space="0"/>
            </w:tcBorders>
            <w:shd w:val="clear" w:color="auto" w:fill="auto"/>
          </w:tcPr>
          <w:p w14:paraId="359864CC">
            <w:pPr>
              <w:spacing w:line="360" w:lineRule="auto"/>
              <w:rPr>
                <w:rFonts w:ascii="仿宋" w:hAnsi="仿宋" w:eastAsia="仿宋"/>
                <w:sz w:val="24"/>
                <w:szCs w:val="24"/>
              </w:rPr>
            </w:pPr>
            <w:r>
              <w:rPr>
                <w:rFonts w:hint="eastAsia" w:ascii="仿宋" w:hAnsi="仿宋" w:eastAsia="仿宋"/>
                <w:sz w:val="24"/>
                <w:szCs w:val="24"/>
              </w:rPr>
              <w:t>三、学术论文发表情况</w:t>
            </w:r>
          </w:p>
          <w:p w14:paraId="7E4A710E">
            <w:pPr>
              <w:spacing w:line="360" w:lineRule="auto"/>
              <w:jc w:val="left"/>
              <w:rPr>
                <w:rFonts w:hint="eastAsia" w:ascii="仿宋" w:hAnsi="仿宋" w:eastAsia="仿宋"/>
                <w:b/>
                <w:bCs/>
                <w:sz w:val="24"/>
                <w:szCs w:val="24"/>
                <w:lang w:val="en-US" w:eastAsia="zh-CN"/>
              </w:rPr>
            </w:pPr>
            <w:r>
              <w:rPr>
                <w:rFonts w:hint="eastAsia" w:ascii="仿宋" w:hAnsi="仿宋" w:eastAsia="仿宋"/>
                <w:b/>
                <w:bCs/>
                <w:sz w:val="24"/>
                <w:szCs w:val="24"/>
                <w:lang w:val="en-US" w:eastAsia="zh-CN"/>
              </w:rPr>
              <w:t>毕业论文：</w:t>
            </w:r>
          </w:p>
          <w:p w14:paraId="0EA73F48">
            <w:pPr>
              <w:spacing w:line="360" w:lineRule="auto"/>
              <w:jc w:val="left"/>
              <w:rPr>
                <w:rFonts w:hint="eastAsia" w:ascii="仿宋" w:hAnsi="仿宋" w:eastAsia="仿宋"/>
                <w:b w:val="0"/>
                <w:bCs w:val="0"/>
                <w:color w:val="000000" w:themeColor="text1"/>
                <w:sz w:val="24"/>
                <w:szCs w:val="24"/>
                <w14:textFill>
                  <w14:solidFill>
                    <w14:schemeClr w14:val="tx1"/>
                  </w14:solidFill>
                </w14:textFill>
              </w:rPr>
            </w:pPr>
            <w:r>
              <w:rPr>
                <w:rFonts w:hint="eastAsia" w:ascii="仿宋" w:hAnsi="仿宋" w:eastAsia="仿宋"/>
                <w:sz w:val="24"/>
                <w:szCs w:val="24"/>
              </w:rPr>
              <w:t>[1]</w:t>
            </w:r>
            <w:r>
              <w:rPr>
                <w:rFonts w:hint="eastAsia" w:ascii="仿宋" w:hAnsi="仿宋" w:eastAsia="仿宋"/>
                <w:color w:val="000000" w:themeColor="text1"/>
                <w:sz w:val="24"/>
                <w:szCs w:val="24"/>
                <w14:textFill>
                  <w14:solidFill>
                    <w14:schemeClr w14:val="tx1"/>
                  </w14:solidFill>
                </w14:textFill>
              </w:rPr>
              <w:tab/>
            </w:r>
            <w:r>
              <w:rPr>
                <w:rFonts w:hint="eastAsia" w:ascii="仿宋" w:hAnsi="仿宋" w:eastAsia="仿宋"/>
                <w:b/>
                <w:bCs/>
                <w:color w:val="FF0000"/>
                <w:sz w:val="24"/>
                <w:szCs w:val="24"/>
              </w:rPr>
              <w:t>Fu, L.</w:t>
            </w:r>
            <w:r>
              <w:rPr>
                <w:rFonts w:hint="eastAsia" w:ascii="仿宋" w:hAnsi="仿宋" w:eastAsia="仿宋"/>
                <w:b w:val="0"/>
                <w:bCs w:val="0"/>
                <w:color w:val="000000" w:themeColor="text1"/>
                <w:sz w:val="24"/>
                <w:szCs w:val="24"/>
                <w14:textFill>
                  <w14:solidFill>
                    <w14:schemeClr w14:val="tx1"/>
                  </w14:solidFill>
                </w14:textFill>
              </w:rPr>
              <w:t xml:space="preserve">, Wang, W., Xiong, J., Zhang, P., Li, H., Zhang, X., Liang, H., Yang, Q., Wang, Z., Chen, X., Deng, G., Cai, Y., </w:t>
            </w:r>
            <w:r>
              <w:rPr>
                <w:rFonts w:hint="eastAsia" w:ascii="仿宋" w:hAnsi="仿宋" w:eastAsia="仿宋"/>
                <w:b/>
                <w:bCs/>
                <w:color w:val="FF0000"/>
                <w:sz w:val="24"/>
                <w:szCs w:val="24"/>
              </w:rPr>
              <w:t>Tang, S.</w:t>
            </w:r>
            <w:r>
              <w:rPr>
                <w:rFonts w:hint="eastAsia" w:ascii="仿宋" w:hAnsi="仿宋" w:eastAsia="仿宋"/>
                <w:b w:val="0"/>
                <w:bCs w:val="0"/>
                <w:color w:val="000000" w:themeColor="text1"/>
                <w:sz w:val="24"/>
                <w:szCs w:val="24"/>
                <w14:textFill>
                  <w14:solidFill>
                    <w14:schemeClr w14:val="tx1"/>
                  </w14:solidFill>
                </w14:textFill>
              </w:rPr>
              <w:t>, 2024, Evaluation of Sulfasalazine as an Adjunctive Therapy in Treating Pulmonary  Pre-XDR-TB: Efficacy, Safety, and Treatment Implication. INFECT DRUG RESIST 17, 595-604.</w:t>
            </w:r>
          </w:p>
          <w:p w14:paraId="52575D4F">
            <w:pPr>
              <w:spacing w:line="360" w:lineRule="auto"/>
              <w:jc w:val="left"/>
              <w:rPr>
                <w:rFonts w:hint="eastAsia" w:ascii="仿宋" w:hAnsi="仿宋" w:eastAsia="仿宋"/>
                <w:b/>
                <w:bCs/>
                <w:color w:val="000000" w:themeColor="text1"/>
                <w:sz w:val="24"/>
                <w:szCs w:val="24"/>
                <w:lang w:val="en-US" w:eastAsia="zh-CN"/>
                <w14:textFill>
                  <w14:solidFill>
                    <w14:schemeClr w14:val="tx1"/>
                  </w14:solidFill>
                </w14:textFill>
              </w:rPr>
            </w:pPr>
            <w:r>
              <w:rPr>
                <w:rFonts w:hint="eastAsia" w:ascii="仿宋" w:hAnsi="仿宋" w:eastAsia="仿宋"/>
                <w:b/>
                <w:bCs/>
                <w:color w:val="000000" w:themeColor="text1"/>
                <w:sz w:val="24"/>
                <w:szCs w:val="24"/>
                <w:lang w:val="en-US" w:eastAsia="zh-CN"/>
                <w14:textFill>
                  <w14:solidFill>
                    <w14:schemeClr w14:val="tx1"/>
                  </w14:solidFill>
                </w14:textFill>
              </w:rPr>
              <w:t>其他论文：</w:t>
            </w:r>
          </w:p>
          <w:p w14:paraId="38813320">
            <w:pPr>
              <w:spacing w:line="360" w:lineRule="auto"/>
              <w:jc w:val="left"/>
              <w:rPr>
                <w:rFonts w:hint="eastAsia" w:ascii="仿宋" w:hAnsi="仿宋" w:eastAsia="仿宋"/>
                <w:b w:val="0"/>
                <w:bCs w:val="0"/>
                <w:color w:val="000000" w:themeColor="text1"/>
                <w:sz w:val="24"/>
                <w:szCs w:val="24"/>
                <w14:textFill>
                  <w14:solidFill>
                    <w14:schemeClr w14:val="tx1"/>
                  </w14:solidFill>
                </w14:textFill>
              </w:rPr>
            </w:pPr>
            <w:r>
              <w:rPr>
                <w:rFonts w:hint="eastAsia" w:ascii="仿宋" w:hAnsi="仿宋" w:eastAsia="仿宋"/>
                <w:b w:val="0"/>
                <w:bCs w:val="0"/>
                <w:color w:val="000000" w:themeColor="text1"/>
                <w:sz w:val="24"/>
                <w:szCs w:val="24"/>
                <w14:textFill>
                  <w14:solidFill>
                    <w14:schemeClr w14:val="tx1"/>
                  </w14:solidFill>
                </w14:textFill>
              </w:rPr>
              <w:t>[1]</w:t>
            </w:r>
            <w:r>
              <w:rPr>
                <w:rFonts w:hint="eastAsia" w:ascii="仿宋" w:hAnsi="仿宋" w:eastAsia="仿宋"/>
                <w:b w:val="0"/>
                <w:bCs w:val="0"/>
                <w:color w:val="000000" w:themeColor="text1"/>
                <w:sz w:val="24"/>
                <w:szCs w:val="24"/>
                <w14:textFill>
                  <w14:solidFill>
                    <w14:schemeClr w14:val="tx1"/>
                  </w14:solidFill>
                </w14:textFill>
              </w:rPr>
              <w:tab/>
            </w:r>
            <w:r>
              <w:rPr>
                <w:rFonts w:hint="eastAsia" w:ascii="仿宋" w:hAnsi="仿宋" w:eastAsia="仿宋"/>
                <w:b w:val="0"/>
                <w:bCs w:val="0"/>
                <w:color w:val="000000" w:themeColor="text1"/>
                <w:sz w:val="24"/>
                <w:szCs w:val="24"/>
                <w14:textFill>
                  <w14:solidFill>
                    <w14:schemeClr w14:val="tx1"/>
                  </w14:solidFill>
                </w14:textFill>
              </w:rPr>
              <w:t>Fu L, Xiong J, Wang H, et al. Study protocol for safety and efficacy of all-oral shortened regimens for multidrug-resistant tuberculosis: a multicenter randomized withdrawal trial and a single-arm trial [SEAL-MDR][J]. BMC Infectious Diseases, 2023,23(1).</w:t>
            </w:r>
          </w:p>
          <w:p w14:paraId="09841B1B">
            <w:pPr>
              <w:spacing w:line="360" w:lineRule="auto"/>
              <w:jc w:val="left"/>
              <w:rPr>
                <w:rFonts w:hint="eastAsia" w:ascii="仿宋" w:hAnsi="仿宋" w:eastAsia="仿宋"/>
                <w:b w:val="0"/>
                <w:bCs w:val="0"/>
                <w:color w:val="000000" w:themeColor="text1"/>
                <w:sz w:val="24"/>
                <w:szCs w:val="24"/>
                <w14:textFill>
                  <w14:solidFill>
                    <w14:schemeClr w14:val="tx1"/>
                  </w14:solidFill>
                </w14:textFill>
              </w:rPr>
            </w:pPr>
            <w:r>
              <w:rPr>
                <w:rFonts w:hint="eastAsia" w:ascii="仿宋" w:hAnsi="仿宋" w:eastAsia="仿宋"/>
                <w:b w:val="0"/>
                <w:bCs w:val="0"/>
                <w:color w:val="000000" w:themeColor="text1"/>
                <w:sz w:val="24"/>
                <w:szCs w:val="24"/>
                <w14:textFill>
                  <w14:solidFill>
                    <w14:schemeClr w14:val="tx1"/>
                  </w14:solidFill>
                </w14:textFill>
              </w:rPr>
              <w:t>[2]</w:t>
            </w:r>
            <w:r>
              <w:rPr>
                <w:rFonts w:hint="eastAsia" w:ascii="仿宋" w:hAnsi="仿宋" w:eastAsia="仿宋"/>
                <w:b w:val="0"/>
                <w:bCs w:val="0"/>
                <w:color w:val="000000" w:themeColor="text1"/>
                <w:sz w:val="24"/>
                <w:szCs w:val="24"/>
                <w14:textFill>
                  <w14:solidFill>
                    <w14:schemeClr w14:val="tx1"/>
                  </w14:solidFill>
                </w14:textFill>
              </w:rPr>
              <w:tab/>
            </w:r>
            <w:r>
              <w:rPr>
                <w:rFonts w:hint="eastAsia" w:ascii="仿宋" w:hAnsi="仿宋" w:eastAsia="仿宋"/>
                <w:b w:val="0"/>
                <w:bCs w:val="0"/>
                <w:color w:val="000000" w:themeColor="text1"/>
                <w:sz w:val="24"/>
                <w:szCs w:val="24"/>
                <w14:textFill>
                  <w14:solidFill>
                    <w14:schemeClr w14:val="tx1"/>
                  </w14:solidFill>
                </w14:textFill>
              </w:rPr>
              <w:t>FU L, ZHANG X, XIONG J, et al. Selecting an appropriate all-oral short-course regimen for patients with multidrug-resistant or pre-extensive drug-resistant tuberculosis in China: A  multicenter prospective cohort study[J]. Int J Infect Dis, 2023.</w:t>
            </w:r>
          </w:p>
          <w:p w14:paraId="4933952F">
            <w:pPr>
              <w:spacing w:line="360" w:lineRule="auto"/>
              <w:jc w:val="left"/>
              <w:rPr>
                <w:rFonts w:hint="eastAsia" w:ascii="仿宋" w:hAnsi="仿宋" w:eastAsia="仿宋"/>
                <w:b w:val="0"/>
                <w:bCs w:val="0"/>
                <w:color w:val="000000" w:themeColor="text1"/>
                <w:sz w:val="24"/>
                <w:szCs w:val="24"/>
                <w14:textFill>
                  <w14:solidFill>
                    <w14:schemeClr w14:val="tx1"/>
                  </w14:solidFill>
                </w14:textFill>
              </w:rPr>
            </w:pPr>
            <w:r>
              <w:rPr>
                <w:rFonts w:hint="eastAsia" w:ascii="仿宋" w:hAnsi="仿宋" w:eastAsia="仿宋"/>
                <w:b w:val="0"/>
                <w:bCs w:val="0"/>
                <w:color w:val="000000" w:themeColor="text1"/>
                <w:sz w:val="24"/>
                <w:szCs w:val="24"/>
                <w14:textFill>
                  <w14:solidFill>
                    <w14:schemeClr w14:val="tx1"/>
                  </w14:solidFill>
                </w14:textFill>
              </w:rPr>
              <w:t>[3]</w:t>
            </w:r>
            <w:r>
              <w:rPr>
                <w:rFonts w:hint="eastAsia" w:ascii="仿宋" w:hAnsi="仿宋" w:eastAsia="仿宋"/>
                <w:b w:val="0"/>
                <w:bCs w:val="0"/>
                <w:color w:val="000000" w:themeColor="text1"/>
                <w:sz w:val="24"/>
                <w:szCs w:val="24"/>
                <w14:textFill>
                  <w14:solidFill>
                    <w14:schemeClr w14:val="tx1"/>
                  </w14:solidFill>
                </w14:textFill>
              </w:rPr>
              <w:tab/>
            </w:r>
            <w:r>
              <w:rPr>
                <w:rFonts w:hint="eastAsia" w:ascii="仿宋" w:hAnsi="仿宋" w:eastAsia="仿宋"/>
                <w:b w:val="0"/>
                <w:bCs w:val="0"/>
                <w:color w:val="000000" w:themeColor="text1"/>
                <w:sz w:val="24"/>
                <w:szCs w:val="24"/>
                <w14:textFill>
                  <w14:solidFill>
                    <w14:schemeClr w14:val="tx1"/>
                  </w14:solidFill>
                </w14:textFill>
              </w:rPr>
              <w:t>FU L, WENG T, SUN F, et al. Insignificant difference in culture conversion between bedaquiline-containing and bedaquiline-free all-oral short regimens for multidrug-resistant tuberculosis[J]. Int J Infect Dis, 2021,111: 138-147.</w:t>
            </w:r>
          </w:p>
          <w:p w14:paraId="74696B53">
            <w:pPr>
              <w:spacing w:line="360" w:lineRule="auto"/>
              <w:ind w:right="120"/>
              <w:jc w:val="right"/>
              <w:rPr>
                <w:rFonts w:hint="eastAsia" w:ascii="仿宋" w:hAnsi="仿宋" w:eastAsia="仿宋"/>
                <w:sz w:val="24"/>
                <w:szCs w:val="24"/>
                <w:lang w:eastAsia="zh-CN"/>
              </w:rPr>
            </w:pPr>
            <w:r>
              <w:rPr>
                <w:rFonts w:hint="eastAsia" w:ascii="仿宋" w:hAnsi="仿宋" w:eastAsia="仿宋"/>
                <w:sz w:val="24"/>
                <w:szCs w:val="24"/>
              </w:rPr>
              <w:t>研究生签字：</w:t>
            </w:r>
            <w:r>
              <w:rPr>
                <w:rFonts w:hint="eastAsia" w:ascii="仿宋" w:hAnsi="仿宋" w:eastAsia="仿宋"/>
                <w:sz w:val="24"/>
                <w:szCs w:val="24"/>
                <w:lang w:eastAsia="zh-CN"/>
              </w:rPr>
              <w:drawing>
                <wp:inline distT="0" distB="0" distL="114300" distR="114300">
                  <wp:extent cx="431800" cy="369570"/>
                  <wp:effectExtent l="0" t="0" r="6350" b="11430"/>
                  <wp:docPr id="3" name="图片 3" descr="付亮 电子签名 透明底 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付亮 电子签名 透明底 签名"/>
                          <pic:cNvPicPr>
                            <a:picLocks noChangeAspect="1"/>
                          </pic:cNvPicPr>
                        </pic:nvPicPr>
                        <pic:blipFill>
                          <a:blip r:embed="rId18"/>
                          <a:stretch>
                            <a:fillRect/>
                          </a:stretch>
                        </pic:blipFill>
                        <pic:spPr>
                          <a:xfrm>
                            <a:off x="0" y="0"/>
                            <a:ext cx="431800" cy="369570"/>
                          </a:xfrm>
                          <a:prstGeom prst="rect">
                            <a:avLst/>
                          </a:prstGeom>
                        </pic:spPr>
                      </pic:pic>
                    </a:graphicData>
                  </a:graphic>
                </wp:inline>
              </w:drawing>
            </w:r>
          </w:p>
          <w:p w14:paraId="504AEFDD">
            <w:pPr>
              <w:spacing w:line="360" w:lineRule="auto"/>
              <w:ind w:right="120"/>
              <w:jc w:val="right"/>
              <w:rPr>
                <w:rFonts w:hint="default" w:ascii="仿宋" w:hAnsi="仿宋" w:eastAsia="仿宋"/>
                <w:sz w:val="24"/>
                <w:szCs w:val="24"/>
                <w:lang w:val="en-US" w:eastAsia="zh-CN"/>
              </w:rPr>
            </w:pPr>
            <w:r>
              <w:rPr>
                <w:rFonts w:hint="eastAsia" w:ascii="仿宋" w:hAnsi="仿宋" w:eastAsia="仿宋"/>
                <w:sz w:val="24"/>
                <w:szCs w:val="24"/>
              </w:rPr>
              <w:t>日期：</w:t>
            </w:r>
            <w:r>
              <w:rPr>
                <w:rFonts w:hint="eastAsia" w:ascii="仿宋" w:hAnsi="仿宋" w:eastAsia="仿宋"/>
                <w:sz w:val="24"/>
                <w:szCs w:val="24"/>
                <w:lang w:val="en-US" w:eastAsia="zh-CN"/>
              </w:rPr>
              <w:t>2024-04-16</w:t>
            </w:r>
          </w:p>
        </w:tc>
      </w:tr>
      <w:tr w14:paraId="70B3B8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gridSpan w:val="4"/>
            <w:tcBorders>
              <w:left w:val="single" w:color="auto" w:sz="12" w:space="0"/>
              <w:right w:val="single" w:color="auto" w:sz="12" w:space="0"/>
            </w:tcBorders>
            <w:shd w:val="clear" w:color="auto" w:fill="auto"/>
          </w:tcPr>
          <w:p w14:paraId="568F3AE4">
            <w:pPr>
              <w:rPr>
                <w:rFonts w:ascii="仿宋" w:hAnsi="仿宋" w:eastAsia="仿宋"/>
                <w:sz w:val="24"/>
                <w:szCs w:val="24"/>
              </w:rPr>
            </w:pPr>
            <w:r>
              <w:rPr>
                <w:rFonts w:hint="eastAsia" w:ascii="仿宋" w:hAnsi="仿宋" w:eastAsia="仿宋"/>
                <w:sz w:val="24"/>
                <w:szCs w:val="24"/>
              </w:rPr>
              <w:t>导师审阅意见：</w:t>
            </w:r>
          </w:p>
          <w:p w14:paraId="108293B4">
            <w:pPr>
              <w:rPr>
                <w:rFonts w:hint="eastAsia" w:ascii="仿宋" w:hAnsi="仿宋" w:eastAsia="仿宋"/>
                <w:sz w:val="24"/>
                <w:szCs w:val="24"/>
              </w:rPr>
            </w:pPr>
            <w:r>
              <w:rPr>
                <w:rFonts w:hint="eastAsia" w:ascii="仿宋" w:hAnsi="仿宋" w:eastAsia="仿宋"/>
                <w:sz w:val="24"/>
                <w:szCs w:val="24"/>
              </w:rPr>
              <w:t>（对课题研究结果的可靠性、完整性、科学性、创新性进行评议，提出是否需要进一步补充与完善等意见，对论文的撰写提出建议）</w:t>
            </w:r>
          </w:p>
          <w:p w14:paraId="404FD956">
            <w:pPr>
              <w:rPr>
                <w:rFonts w:hint="eastAsia" w:ascii="仿宋" w:hAnsi="仿宋" w:eastAsia="仿宋"/>
                <w:sz w:val="24"/>
                <w:szCs w:val="24"/>
              </w:rPr>
            </w:pPr>
          </w:p>
          <w:p w14:paraId="3757FE52">
            <w:pPr>
              <w:spacing w:line="360" w:lineRule="auto"/>
              <w:rPr>
                <w:rFonts w:ascii="仿宋" w:hAnsi="仿宋" w:eastAsia="仿宋"/>
                <w:sz w:val="24"/>
                <w:szCs w:val="24"/>
              </w:rPr>
            </w:pPr>
            <w:r>
              <w:rPr>
                <w:rFonts w:hint="eastAsia" w:ascii="仿宋" w:hAnsi="仿宋" w:eastAsia="仿宋"/>
                <w:sz w:val="24"/>
                <w:szCs w:val="24"/>
                <w:lang w:val="en-US" w:eastAsia="zh-CN"/>
              </w:rPr>
              <w:t>研究结案较为可靠、完整，有一定的科学性和创新性，建议对临床病例进行免疫细胞及细胞因子等检测，完善相关机制研究。</w:t>
            </w:r>
          </w:p>
          <w:p w14:paraId="2B011D37">
            <w:pPr>
              <w:spacing w:line="360" w:lineRule="auto"/>
              <w:rPr>
                <w:rFonts w:ascii="仿宋" w:hAnsi="仿宋" w:eastAsia="仿宋"/>
                <w:sz w:val="24"/>
                <w:szCs w:val="24"/>
              </w:rPr>
            </w:pPr>
          </w:p>
          <w:p w14:paraId="03AE13D7">
            <w:pPr>
              <w:spacing w:line="360" w:lineRule="auto"/>
              <w:rPr>
                <w:rFonts w:ascii="仿宋" w:hAnsi="仿宋" w:eastAsia="仿宋"/>
                <w:sz w:val="24"/>
                <w:szCs w:val="24"/>
              </w:rPr>
            </w:pPr>
          </w:p>
          <w:p w14:paraId="434EB993">
            <w:pPr>
              <w:spacing w:line="360" w:lineRule="auto"/>
              <w:rPr>
                <w:rFonts w:ascii="仿宋" w:hAnsi="仿宋" w:eastAsia="仿宋"/>
                <w:sz w:val="24"/>
                <w:szCs w:val="24"/>
              </w:rPr>
            </w:pPr>
          </w:p>
          <w:p w14:paraId="09AFBA0B">
            <w:pPr>
              <w:spacing w:line="360" w:lineRule="auto"/>
              <w:rPr>
                <w:rFonts w:ascii="仿宋" w:hAnsi="仿宋" w:eastAsia="仿宋"/>
                <w:sz w:val="24"/>
                <w:szCs w:val="24"/>
              </w:rPr>
            </w:pPr>
          </w:p>
          <w:p w14:paraId="1BD0DB4F">
            <w:pPr>
              <w:spacing w:line="360" w:lineRule="auto"/>
              <w:rPr>
                <w:rFonts w:ascii="仿宋" w:hAnsi="仿宋" w:eastAsia="仿宋"/>
                <w:sz w:val="24"/>
                <w:szCs w:val="24"/>
              </w:rPr>
            </w:pPr>
          </w:p>
          <w:p w14:paraId="51F619D1">
            <w:pPr>
              <w:spacing w:line="360" w:lineRule="auto"/>
              <w:jc w:val="right"/>
              <w:rPr>
                <w:rFonts w:hint="eastAsia" w:ascii="仿宋" w:hAnsi="仿宋" w:eastAsia="仿宋"/>
                <w:sz w:val="24"/>
                <w:szCs w:val="24"/>
                <w:lang w:val="en-US" w:eastAsia="zh-CN"/>
              </w:rPr>
            </w:pPr>
            <w:r>
              <w:rPr>
                <w:rFonts w:hint="eastAsia" w:ascii="仿宋" w:hAnsi="仿宋" w:eastAsia="仿宋"/>
                <w:sz w:val="24"/>
                <w:szCs w:val="24"/>
              </w:rPr>
              <w:t>导师签字：</w:t>
            </w:r>
            <w:r>
              <w:rPr>
                <w:rFonts w:hint="eastAsia" w:ascii="仿宋" w:hAnsi="仿宋" w:eastAsia="仿宋"/>
                <w:sz w:val="24"/>
                <w:szCs w:val="24"/>
                <w:lang w:val="en-US" w:eastAsia="zh-CN"/>
              </w:rPr>
              <w:drawing>
                <wp:inline distT="0" distB="0" distL="114300" distR="114300">
                  <wp:extent cx="874395" cy="513080"/>
                  <wp:effectExtent l="0" t="0" r="1905" b="1270"/>
                  <wp:docPr id="14" name="图片 14" descr="唐神结 电子签字 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神结 电子签字 透明底"/>
                          <pic:cNvPicPr>
                            <a:picLocks noChangeAspect="1"/>
                          </pic:cNvPicPr>
                        </pic:nvPicPr>
                        <pic:blipFill>
                          <a:blip r:embed="rId12"/>
                          <a:stretch>
                            <a:fillRect/>
                          </a:stretch>
                        </pic:blipFill>
                        <pic:spPr>
                          <a:xfrm>
                            <a:off x="0" y="0"/>
                            <a:ext cx="874395" cy="513080"/>
                          </a:xfrm>
                          <a:prstGeom prst="rect">
                            <a:avLst/>
                          </a:prstGeom>
                        </pic:spPr>
                      </pic:pic>
                    </a:graphicData>
                  </a:graphic>
                </wp:inline>
              </w:drawing>
            </w:r>
          </w:p>
          <w:p w14:paraId="39A0648E">
            <w:pPr>
              <w:spacing w:line="360" w:lineRule="auto"/>
              <w:jc w:val="right"/>
              <w:rPr>
                <w:rFonts w:hint="default" w:ascii="仿宋" w:hAnsi="仿宋" w:eastAsia="仿宋"/>
                <w:sz w:val="24"/>
                <w:szCs w:val="24"/>
                <w:lang w:val="en-US" w:eastAsia="zh-CN"/>
              </w:rPr>
            </w:pPr>
            <w:r>
              <w:rPr>
                <w:rFonts w:hint="eastAsia" w:ascii="仿宋" w:hAnsi="仿宋" w:eastAsia="仿宋"/>
                <w:sz w:val="24"/>
                <w:szCs w:val="24"/>
              </w:rPr>
              <w:t>日期：</w:t>
            </w:r>
            <w:r>
              <w:rPr>
                <w:rFonts w:hint="eastAsia" w:ascii="仿宋" w:hAnsi="仿宋" w:eastAsia="仿宋"/>
                <w:sz w:val="24"/>
                <w:szCs w:val="24"/>
                <w:lang w:val="en-US" w:eastAsia="zh-CN"/>
              </w:rPr>
              <w:t>2024-04-18</w:t>
            </w:r>
          </w:p>
        </w:tc>
      </w:tr>
      <w:tr w14:paraId="78055E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504" w:type="dxa"/>
            <w:gridSpan w:val="4"/>
            <w:tcBorders>
              <w:left w:val="single" w:color="auto" w:sz="12" w:space="0"/>
              <w:bottom w:val="single" w:color="auto" w:sz="12" w:space="0"/>
              <w:right w:val="single" w:color="auto" w:sz="12" w:space="0"/>
            </w:tcBorders>
            <w:shd w:val="clear" w:color="auto" w:fill="auto"/>
          </w:tcPr>
          <w:p w14:paraId="2AD836FF">
            <w:pPr>
              <w:rPr>
                <w:rFonts w:ascii="仿宋" w:hAnsi="仿宋" w:eastAsia="仿宋"/>
                <w:sz w:val="24"/>
                <w:szCs w:val="24"/>
              </w:rPr>
            </w:pPr>
            <w:r>
              <w:rPr>
                <w:rFonts w:hint="eastAsia" w:ascii="仿宋" w:hAnsi="仿宋" w:eastAsia="仿宋"/>
                <w:sz w:val="24"/>
                <w:szCs w:val="24"/>
              </w:rPr>
              <w:t>评审组意见：</w:t>
            </w:r>
          </w:p>
          <w:p w14:paraId="467FAFF9">
            <w:pPr>
              <w:rPr>
                <w:rFonts w:hint="eastAsia" w:ascii="仿宋" w:hAnsi="仿宋" w:eastAsia="仿宋"/>
                <w:sz w:val="24"/>
                <w:szCs w:val="24"/>
              </w:rPr>
            </w:pPr>
            <w:r>
              <w:rPr>
                <w:rFonts w:hint="eastAsia" w:ascii="仿宋" w:hAnsi="仿宋" w:eastAsia="仿宋"/>
                <w:sz w:val="24"/>
                <w:szCs w:val="24"/>
              </w:rPr>
              <w:t>（对课题研究结果的可靠性、完整性、科学性、创新性进行评议，提出是否需要进一步补充与完善等意见，对论文的撰写提出建议）</w:t>
            </w:r>
          </w:p>
          <w:p w14:paraId="7B7FF75C">
            <w:pPr>
              <w:rPr>
                <w:rFonts w:hint="eastAsia" w:ascii="仿宋" w:hAnsi="仿宋" w:eastAsia="仿宋"/>
                <w:sz w:val="24"/>
                <w:szCs w:val="24"/>
              </w:rPr>
            </w:pPr>
          </w:p>
          <w:p w14:paraId="33B1F4F0">
            <w:pPr>
              <w:spacing w:line="360" w:lineRule="auto"/>
              <w:rPr>
                <w:rFonts w:ascii="仿宋" w:hAnsi="仿宋" w:eastAsia="仿宋"/>
                <w:sz w:val="24"/>
                <w:szCs w:val="24"/>
              </w:rPr>
            </w:pPr>
            <w:r>
              <w:rPr>
                <w:rFonts w:hint="eastAsia" w:ascii="仿宋" w:hAnsi="仿宋" w:eastAsia="仿宋"/>
                <w:sz w:val="24"/>
                <w:szCs w:val="24"/>
                <w:lang w:val="en-US" w:eastAsia="zh-CN"/>
              </w:rPr>
              <w:t>课题有较好的创新性，建议增加机制相关的研究内容。</w:t>
            </w:r>
          </w:p>
          <w:p w14:paraId="1B140451">
            <w:pPr>
              <w:spacing w:line="360" w:lineRule="auto"/>
              <w:rPr>
                <w:rFonts w:ascii="仿宋" w:hAnsi="仿宋" w:eastAsia="仿宋"/>
                <w:sz w:val="24"/>
                <w:szCs w:val="24"/>
              </w:rPr>
            </w:pPr>
          </w:p>
          <w:p w14:paraId="68556615">
            <w:pPr>
              <w:spacing w:line="360" w:lineRule="auto"/>
              <w:rPr>
                <w:rFonts w:ascii="仿宋" w:hAnsi="仿宋" w:eastAsia="仿宋"/>
                <w:sz w:val="24"/>
                <w:szCs w:val="24"/>
              </w:rPr>
            </w:pPr>
          </w:p>
          <w:p w14:paraId="057569B6">
            <w:pPr>
              <w:spacing w:line="360" w:lineRule="auto"/>
              <w:rPr>
                <w:rFonts w:ascii="仿宋" w:hAnsi="仿宋" w:eastAsia="仿宋"/>
                <w:sz w:val="24"/>
                <w:szCs w:val="24"/>
              </w:rPr>
            </w:pPr>
          </w:p>
          <w:p w14:paraId="6035968A">
            <w:pPr>
              <w:spacing w:line="360" w:lineRule="auto"/>
              <w:rPr>
                <w:rFonts w:ascii="仿宋" w:hAnsi="仿宋" w:eastAsia="仿宋"/>
                <w:sz w:val="24"/>
                <w:szCs w:val="24"/>
              </w:rPr>
            </w:pPr>
          </w:p>
          <w:p w14:paraId="49328C00">
            <w:pPr>
              <w:spacing w:line="360" w:lineRule="auto"/>
              <w:rPr>
                <w:rFonts w:ascii="仿宋" w:hAnsi="仿宋" w:eastAsia="仿宋"/>
                <w:sz w:val="24"/>
                <w:szCs w:val="24"/>
              </w:rPr>
            </w:pPr>
          </w:p>
          <w:p w14:paraId="3289DCC8">
            <w:pPr>
              <w:spacing w:line="360" w:lineRule="auto"/>
              <w:jc w:val="right"/>
              <w:rPr>
                <w:rFonts w:hint="eastAsia" w:ascii="仿宋" w:hAnsi="仿宋" w:eastAsia="仿宋"/>
                <w:sz w:val="24"/>
                <w:szCs w:val="24"/>
                <w:lang w:val="en-US" w:eastAsia="zh-CN"/>
              </w:rPr>
            </w:pPr>
            <w:r>
              <w:rPr>
                <w:rFonts w:hint="eastAsia" w:ascii="仿宋" w:hAnsi="仿宋" w:eastAsia="仿宋"/>
                <w:sz w:val="24"/>
                <w:szCs w:val="24"/>
              </w:rPr>
              <w:t>评审组长签字：</w:t>
            </w:r>
            <w:r>
              <w:rPr>
                <w:rFonts w:hint="eastAsia" w:ascii="仿宋" w:hAnsi="仿宋" w:eastAsia="仿宋"/>
                <w:sz w:val="24"/>
                <w:szCs w:val="24"/>
                <w:lang w:val="en-US" w:eastAsia="zh-CN"/>
              </w:rPr>
              <w:t>何金生</w:t>
            </w:r>
          </w:p>
          <w:p w14:paraId="5A5CB1E5">
            <w:pPr>
              <w:spacing w:line="360" w:lineRule="auto"/>
              <w:jc w:val="right"/>
              <w:rPr>
                <w:rFonts w:hint="default" w:ascii="仿宋" w:hAnsi="仿宋" w:eastAsia="仿宋"/>
                <w:sz w:val="24"/>
                <w:szCs w:val="24"/>
                <w:lang w:val="en-US" w:eastAsia="zh-CN"/>
              </w:rPr>
            </w:pPr>
            <w:r>
              <w:rPr>
                <w:rFonts w:hint="eastAsia" w:ascii="仿宋" w:hAnsi="仿宋" w:eastAsia="仿宋"/>
                <w:sz w:val="24"/>
                <w:szCs w:val="24"/>
              </w:rPr>
              <w:t>日期：</w:t>
            </w:r>
            <w:r>
              <w:rPr>
                <w:rFonts w:hint="eastAsia" w:ascii="仿宋" w:hAnsi="仿宋" w:eastAsia="仿宋"/>
                <w:sz w:val="24"/>
                <w:szCs w:val="24"/>
                <w:lang w:val="en-US" w:eastAsia="zh-CN"/>
              </w:rPr>
              <w:t>2024-04-18</w:t>
            </w:r>
          </w:p>
        </w:tc>
      </w:tr>
    </w:tbl>
    <w:p w14:paraId="3619B411">
      <w:pPr>
        <w:jc w:val="both"/>
        <w:rPr>
          <w:rFonts w:ascii="宋体" w:hAnsi="宋体"/>
          <w:sz w:val="24"/>
        </w:rPr>
      </w:pPr>
    </w:p>
    <w:p w14:paraId="1A1EB0AE">
      <w:pPr>
        <w:jc w:val="center"/>
        <w:rPr>
          <w:rFonts w:ascii="华文中宋" w:hAnsi="华文中宋" w:eastAsia="华文中宋"/>
          <w:bCs/>
          <w:sz w:val="36"/>
          <w:szCs w:val="44"/>
        </w:rPr>
      </w:pPr>
      <w:r>
        <w:rPr>
          <w:rFonts w:hint="eastAsia" w:ascii="华文中宋" w:hAnsi="华文中宋" w:eastAsia="华文中宋"/>
          <w:sz w:val="36"/>
          <w:szCs w:val="44"/>
        </w:rPr>
        <w:t>首都医科大学</w:t>
      </w:r>
      <w:r>
        <w:rPr>
          <w:rFonts w:hint="eastAsia" w:ascii="华文中宋" w:hAnsi="华文中宋" w:eastAsia="华文中宋"/>
          <w:bCs/>
          <w:sz w:val="36"/>
          <w:szCs w:val="44"/>
        </w:rPr>
        <w:t>学位</w:t>
      </w:r>
      <w:r>
        <w:rPr>
          <w:rFonts w:ascii="华文中宋" w:hAnsi="华文中宋" w:eastAsia="华文中宋"/>
          <w:bCs/>
          <w:sz w:val="36"/>
          <w:szCs w:val="44"/>
        </w:rPr>
        <w:t>论文</w:t>
      </w:r>
      <w:r>
        <w:rPr>
          <w:rFonts w:hint="eastAsia" w:ascii="华文中宋" w:hAnsi="华文中宋" w:eastAsia="华文中宋"/>
          <w:bCs/>
          <w:sz w:val="36"/>
          <w:szCs w:val="44"/>
        </w:rPr>
        <w:t>结题报告记录</w:t>
      </w:r>
    </w:p>
    <w:tbl>
      <w:tblPr>
        <w:tblStyle w:val="6"/>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7"/>
        <w:gridCol w:w="33"/>
        <w:gridCol w:w="1414"/>
        <w:gridCol w:w="1136"/>
        <w:gridCol w:w="271"/>
        <w:gridCol w:w="3983"/>
      </w:tblGrid>
      <w:tr w14:paraId="2C7A6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0" w:type="dxa"/>
            <w:gridSpan w:val="2"/>
            <w:tcBorders>
              <w:top w:val="single" w:color="auto" w:sz="12" w:space="0"/>
              <w:left w:val="single" w:color="auto" w:sz="12" w:space="0"/>
            </w:tcBorders>
            <w:vAlign w:val="center"/>
          </w:tcPr>
          <w:p w14:paraId="6DCCEF20">
            <w:pPr>
              <w:pStyle w:val="16"/>
              <w:framePr w:wrap="auto" w:vAnchor="margin" w:hAnchor="text" w:yAlign="inline"/>
              <w:jc w:val="center"/>
              <w:rPr>
                <w:rFonts w:ascii="仿宋" w:hAnsi="仿宋" w:eastAsia="仿宋"/>
                <w:sz w:val="24"/>
                <w:szCs w:val="28"/>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414" w:type="dxa"/>
            <w:tcBorders>
              <w:top w:val="single" w:color="auto" w:sz="12" w:space="0"/>
            </w:tcBorders>
            <w:vAlign w:val="center"/>
          </w:tcPr>
          <w:p w14:paraId="198954A0">
            <w:pPr>
              <w:rPr>
                <w:rFonts w:ascii="仿宋" w:hAnsi="仿宋" w:eastAsia="仿宋"/>
                <w:sz w:val="24"/>
                <w:szCs w:val="28"/>
              </w:rPr>
            </w:pPr>
            <w:r>
              <w:rPr>
                <w:rFonts w:hint="eastAsia" w:ascii="仿宋" w:hAnsi="仿宋" w:eastAsia="仿宋" w:cs="仿宋"/>
                <w:lang w:eastAsia="zh-CN"/>
              </w:rPr>
              <w:t>付亮</w:t>
            </w:r>
          </w:p>
        </w:tc>
        <w:tc>
          <w:tcPr>
            <w:tcW w:w="1407" w:type="dxa"/>
            <w:gridSpan w:val="2"/>
            <w:tcBorders>
              <w:top w:val="single" w:color="auto" w:sz="12" w:space="0"/>
            </w:tcBorders>
            <w:vAlign w:val="center"/>
          </w:tcPr>
          <w:p w14:paraId="14DE5534">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学号</w:t>
            </w:r>
          </w:p>
        </w:tc>
        <w:tc>
          <w:tcPr>
            <w:tcW w:w="3983" w:type="dxa"/>
            <w:tcBorders>
              <w:top w:val="single" w:color="auto" w:sz="12" w:space="0"/>
              <w:right w:val="single" w:color="auto" w:sz="12" w:space="0"/>
            </w:tcBorders>
            <w:vAlign w:val="center"/>
          </w:tcPr>
          <w:p w14:paraId="3A1FA61A">
            <w:pPr>
              <w:rPr>
                <w:rFonts w:ascii="仿宋" w:hAnsi="仿宋" w:eastAsia="仿宋"/>
                <w:sz w:val="24"/>
                <w:szCs w:val="28"/>
              </w:rPr>
            </w:pPr>
            <w:r>
              <w:rPr>
                <w:rFonts w:hint="default" w:ascii="Times New Roman" w:hAnsi="Times New Roman" w:eastAsia="宋体" w:cs="Times New Roman"/>
                <w:sz w:val="24"/>
                <w:szCs w:val="24"/>
              </w:rPr>
              <w:t>132017100062</w:t>
            </w:r>
          </w:p>
        </w:tc>
      </w:tr>
      <w:tr w14:paraId="36CDE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gridSpan w:val="2"/>
            <w:tcBorders>
              <w:left w:val="single" w:color="auto" w:sz="12" w:space="0"/>
            </w:tcBorders>
            <w:vAlign w:val="center"/>
          </w:tcPr>
          <w:p w14:paraId="3415FFCD">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学科专业</w:t>
            </w:r>
          </w:p>
        </w:tc>
        <w:tc>
          <w:tcPr>
            <w:tcW w:w="1414" w:type="dxa"/>
            <w:vAlign w:val="center"/>
          </w:tcPr>
          <w:p w14:paraId="058E3996">
            <w:pPr>
              <w:rPr>
                <w:rFonts w:ascii="仿宋" w:hAnsi="仿宋" w:eastAsia="仿宋"/>
                <w:sz w:val="24"/>
                <w:szCs w:val="28"/>
              </w:rPr>
            </w:pPr>
            <w:r>
              <w:rPr>
                <w:rFonts w:hint="default" w:ascii="Times New Roman" w:hAnsi="Times New Roman" w:eastAsia="仿宋" w:cs="Times New Roman"/>
                <w:lang w:eastAsia="zh-CN"/>
              </w:rPr>
              <w:t>内科学（传染病）</w:t>
            </w:r>
          </w:p>
        </w:tc>
        <w:tc>
          <w:tcPr>
            <w:tcW w:w="1407" w:type="dxa"/>
            <w:gridSpan w:val="2"/>
            <w:vAlign w:val="center"/>
          </w:tcPr>
          <w:p w14:paraId="55E8C382">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学位类型</w:t>
            </w:r>
          </w:p>
        </w:tc>
        <w:tc>
          <w:tcPr>
            <w:tcW w:w="3983" w:type="dxa"/>
            <w:tcBorders>
              <w:right w:val="single" w:color="auto" w:sz="12" w:space="0"/>
            </w:tcBorders>
            <w:vAlign w:val="center"/>
          </w:tcPr>
          <w:p w14:paraId="2F895023">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7660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gridSpan w:val="2"/>
            <w:tcBorders>
              <w:left w:val="single" w:color="auto" w:sz="12" w:space="0"/>
            </w:tcBorders>
            <w:vAlign w:val="center"/>
          </w:tcPr>
          <w:p w14:paraId="7B6E734F">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导师姓名</w:t>
            </w:r>
          </w:p>
        </w:tc>
        <w:tc>
          <w:tcPr>
            <w:tcW w:w="1414" w:type="dxa"/>
            <w:vAlign w:val="center"/>
          </w:tcPr>
          <w:p w14:paraId="7FD47D74">
            <w:pPr>
              <w:rPr>
                <w:rFonts w:ascii="仿宋" w:hAnsi="仿宋" w:eastAsia="仿宋"/>
                <w:sz w:val="24"/>
                <w:szCs w:val="28"/>
              </w:rPr>
            </w:pPr>
            <w:r>
              <w:rPr>
                <w:rFonts w:hint="eastAsia" w:ascii="仿宋" w:hAnsi="仿宋" w:eastAsia="仿宋" w:cs="仿宋"/>
                <w:lang w:eastAsia="zh-CN"/>
              </w:rPr>
              <w:t>唐神结</w:t>
            </w:r>
          </w:p>
        </w:tc>
        <w:tc>
          <w:tcPr>
            <w:tcW w:w="1407" w:type="dxa"/>
            <w:gridSpan w:val="2"/>
            <w:vAlign w:val="center"/>
          </w:tcPr>
          <w:p w14:paraId="0E8CB35A">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培养单位</w:t>
            </w:r>
          </w:p>
        </w:tc>
        <w:tc>
          <w:tcPr>
            <w:tcW w:w="3983" w:type="dxa"/>
            <w:tcBorders>
              <w:right w:val="single" w:color="auto" w:sz="12" w:space="0"/>
            </w:tcBorders>
            <w:vAlign w:val="center"/>
          </w:tcPr>
          <w:p w14:paraId="35A1403C">
            <w:pPr>
              <w:rPr>
                <w:rFonts w:ascii="仿宋" w:hAnsi="仿宋" w:eastAsia="仿宋"/>
                <w:sz w:val="24"/>
                <w:szCs w:val="28"/>
              </w:rPr>
            </w:pPr>
            <w:r>
              <w:rPr>
                <w:rFonts w:hint="default" w:ascii="Times New Roman" w:hAnsi="Times New Roman" w:eastAsia="仿宋" w:cs="Times New Roman"/>
                <w:lang w:eastAsia="zh-CN"/>
              </w:rPr>
              <w:t>首都医科大学附属北京胸科医院（第十临床医学院）</w:t>
            </w:r>
          </w:p>
        </w:tc>
      </w:tr>
      <w:tr w14:paraId="4F73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0" w:type="dxa"/>
            <w:gridSpan w:val="2"/>
            <w:tcBorders>
              <w:left w:val="single" w:color="auto" w:sz="12" w:space="0"/>
              <w:bottom w:val="single" w:color="auto" w:sz="12" w:space="0"/>
            </w:tcBorders>
            <w:vAlign w:val="center"/>
          </w:tcPr>
          <w:p w14:paraId="53C932C8">
            <w:pPr>
              <w:pStyle w:val="16"/>
              <w:framePr w:wrap="auto" w:vAnchor="margin" w:hAnchor="text" w:yAlign="inline"/>
              <w:jc w:val="center"/>
              <w:rPr>
                <w:rFonts w:ascii="仿宋" w:hAnsi="仿宋" w:eastAsia="仿宋"/>
                <w:sz w:val="24"/>
                <w:szCs w:val="28"/>
              </w:rPr>
            </w:pPr>
            <w:r>
              <w:rPr>
                <w:rFonts w:hint="eastAsia" w:ascii="仿宋" w:hAnsi="仿宋" w:eastAsia="仿宋" w:cs="仿宋"/>
                <w:sz w:val="24"/>
                <w:szCs w:val="24"/>
                <w:lang w:val="zh-TW"/>
              </w:rPr>
              <w:t>考核日期</w:t>
            </w:r>
          </w:p>
        </w:tc>
        <w:tc>
          <w:tcPr>
            <w:tcW w:w="1414" w:type="dxa"/>
            <w:tcBorders>
              <w:bottom w:val="single" w:color="auto" w:sz="12" w:space="0"/>
            </w:tcBorders>
            <w:vAlign w:val="center"/>
          </w:tcPr>
          <w:p w14:paraId="0183B195">
            <w:pPr>
              <w:rPr>
                <w:rFonts w:hint="default" w:ascii="仿宋" w:hAnsi="仿宋" w:eastAsia="仿宋"/>
                <w:sz w:val="24"/>
                <w:szCs w:val="28"/>
                <w:lang w:val="en-US"/>
              </w:rPr>
            </w:pPr>
            <w:r>
              <w:rPr>
                <w:rFonts w:hint="eastAsia" w:ascii="仿宋" w:hAnsi="仿宋" w:eastAsia="仿宋" w:cs="仿宋"/>
                <w:lang w:val="en-US" w:eastAsia="zh-CN"/>
              </w:rPr>
              <w:t>2024-04-18</w:t>
            </w:r>
          </w:p>
        </w:tc>
        <w:tc>
          <w:tcPr>
            <w:tcW w:w="1407" w:type="dxa"/>
            <w:gridSpan w:val="2"/>
            <w:tcBorders>
              <w:bottom w:val="single" w:color="auto" w:sz="12" w:space="0"/>
            </w:tcBorders>
            <w:vAlign w:val="center"/>
          </w:tcPr>
          <w:p w14:paraId="533BCFF4">
            <w:pPr>
              <w:pStyle w:val="16"/>
              <w:framePr w:wrap="auto" w:vAnchor="margin" w:hAnchor="text" w:yAlign="inline"/>
              <w:jc w:val="center"/>
              <w:rPr>
                <w:rFonts w:ascii="仿宋" w:hAnsi="仿宋" w:eastAsia="仿宋"/>
                <w:sz w:val="24"/>
                <w:szCs w:val="28"/>
              </w:rPr>
            </w:pPr>
            <w:r>
              <w:rPr>
                <w:rFonts w:hint="eastAsia" w:ascii="仿宋" w:hAnsi="仿宋" w:eastAsia="仿宋" w:cs="仿宋"/>
                <w:sz w:val="24"/>
                <w:szCs w:val="24"/>
                <w:lang w:val="zh-TW"/>
              </w:rPr>
              <w:t>考核</w:t>
            </w:r>
            <w:r>
              <w:rPr>
                <w:rFonts w:ascii="仿宋" w:hAnsi="仿宋" w:eastAsia="仿宋" w:cs="仿宋"/>
                <w:sz w:val="24"/>
                <w:szCs w:val="24"/>
                <w:lang w:val="zh-TW" w:eastAsia="zh-TW"/>
              </w:rPr>
              <w:t>地点</w:t>
            </w:r>
          </w:p>
        </w:tc>
        <w:tc>
          <w:tcPr>
            <w:tcW w:w="3983" w:type="dxa"/>
            <w:tcBorders>
              <w:bottom w:val="single" w:color="auto" w:sz="12" w:space="0"/>
              <w:right w:val="single" w:color="auto" w:sz="12" w:space="0"/>
            </w:tcBorders>
            <w:vAlign w:val="center"/>
          </w:tcPr>
          <w:p w14:paraId="0429D371">
            <w:pPr>
              <w:rPr>
                <w:rFonts w:ascii="仿宋" w:hAnsi="仿宋" w:eastAsia="仿宋"/>
                <w:sz w:val="24"/>
                <w:szCs w:val="28"/>
              </w:rPr>
            </w:pPr>
            <w:r>
              <w:rPr>
                <w:rFonts w:hint="eastAsia" w:ascii="仿宋" w:hAnsi="仿宋" w:eastAsia="仿宋" w:cs="仿宋"/>
                <w:lang w:eastAsia="zh-CN"/>
              </w:rPr>
              <w:t>北京胸科医院</w:t>
            </w:r>
          </w:p>
        </w:tc>
      </w:tr>
      <w:tr w14:paraId="1246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4" w:type="dxa"/>
            <w:gridSpan w:val="6"/>
            <w:tcBorders>
              <w:top w:val="single" w:color="auto" w:sz="12" w:space="0"/>
              <w:left w:val="single" w:color="auto" w:sz="12" w:space="0"/>
              <w:bottom w:val="single" w:color="auto" w:sz="12" w:space="0"/>
              <w:right w:val="single" w:color="auto" w:sz="12" w:space="0"/>
            </w:tcBorders>
            <w:vAlign w:val="center"/>
          </w:tcPr>
          <w:p w14:paraId="6181C5C3">
            <w:pPr>
              <w:jc w:val="center"/>
              <w:rPr>
                <w:rFonts w:ascii="仿宋" w:hAnsi="仿宋" w:eastAsia="仿宋"/>
                <w:sz w:val="24"/>
                <w:szCs w:val="28"/>
              </w:rPr>
            </w:pPr>
            <w:r>
              <w:rPr>
                <w:rFonts w:hint="eastAsia" w:ascii="仿宋" w:hAnsi="仿宋" w:eastAsia="仿宋"/>
                <w:sz w:val="24"/>
                <w:szCs w:val="28"/>
              </w:rPr>
              <w:t>评审专家名单</w:t>
            </w:r>
          </w:p>
        </w:tc>
      </w:tr>
      <w:tr w14:paraId="2ED4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top w:val="single" w:color="auto" w:sz="12" w:space="0"/>
              <w:left w:val="single" w:color="auto" w:sz="12" w:space="0"/>
            </w:tcBorders>
            <w:vAlign w:val="center"/>
          </w:tcPr>
          <w:p w14:paraId="48EE87FE">
            <w:pPr>
              <w:pStyle w:val="2"/>
              <w:spacing w:line="240" w:lineRule="auto"/>
              <w:jc w:val="center"/>
              <w:rPr>
                <w:rFonts w:ascii="仿宋" w:hAnsi="仿宋" w:eastAsia="仿宋"/>
                <w:spacing w:val="0"/>
                <w:szCs w:val="28"/>
              </w:rPr>
            </w:pPr>
            <w:r>
              <w:rPr>
                <w:rFonts w:hint="eastAsia" w:ascii="仿宋" w:hAnsi="仿宋" w:eastAsia="仿宋"/>
                <w:spacing w:val="0"/>
                <w:szCs w:val="28"/>
              </w:rPr>
              <w:t>姓名</w:t>
            </w:r>
          </w:p>
        </w:tc>
        <w:tc>
          <w:tcPr>
            <w:tcW w:w="2583" w:type="dxa"/>
            <w:gridSpan w:val="3"/>
            <w:tcBorders>
              <w:top w:val="single" w:color="auto" w:sz="12" w:space="0"/>
            </w:tcBorders>
            <w:vAlign w:val="center"/>
          </w:tcPr>
          <w:p w14:paraId="79415FF9">
            <w:pPr>
              <w:pStyle w:val="2"/>
              <w:spacing w:line="240" w:lineRule="auto"/>
              <w:jc w:val="center"/>
              <w:rPr>
                <w:rFonts w:ascii="仿宋" w:hAnsi="仿宋" w:eastAsia="仿宋"/>
                <w:spacing w:val="0"/>
                <w:szCs w:val="28"/>
              </w:rPr>
            </w:pPr>
            <w:r>
              <w:rPr>
                <w:rFonts w:hint="eastAsia" w:ascii="仿宋" w:hAnsi="仿宋" w:eastAsia="仿宋"/>
                <w:spacing w:val="0"/>
                <w:szCs w:val="28"/>
              </w:rPr>
              <w:t>职称</w:t>
            </w:r>
          </w:p>
        </w:tc>
        <w:tc>
          <w:tcPr>
            <w:tcW w:w="4254" w:type="dxa"/>
            <w:gridSpan w:val="2"/>
            <w:tcBorders>
              <w:top w:val="single" w:color="auto" w:sz="12" w:space="0"/>
              <w:right w:val="single" w:color="auto" w:sz="12" w:space="0"/>
            </w:tcBorders>
            <w:vAlign w:val="center"/>
          </w:tcPr>
          <w:p w14:paraId="50F49F4E">
            <w:pPr>
              <w:pStyle w:val="2"/>
              <w:spacing w:line="240" w:lineRule="auto"/>
              <w:jc w:val="center"/>
              <w:rPr>
                <w:rFonts w:ascii="仿宋" w:hAnsi="仿宋" w:eastAsia="仿宋"/>
                <w:spacing w:val="0"/>
                <w:szCs w:val="28"/>
              </w:rPr>
            </w:pPr>
            <w:r>
              <w:rPr>
                <w:rFonts w:hint="eastAsia" w:ascii="仿宋" w:hAnsi="仿宋" w:eastAsia="仿宋"/>
                <w:spacing w:val="0"/>
                <w:szCs w:val="28"/>
              </w:rPr>
              <w:t>单位</w:t>
            </w:r>
          </w:p>
        </w:tc>
      </w:tr>
      <w:tr w14:paraId="2BBC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shd w:val="clear" w:color="auto" w:fill="auto"/>
            <w:vAlign w:val="center"/>
          </w:tcPr>
          <w:p w14:paraId="402F2C8D">
            <w:pPr>
              <w:jc w:val="center"/>
              <w:rPr>
                <w:rFonts w:ascii="仿宋" w:hAnsi="仿宋" w:eastAsia="仿宋" w:cs="Times New Roman"/>
                <w:spacing w:val="0"/>
                <w:kern w:val="2"/>
                <w:sz w:val="21"/>
                <w:szCs w:val="28"/>
                <w:lang w:val="en-US" w:eastAsia="zh-CN" w:bidi="ar-SA"/>
              </w:rPr>
            </w:pPr>
            <w:r>
              <w:rPr>
                <w:rFonts w:hint="eastAsia"/>
              </w:rPr>
              <w:t>何金生</w:t>
            </w:r>
          </w:p>
        </w:tc>
        <w:tc>
          <w:tcPr>
            <w:tcW w:w="2583" w:type="dxa"/>
            <w:gridSpan w:val="3"/>
            <w:shd w:val="clear" w:color="auto" w:fill="auto"/>
            <w:vAlign w:val="center"/>
          </w:tcPr>
          <w:p w14:paraId="595B1B6E">
            <w:pPr>
              <w:jc w:val="center"/>
              <w:rPr>
                <w:rFonts w:ascii="仿宋" w:hAnsi="仿宋" w:eastAsia="仿宋" w:cs="Times New Roman"/>
                <w:spacing w:val="0"/>
                <w:kern w:val="2"/>
                <w:sz w:val="21"/>
                <w:szCs w:val="28"/>
                <w:lang w:val="en-US" w:eastAsia="zh-CN" w:bidi="ar-SA"/>
              </w:rPr>
            </w:pPr>
            <w:r>
              <w:rPr>
                <w:rFonts w:hint="eastAsia"/>
              </w:rPr>
              <w:t>研究员</w:t>
            </w:r>
          </w:p>
        </w:tc>
        <w:tc>
          <w:tcPr>
            <w:tcW w:w="4254" w:type="dxa"/>
            <w:gridSpan w:val="2"/>
            <w:tcBorders>
              <w:right w:val="single" w:color="auto" w:sz="12" w:space="0"/>
            </w:tcBorders>
            <w:shd w:val="clear" w:color="auto" w:fill="auto"/>
            <w:vAlign w:val="center"/>
          </w:tcPr>
          <w:p w14:paraId="0371A2E2">
            <w:pPr>
              <w:jc w:val="center"/>
              <w:rPr>
                <w:rFonts w:ascii="仿宋" w:hAnsi="仿宋" w:eastAsia="仿宋" w:cs="Times New Roman"/>
                <w:spacing w:val="0"/>
                <w:kern w:val="2"/>
                <w:sz w:val="21"/>
                <w:szCs w:val="28"/>
                <w:lang w:val="en-US" w:eastAsia="zh-CN" w:bidi="ar-SA"/>
              </w:rPr>
            </w:pPr>
            <w:r>
              <w:rPr>
                <w:rFonts w:hint="eastAsia"/>
              </w:rPr>
              <w:t>北京交通大学</w:t>
            </w:r>
          </w:p>
        </w:tc>
      </w:tr>
      <w:tr w14:paraId="5E2C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shd w:val="clear" w:color="auto" w:fill="auto"/>
            <w:vAlign w:val="center"/>
          </w:tcPr>
          <w:p w14:paraId="730D814D">
            <w:pPr>
              <w:jc w:val="center"/>
              <w:rPr>
                <w:rFonts w:hint="eastAsia" w:ascii="仿宋" w:hAnsi="仿宋" w:eastAsia="仿宋" w:cs="Times New Roman"/>
                <w:spacing w:val="0"/>
                <w:kern w:val="2"/>
                <w:sz w:val="21"/>
                <w:szCs w:val="28"/>
                <w:lang w:val="en-US" w:eastAsia="zh-CN" w:bidi="ar-SA"/>
              </w:rPr>
            </w:pPr>
            <w:r>
              <w:rPr>
                <w:rFonts w:hint="eastAsia"/>
              </w:rPr>
              <w:t>董忠军</w:t>
            </w:r>
          </w:p>
        </w:tc>
        <w:tc>
          <w:tcPr>
            <w:tcW w:w="2583" w:type="dxa"/>
            <w:gridSpan w:val="3"/>
            <w:shd w:val="clear" w:color="auto" w:fill="auto"/>
            <w:vAlign w:val="center"/>
          </w:tcPr>
          <w:p w14:paraId="435F0C40">
            <w:pPr>
              <w:jc w:val="center"/>
              <w:rPr>
                <w:rFonts w:hint="eastAsia" w:ascii="仿宋" w:hAnsi="仿宋" w:eastAsia="仿宋" w:cs="Times New Roman"/>
                <w:spacing w:val="0"/>
                <w:kern w:val="2"/>
                <w:sz w:val="21"/>
                <w:szCs w:val="28"/>
                <w:lang w:val="en-US" w:eastAsia="zh-CN" w:bidi="ar-SA"/>
              </w:rPr>
            </w:pPr>
            <w:r>
              <w:rPr>
                <w:rFonts w:hint="eastAsia"/>
              </w:rPr>
              <w:t>研究员</w:t>
            </w:r>
          </w:p>
        </w:tc>
        <w:tc>
          <w:tcPr>
            <w:tcW w:w="4254" w:type="dxa"/>
            <w:gridSpan w:val="2"/>
            <w:tcBorders>
              <w:right w:val="single" w:color="auto" w:sz="12" w:space="0"/>
            </w:tcBorders>
            <w:shd w:val="clear" w:color="auto" w:fill="auto"/>
            <w:vAlign w:val="center"/>
          </w:tcPr>
          <w:p w14:paraId="4CF99BB6">
            <w:pPr>
              <w:jc w:val="center"/>
              <w:rPr>
                <w:rFonts w:hint="eastAsia" w:ascii="仿宋" w:hAnsi="仿宋" w:eastAsia="仿宋" w:cs="Times New Roman"/>
                <w:spacing w:val="0"/>
                <w:kern w:val="2"/>
                <w:sz w:val="21"/>
                <w:szCs w:val="28"/>
                <w:lang w:val="en-US" w:eastAsia="zh-CN" w:bidi="ar-SA"/>
              </w:rPr>
            </w:pPr>
            <w:r>
              <w:rPr>
                <w:rFonts w:hint="eastAsia" w:ascii="宋体" w:hAnsi="宋体" w:cs="宋体"/>
              </w:rPr>
              <w:t>北京清华大学</w:t>
            </w:r>
          </w:p>
        </w:tc>
      </w:tr>
      <w:tr w14:paraId="29BDE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5CDE7CF7">
            <w:pPr>
              <w:jc w:val="center"/>
              <w:rPr>
                <w:rFonts w:ascii="仿宋" w:hAnsi="仿宋" w:eastAsia="仿宋"/>
                <w:spacing w:val="0"/>
                <w:szCs w:val="28"/>
              </w:rPr>
            </w:pPr>
            <w:r>
              <w:rPr>
                <w:rFonts w:hint="eastAsia"/>
              </w:rPr>
              <w:t>黄海荣</w:t>
            </w:r>
          </w:p>
        </w:tc>
        <w:tc>
          <w:tcPr>
            <w:tcW w:w="2583" w:type="dxa"/>
            <w:gridSpan w:val="3"/>
            <w:vAlign w:val="center"/>
          </w:tcPr>
          <w:p w14:paraId="0BFAE0E0">
            <w:pPr>
              <w:jc w:val="center"/>
              <w:rPr>
                <w:rFonts w:ascii="仿宋" w:hAnsi="仿宋" w:eastAsia="仿宋"/>
                <w:spacing w:val="0"/>
                <w:szCs w:val="28"/>
              </w:rPr>
            </w:pPr>
            <w:r>
              <w:rPr>
                <w:rFonts w:hint="eastAsia"/>
              </w:rPr>
              <w:t>研究员</w:t>
            </w:r>
          </w:p>
        </w:tc>
        <w:tc>
          <w:tcPr>
            <w:tcW w:w="4254" w:type="dxa"/>
            <w:gridSpan w:val="2"/>
            <w:tcBorders>
              <w:right w:val="single" w:color="auto" w:sz="12" w:space="0"/>
            </w:tcBorders>
            <w:vAlign w:val="center"/>
          </w:tcPr>
          <w:p w14:paraId="673B6006">
            <w:pPr>
              <w:jc w:val="center"/>
              <w:rPr>
                <w:rFonts w:ascii="仿宋" w:hAnsi="仿宋" w:eastAsia="仿宋"/>
                <w:spacing w:val="0"/>
                <w:szCs w:val="28"/>
              </w:rPr>
            </w:pPr>
            <w:r>
              <w:rPr>
                <w:rFonts w:hint="eastAsia"/>
              </w:rPr>
              <w:t>首都医科大学附属北京胸科医院</w:t>
            </w:r>
          </w:p>
        </w:tc>
      </w:tr>
      <w:tr w14:paraId="6BE9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tcBorders>
            <w:vAlign w:val="center"/>
          </w:tcPr>
          <w:p w14:paraId="13DECABC">
            <w:pPr>
              <w:jc w:val="center"/>
              <w:rPr>
                <w:rFonts w:ascii="仿宋" w:hAnsi="仿宋" w:eastAsia="仿宋"/>
                <w:spacing w:val="0"/>
                <w:szCs w:val="28"/>
              </w:rPr>
            </w:pPr>
            <w:r>
              <w:rPr>
                <w:rFonts w:hint="eastAsia"/>
              </w:rPr>
              <w:t>黄家强</w:t>
            </w:r>
          </w:p>
        </w:tc>
        <w:tc>
          <w:tcPr>
            <w:tcW w:w="2583" w:type="dxa"/>
            <w:gridSpan w:val="3"/>
            <w:vAlign w:val="center"/>
          </w:tcPr>
          <w:p w14:paraId="3EDE50A7">
            <w:pPr>
              <w:jc w:val="center"/>
              <w:rPr>
                <w:rFonts w:ascii="仿宋" w:hAnsi="仿宋" w:eastAsia="仿宋"/>
                <w:spacing w:val="0"/>
                <w:szCs w:val="28"/>
              </w:rPr>
            </w:pPr>
            <w:r>
              <w:rPr>
                <w:rFonts w:hint="eastAsia"/>
              </w:rPr>
              <w:t>研究员</w:t>
            </w:r>
          </w:p>
        </w:tc>
        <w:tc>
          <w:tcPr>
            <w:tcW w:w="4254" w:type="dxa"/>
            <w:gridSpan w:val="2"/>
            <w:tcBorders>
              <w:right w:val="single" w:color="auto" w:sz="12" w:space="0"/>
            </w:tcBorders>
            <w:vAlign w:val="center"/>
          </w:tcPr>
          <w:p w14:paraId="1E9929E1">
            <w:pPr>
              <w:jc w:val="center"/>
              <w:rPr>
                <w:rFonts w:ascii="仿宋" w:hAnsi="仿宋" w:eastAsia="仿宋"/>
                <w:spacing w:val="0"/>
                <w:szCs w:val="28"/>
              </w:rPr>
            </w:pPr>
            <w:r>
              <w:rPr>
                <w:rFonts w:hint="eastAsia"/>
              </w:rPr>
              <w:t>北京交通大学</w:t>
            </w:r>
          </w:p>
        </w:tc>
      </w:tr>
      <w:tr w14:paraId="53A16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bottom w:val="single" w:color="auto" w:sz="12" w:space="0"/>
            </w:tcBorders>
            <w:vAlign w:val="center"/>
          </w:tcPr>
          <w:p w14:paraId="7D4D45F7">
            <w:pPr>
              <w:jc w:val="center"/>
              <w:rPr>
                <w:rFonts w:ascii="仿宋" w:hAnsi="仿宋" w:eastAsia="仿宋"/>
                <w:spacing w:val="0"/>
                <w:szCs w:val="28"/>
              </w:rPr>
            </w:pPr>
            <w:r>
              <w:rPr>
                <w:rFonts w:hint="eastAsia"/>
              </w:rPr>
              <w:t>张俊杰</w:t>
            </w:r>
          </w:p>
        </w:tc>
        <w:tc>
          <w:tcPr>
            <w:tcW w:w="2583" w:type="dxa"/>
            <w:gridSpan w:val="3"/>
            <w:tcBorders>
              <w:bottom w:val="single" w:color="auto" w:sz="12" w:space="0"/>
            </w:tcBorders>
            <w:vAlign w:val="center"/>
          </w:tcPr>
          <w:p w14:paraId="6033B5EE">
            <w:pPr>
              <w:jc w:val="center"/>
              <w:rPr>
                <w:rFonts w:ascii="仿宋" w:hAnsi="仿宋" w:eastAsia="仿宋"/>
                <w:spacing w:val="0"/>
                <w:szCs w:val="28"/>
              </w:rPr>
            </w:pPr>
            <w:r>
              <w:rPr>
                <w:rFonts w:hint="eastAsia"/>
              </w:rPr>
              <w:t>研究员</w:t>
            </w:r>
          </w:p>
        </w:tc>
        <w:tc>
          <w:tcPr>
            <w:tcW w:w="4254" w:type="dxa"/>
            <w:gridSpan w:val="2"/>
            <w:tcBorders>
              <w:bottom w:val="single" w:color="auto" w:sz="12" w:space="0"/>
              <w:right w:val="single" w:color="auto" w:sz="12" w:space="0"/>
            </w:tcBorders>
            <w:vAlign w:val="center"/>
          </w:tcPr>
          <w:p w14:paraId="2E4B5205">
            <w:pPr>
              <w:jc w:val="center"/>
              <w:rPr>
                <w:rFonts w:ascii="仿宋" w:hAnsi="仿宋" w:eastAsia="仿宋"/>
                <w:spacing w:val="0"/>
                <w:szCs w:val="28"/>
              </w:rPr>
            </w:pPr>
            <w:r>
              <w:rPr>
                <w:rFonts w:hint="eastAsia"/>
              </w:rPr>
              <w:t>北京师范大学</w:t>
            </w:r>
          </w:p>
        </w:tc>
      </w:tr>
      <w:tr w14:paraId="5859A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bottom w:val="single" w:color="auto" w:sz="12" w:space="0"/>
            </w:tcBorders>
            <w:vAlign w:val="center"/>
          </w:tcPr>
          <w:p w14:paraId="50E47A25">
            <w:pPr>
              <w:jc w:val="center"/>
              <w:rPr>
                <w:rFonts w:ascii="仿宋" w:hAnsi="仿宋" w:eastAsia="仿宋"/>
                <w:spacing w:val="0"/>
                <w:szCs w:val="28"/>
              </w:rPr>
            </w:pPr>
            <w:r>
              <w:rPr>
                <w:rFonts w:hint="eastAsia"/>
              </w:rPr>
              <w:t>林明贵</w:t>
            </w:r>
          </w:p>
        </w:tc>
        <w:tc>
          <w:tcPr>
            <w:tcW w:w="2583" w:type="dxa"/>
            <w:gridSpan w:val="3"/>
            <w:tcBorders>
              <w:bottom w:val="single" w:color="auto" w:sz="12" w:space="0"/>
            </w:tcBorders>
            <w:vAlign w:val="center"/>
          </w:tcPr>
          <w:p w14:paraId="31BB35F7">
            <w:pPr>
              <w:jc w:val="center"/>
              <w:rPr>
                <w:rFonts w:ascii="仿宋" w:hAnsi="仿宋" w:eastAsia="仿宋"/>
                <w:spacing w:val="0"/>
                <w:szCs w:val="28"/>
              </w:rPr>
            </w:pPr>
            <w:r>
              <w:rPr>
                <w:rFonts w:hint="eastAsia"/>
              </w:rPr>
              <w:t>主任医师</w:t>
            </w:r>
          </w:p>
        </w:tc>
        <w:tc>
          <w:tcPr>
            <w:tcW w:w="4254" w:type="dxa"/>
            <w:gridSpan w:val="2"/>
            <w:tcBorders>
              <w:bottom w:val="single" w:color="auto" w:sz="12" w:space="0"/>
              <w:right w:val="single" w:color="auto" w:sz="12" w:space="0"/>
            </w:tcBorders>
            <w:vAlign w:val="center"/>
          </w:tcPr>
          <w:p w14:paraId="2F83715C">
            <w:pPr>
              <w:jc w:val="center"/>
              <w:rPr>
                <w:rFonts w:ascii="仿宋" w:hAnsi="仿宋" w:eastAsia="仿宋"/>
                <w:spacing w:val="0"/>
                <w:szCs w:val="28"/>
              </w:rPr>
            </w:pPr>
            <w:r>
              <w:rPr>
                <w:rFonts w:hint="eastAsia"/>
              </w:rPr>
              <w:t>清华大学附属北京清华长庚医院</w:t>
            </w:r>
          </w:p>
        </w:tc>
      </w:tr>
      <w:tr w14:paraId="0F48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67" w:type="dxa"/>
            <w:tcBorders>
              <w:left w:val="single" w:color="auto" w:sz="12" w:space="0"/>
              <w:bottom w:val="single" w:color="auto" w:sz="12" w:space="0"/>
            </w:tcBorders>
            <w:vAlign w:val="center"/>
          </w:tcPr>
          <w:p w14:paraId="3C5407C7">
            <w:pPr>
              <w:jc w:val="center"/>
              <w:rPr>
                <w:rFonts w:ascii="仿宋" w:hAnsi="仿宋" w:eastAsia="仿宋"/>
                <w:spacing w:val="0"/>
                <w:szCs w:val="28"/>
              </w:rPr>
            </w:pPr>
            <w:r>
              <w:rPr>
                <w:rFonts w:hint="eastAsia"/>
              </w:rPr>
              <w:t>李传友</w:t>
            </w:r>
          </w:p>
        </w:tc>
        <w:tc>
          <w:tcPr>
            <w:tcW w:w="2583" w:type="dxa"/>
            <w:gridSpan w:val="3"/>
            <w:tcBorders>
              <w:bottom w:val="single" w:color="auto" w:sz="12" w:space="0"/>
            </w:tcBorders>
            <w:vAlign w:val="center"/>
          </w:tcPr>
          <w:p w14:paraId="3B4DB082">
            <w:pPr>
              <w:jc w:val="center"/>
              <w:rPr>
                <w:rFonts w:ascii="仿宋" w:hAnsi="仿宋" w:eastAsia="仿宋"/>
                <w:spacing w:val="0"/>
                <w:szCs w:val="28"/>
              </w:rPr>
            </w:pPr>
            <w:r>
              <w:rPr>
                <w:rFonts w:hint="eastAsia"/>
              </w:rPr>
              <w:t>研究员</w:t>
            </w:r>
          </w:p>
        </w:tc>
        <w:tc>
          <w:tcPr>
            <w:tcW w:w="4254" w:type="dxa"/>
            <w:gridSpan w:val="2"/>
            <w:tcBorders>
              <w:bottom w:val="single" w:color="auto" w:sz="12" w:space="0"/>
              <w:right w:val="single" w:color="auto" w:sz="12" w:space="0"/>
            </w:tcBorders>
            <w:vAlign w:val="center"/>
          </w:tcPr>
          <w:p w14:paraId="2EEC5561">
            <w:pPr>
              <w:jc w:val="center"/>
              <w:rPr>
                <w:rFonts w:ascii="仿宋" w:hAnsi="仿宋" w:eastAsia="仿宋"/>
                <w:spacing w:val="0"/>
                <w:szCs w:val="28"/>
              </w:rPr>
            </w:pPr>
            <w:r>
              <w:rPr>
                <w:rFonts w:hint="eastAsia"/>
              </w:rPr>
              <w:t>北京市疾病预防控制中心</w:t>
            </w:r>
          </w:p>
        </w:tc>
      </w:tr>
      <w:tr w14:paraId="70EE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56" w:hRule="atLeast"/>
          <w:jc w:val="center"/>
        </w:trPr>
        <w:tc>
          <w:tcPr>
            <w:tcW w:w="8504" w:type="dxa"/>
            <w:gridSpan w:val="6"/>
            <w:tcBorders>
              <w:top w:val="single" w:color="auto" w:sz="12" w:space="0"/>
              <w:left w:val="single" w:color="auto" w:sz="12" w:space="0"/>
              <w:bottom w:val="single" w:color="auto" w:sz="12" w:space="0"/>
              <w:right w:val="single" w:color="auto" w:sz="12" w:space="0"/>
            </w:tcBorders>
          </w:tcPr>
          <w:p w14:paraId="5E1951AA">
            <w:pPr>
              <w:spacing w:line="360" w:lineRule="auto"/>
              <w:rPr>
                <w:rFonts w:ascii="仿宋" w:hAnsi="仿宋" w:eastAsia="仿宋"/>
                <w:b/>
                <w:bCs/>
                <w:sz w:val="24"/>
                <w:szCs w:val="28"/>
              </w:rPr>
            </w:pPr>
            <w:r>
              <w:rPr>
                <w:rFonts w:hint="eastAsia" w:ascii="仿宋" w:hAnsi="仿宋" w:eastAsia="仿宋"/>
                <w:b/>
                <w:bCs/>
                <w:sz w:val="24"/>
                <w:szCs w:val="28"/>
              </w:rPr>
              <w:t>结题</w:t>
            </w:r>
            <w:r>
              <w:rPr>
                <w:rFonts w:ascii="仿宋" w:hAnsi="仿宋" w:eastAsia="仿宋"/>
                <w:b/>
                <w:bCs/>
                <w:sz w:val="24"/>
                <w:szCs w:val="28"/>
              </w:rPr>
              <w:t>报告</w:t>
            </w:r>
            <w:r>
              <w:rPr>
                <w:rFonts w:hint="eastAsia" w:ascii="仿宋" w:hAnsi="仿宋" w:eastAsia="仿宋"/>
                <w:b/>
                <w:bCs/>
                <w:sz w:val="24"/>
                <w:szCs w:val="28"/>
              </w:rPr>
              <w:t>记录：</w:t>
            </w:r>
          </w:p>
          <w:p w14:paraId="3840D087">
            <w:pPr>
              <w:spacing w:line="360" w:lineRule="auto"/>
              <w:rPr>
                <w:rFonts w:hint="eastAsia" w:ascii="仿宋" w:hAnsi="仿宋" w:eastAsia="仿宋"/>
                <w:sz w:val="24"/>
                <w:szCs w:val="28"/>
                <w:lang w:val="en-US" w:eastAsia="zh-CN"/>
              </w:rPr>
            </w:pPr>
            <w:r>
              <w:rPr>
                <w:rFonts w:hint="eastAsia" w:ascii="仿宋" w:hAnsi="仿宋" w:eastAsia="仿宋"/>
                <w:sz w:val="24"/>
                <w:szCs w:val="28"/>
                <w:lang w:val="en-US" w:eastAsia="zh-CN"/>
              </w:rPr>
              <w:t>林明贵：在抗结核药物研发不足的背景下，老药新用是一个值得研究的方向。在进行老药新用的超说明书用药时，应注意以下几点：必须依托充分的基础研究和临床前数据，确保药物在新适应症下的药理作用和安全性。通过严谨试验验证疗效与风险。建立完善的不良反应监测体系，并确保患者充分了解潜在风险，签署知情同意书。所有研究和临床应用须经过伦理审查，并严格遵守药品监管要求。</w:t>
            </w:r>
          </w:p>
          <w:p w14:paraId="5AF62E32">
            <w:pPr>
              <w:spacing w:line="360" w:lineRule="auto"/>
              <w:rPr>
                <w:rFonts w:hint="default" w:ascii="仿宋" w:hAnsi="仿宋" w:eastAsia="仿宋"/>
                <w:sz w:val="24"/>
                <w:szCs w:val="28"/>
                <w:lang w:val="en-US" w:eastAsia="zh-CN"/>
              </w:rPr>
            </w:pPr>
            <w:r>
              <w:rPr>
                <w:rFonts w:hint="eastAsia" w:ascii="仿宋" w:hAnsi="仿宋" w:eastAsia="仿宋"/>
                <w:sz w:val="24"/>
                <w:szCs w:val="28"/>
                <w:lang w:val="en-US" w:eastAsia="zh-CN"/>
              </w:rPr>
              <w:t>黄忠军：（1）本研究以临床研究为主，基础研究为辅。临床研究的队列患者血液样本可以深入研究，价值更大。比如在巨噬细胞不同亚型转变方面，可以把临床研究和基础研究相互结合起来。（2）柳氮磺吡啶的作用靶点主要是在宿主，并非直接作用于结核分枝杆菌（非杀菌作用），如何在结局指标上体现出宿主导向治疗的特点？请考虑一下。（3）临床研究的对象是临床上更加难以治疗的准广泛耐药结核病患者，这种设计在伦理方面是合适的。</w:t>
            </w:r>
          </w:p>
          <w:p w14:paraId="1FD8AD07">
            <w:pPr>
              <w:spacing w:line="360" w:lineRule="auto"/>
              <w:rPr>
                <w:rFonts w:hint="eastAsia" w:ascii="仿宋" w:hAnsi="仿宋" w:eastAsia="仿宋"/>
                <w:sz w:val="24"/>
                <w:szCs w:val="28"/>
                <w:lang w:val="en-US" w:eastAsia="zh-CN"/>
              </w:rPr>
            </w:pPr>
            <w:r>
              <w:rPr>
                <w:rFonts w:hint="eastAsia" w:ascii="仿宋" w:hAnsi="仿宋" w:eastAsia="仿宋"/>
                <w:sz w:val="24"/>
                <w:szCs w:val="28"/>
                <w:lang w:val="en-US" w:eastAsia="zh-CN"/>
              </w:rPr>
              <w:t>黄家强：（1）柳氮磺吡啶从风湿科扩展到结核科使用，属于增加适应症研究，那么柳氮磺吡啶剂量是否有差异？（2）队列患者的免疫学分析可以深入做一做，相关细胞模型可以研究。</w:t>
            </w:r>
          </w:p>
          <w:p w14:paraId="50E5204B">
            <w:pPr>
              <w:spacing w:line="360" w:lineRule="auto"/>
              <w:rPr>
                <w:rFonts w:hint="eastAsia" w:ascii="仿宋" w:hAnsi="仿宋" w:eastAsia="仿宋"/>
                <w:sz w:val="24"/>
                <w:szCs w:val="28"/>
                <w:lang w:val="en-US" w:eastAsia="zh-CN"/>
              </w:rPr>
            </w:pPr>
            <w:r>
              <w:rPr>
                <w:rFonts w:hint="eastAsia" w:ascii="仿宋" w:hAnsi="仿宋" w:eastAsia="仿宋"/>
                <w:sz w:val="24"/>
                <w:szCs w:val="28"/>
                <w:lang w:val="en-US" w:eastAsia="zh-CN"/>
              </w:rPr>
              <w:t>何金生：（1）临床研究已经初见成效，可以增加受试者数量、扩展研究。（2）不只是巨噬细胞可以作为研究靶点，还可以分析NK细胞、Th1/Th2细胞等。以及巨噬细胞M0变化到M1、M2的中间细胞因子。（3）可以把贝达喹啉组和柳氮磺吡啶组的炎症、免疫学指标进行比较分析。（4）研究题目强调了宿主导向治疗，但是要有研究内容的证据支持。即柳氮磺吡啶对细菌无效，对宿主有影响，才能称之为宿主导向治疗。</w:t>
            </w:r>
          </w:p>
          <w:p w14:paraId="307423DB">
            <w:pPr>
              <w:spacing w:line="360" w:lineRule="auto"/>
              <w:rPr>
                <w:rFonts w:ascii="仿宋" w:hAnsi="仿宋" w:eastAsia="仿宋"/>
                <w:sz w:val="24"/>
                <w:szCs w:val="28"/>
              </w:rPr>
            </w:pPr>
            <w:r>
              <w:rPr>
                <w:rFonts w:hint="eastAsia" w:ascii="仿宋" w:hAnsi="仿宋" w:eastAsia="仿宋"/>
                <w:b/>
                <w:bCs/>
                <w:sz w:val="24"/>
                <w:szCs w:val="28"/>
              </w:rPr>
              <w:t>记录人：</w:t>
            </w:r>
            <w:r>
              <w:rPr>
                <w:rFonts w:hint="eastAsia" w:ascii="仿宋" w:hAnsi="仿宋" w:eastAsia="仿宋"/>
                <w:sz w:val="24"/>
                <w:szCs w:val="28"/>
                <w:lang w:val="en-US" w:eastAsia="zh-CN"/>
              </w:rPr>
              <w:drawing>
                <wp:inline distT="0" distB="0" distL="114300" distR="114300">
                  <wp:extent cx="415925" cy="356235"/>
                  <wp:effectExtent l="0" t="0" r="3175" b="5715"/>
                  <wp:docPr id="15" name="图片 15" descr="60c759c98027593d4760a85fcccea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0c759c98027593d4760a85fcccea5a"/>
                          <pic:cNvPicPr>
                            <a:picLocks noChangeAspect="1"/>
                          </pic:cNvPicPr>
                        </pic:nvPicPr>
                        <pic:blipFill>
                          <a:blip r:embed="rId16"/>
                          <a:stretch>
                            <a:fillRect/>
                          </a:stretch>
                        </pic:blipFill>
                        <pic:spPr>
                          <a:xfrm>
                            <a:off x="0" y="0"/>
                            <a:ext cx="415925" cy="356235"/>
                          </a:xfrm>
                          <a:prstGeom prst="rect">
                            <a:avLst/>
                          </a:prstGeom>
                        </pic:spPr>
                      </pic:pic>
                    </a:graphicData>
                  </a:graphic>
                </wp:inline>
              </w:drawing>
            </w:r>
            <w:r>
              <w:rPr>
                <w:rFonts w:hint="eastAsia" w:ascii="仿宋" w:hAnsi="仿宋" w:eastAsia="仿宋"/>
                <w:sz w:val="24"/>
                <w:szCs w:val="28"/>
                <w:lang w:val="en-US" w:eastAsia="zh-CN"/>
              </w:rPr>
              <w:t xml:space="preserve">                               </w:t>
            </w:r>
            <w:r>
              <w:rPr>
                <w:rFonts w:hint="eastAsia" w:ascii="仿宋" w:hAnsi="仿宋" w:eastAsia="仿宋"/>
                <w:b/>
                <w:bCs/>
                <w:sz w:val="24"/>
                <w:szCs w:val="28"/>
                <w:lang w:val="en-US" w:eastAsia="zh-CN"/>
              </w:rPr>
              <w:t>记录日期：</w:t>
            </w:r>
            <w:r>
              <w:rPr>
                <w:rFonts w:hint="eastAsia" w:ascii="仿宋" w:hAnsi="仿宋" w:eastAsia="仿宋"/>
                <w:sz w:val="24"/>
                <w:szCs w:val="28"/>
                <w:lang w:val="en-US" w:eastAsia="zh-CN"/>
              </w:rPr>
              <w:t>2024-04-18 下午</w:t>
            </w:r>
          </w:p>
        </w:tc>
      </w:tr>
    </w:tbl>
    <w:p w14:paraId="0331C7E2">
      <w:pPr>
        <w:jc w:val="both"/>
        <w:rPr>
          <w:rFonts w:ascii="宋体" w:hAnsi="宋体"/>
          <w:sz w:val="28"/>
        </w:rPr>
        <w:sectPr>
          <w:footerReference r:id="rId8" w:type="default"/>
          <w:pgSz w:w="11907" w:h="16840"/>
          <w:pgMar w:top="1440" w:right="1800" w:bottom="1440" w:left="1800" w:header="851" w:footer="992" w:gutter="0"/>
          <w:pgNumType w:fmt="decimal"/>
          <w:cols w:space="5908" w:num="1"/>
          <w:docGrid w:linePitch="312" w:charSpace="0"/>
        </w:sectPr>
      </w:pPr>
    </w:p>
    <w:p w14:paraId="0B3D5F54">
      <w:pPr>
        <w:tabs>
          <w:tab w:val="left" w:pos="860"/>
          <w:tab w:val="left" w:pos="4714"/>
          <w:tab w:val="left" w:pos="8850"/>
        </w:tabs>
        <w:spacing w:line="360" w:lineRule="auto"/>
        <w:jc w:val="center"/>
        <w:rPr>
          <w:rFonts w:ascii="华文中宋" w:hAnsi="华文中宋" w:eastAsia="华文中宋"/>
          <w:sz w:val="36"/>
          <w:szCs w:val="44"/>
        </w:rPr>
      </w:pPr>
      <w:r>
        <w:rPr>
          <w:rFonts w:hint="eastAsia" w:ascii="华文中宋" w:hAnsi="华文中宋" w:eastAsia="华文中宋"/>
          <w:sz w:val="36"/>
          <w:szCs w:val="44"/>
        </w:rPr>
        <w:t>首都医科大学研究生学术活动学分登记表</w:t>
      </w:r>
    </w:p>
    <w:p w14:paraId="4C7ED588">
      <w:pPr>
        <w:widowControl/>
        <w:spacing w:line="360" w:lineRule="auto"/>
        <w:ind w:firstLine="240" w:firstLineChars="100"/>
        <w:rPr>
          <w:rFonts w:ascii="仿宋" w:hAnsi="仿宋" w:eastAsia="仿宋"/>
          <w:b/>
          <w:sz w:val="32"/>
        </w:rPr>
      </w:pPr>
      <w:r>
        <w:rPr>
          <w:rFonts w:hint="eastAsia" w:ascii="仿宋" w:hAnsi="仿宋" w:eastAsia="仿宋"/>
          <w:sz w:val="24"/>
          <w:szCs w:val="24"/>
        </w:rPr>
        <w:t>学生姓名：</w:t>
      </w:r>
      <w:r>
        <w:rPr>
          <w:rFonts w:hint="eastAsia" w:ascii="仿宋" w:hAnsi="仿宋" w:eastAsia="仿宋"/>
          <w:sz w:val="24"/>
          <w:szCs w:val="24"/>
          <w:lang w:val="en-US" w:eastAsia="zh-CN"/>
        </w:rPr>
        <w:t xml:space="preserve">付亮  </w:t>
      </w:r>
      <w:r>
        <w:rPr>
          <w:rFonts w:hint="eastAsia" w:ascii="仿宋" w:hAnsi="仿宋" w:eastAsia="仿宋"/>
          <w:sz w:val="24"/>
          <w:szCs w:val="24"/>
        </w:rPr>
        <w:t>学号：</w:t>
      </w:r>
      <w:r>
        <w:rPr>
          <w:rFonts w:hint="default" w:ascii="Times New Roman" w:hAnsi="Times New Roman" w:eastAsia="宋体" w:cs="Times New Roman"/>
          <w:sz w:val="24"/>
          <w:szCs w:val="24"/>
        </w:rPr>
        <w:t>132017100062</w:t>
      </w:r>
      <w:r>
        <w:rPr>
          <w:rFonts w:hint="eastAsia" w:ascii="仿宋" w:hAnsi="仿宋" w:eastAsia="仿宋"/>
          <w:sz w:val="24"/>
          <w:szCs w:val="24"/>
          <w:lang w:val="en-US" w:eastAsia="zh-CN"/>
        </w:rPr>
        <w:t xml:space="preserve">  </w:t>
      </w:r>
      <w:r>
        <w:rPr>
          <w:rFonts w:hint="eastAsia" w:ascii="仿宋" w:hAnsi="仿宋" w:eastAsia="仿宋"/>
          <w:sz w:val="24"/>
          <w:szCs w:val="24"/>
        </w:rPr>
        <w:t>专业</w:t>
      </w:r>
      <w:r>
        <w:rPr>
          <w:rFonts w:ascii="仿宋" w:hAnsi="仿宋" w:eastAsia="仿宋"/>
          <w:sz w:val="24"/>
          <w:szCs w:val="24"/>
        </w:rPr>
        <w:t>：</w:t>
      </w:r>
      <w:r>
        <w:rPr>
          <w:rFonts w:hint="default" w:ascii="Times New Roman" w:hAnsi="Times New Roman" w:eastAsia="仿宋" w:cs="Times New Roman"/>
          <w:lang w:eastAsia="zh-CN"/>
        </w:rPr>
        <w:t>内科学（传染病）</w:t>
      </w:r>
      <w:r>
        <w:rPr>
          <w:rFonts w:hint="eastAsia" w:ascii="仿宋" w:hAnsi="仿宋" w:eastAsia="仿宋"/>
          <w:sz w:val="24"/>
          <w:szCs w:val="24"/>
          <w:lang w:val="en-US" w:eastAsia="zh-CN"/>
        </w:rPr>
        <w:t xml:space="preserve">  </w:t>
      </w:r>
      <w:r>
        <w:rPr>
          <w:rFonts w:hint="eastAsia" w:ascii="仿宋" w:hAnsi="仿宋" w:eastAsia="仿宋"/>
          <w:sz w:val="24"/>
          <w:szCs w:val="24"/>
        </w:rPr>
        <w:t>学位类型：</w:t>
      </w:r>
      <w:r>
        <w:rPr>
          <w:rFonts w:hint="eastAsia" w:ascii="仿宋" w:hAnsi="仿宋" w:eastAsia="仿宋"/>
          <w:sz w:val="24"/>
          <w:szCs w:val="24"/>
          <w:lang w:eastAsia="zh-CN"/>
        </w:rPr>
        <w:t>☑</w:t>
      </w:r>
      <w:r>
        <w:rPr>
          <w:rFonts w:ascii="仿宋" w:hAnsi="仿宋" w:eastAsia="仿宋" w:cs="宋体"/>
          <w:sz w:val="24"/>
          <w:szCs w:val="24"/>
          <w:lang w:val="zh-TW" w:eastAsia="zh-TW"/>
        </w:rPr>
        <w:t>博士</w:t>
      </w:r>
      <w:r>
        <w:rPr>
          <w:rFonts w:ascii="仿宋" w:hAnsi="仿宋" w:eastAsia="仿宋"/>
          <w:sz w:val="24"/>
          <w:szCs w:val="24"/>
        </w:rPr>
        <w:t xml:space="preserve">   □</w:t>
      </w:r>
      <w:r>
        <w:rPr>
          <w:rFonts w:ascii="仿宋" w:hAnsi="仿宋" w:eastAsia="仿宋" w:cs="宋体"/>
          <w:sz w:val="24"/>
          <w:szCs w:val="24"/>
          <w:lang w:val="zh-TW" w:eastAsia="zh-TW"/>
        </w:rPr>
        <w:t>硕士</w:t>
      </w:r>
      <w:r>
        <w:rPr>
          <w:rFonts w:hint="eastAsia" w:ascii="仿宋" w:hAnsi="仿宋" w:eastAsia="仿宋" w:cs="宋体"/>
          <w:sz w:val="24"/>
          <w:szCs w:val="24"/>
          <w:lang w:val="zh-TW"/>
        </w:rPr>
        <w:t xml:space="preserve"> </w:t>
      </w:r>
      <w:r>
        <w:rPr>
          <w:rFonts w:ascii="仿宋" w:hAnsi="仿宋" w:eastAsia="仿宋" w:cs="宋体"/>
          <w:sz w:val="24"/>
          <w:szCs w:val="24"/>
          <w:lang w:val="zh-TW" w:eastAsia="zh-TW"/>
        </w:rPr>
        <w:t xml:space="preserve"> </w:t>
      </w:r>
      <w:r>
        <w:rPr>
          <w:rFonts w:hint="eastAsia" w:ascii="仿宋" w:hAnsi="仿宋" w:eastAsia="仿宋"/>
          <w:sz w:val="24"/>
          <w:szCs w:val="24"/>
          <w:lang w:eastAsia="zh-CN"/>
        </w:rPr>
        <w:t>☑</w:t>
      </w:r>
      <w:r>
        <w:rPr>
          <w:rFonts w:ascii="仿宋" w:hAnsi="仿宋" w:eastAsia="仿宋" w:cs="宋体"/>
          <w:sz w:val="24"/>
          <w:szCs w:val="24"/>
          <w:lang w:val="zh-TW" w:eastAsia="zh-TW"/>
        </w:rPr>
        <w:t>专业型</w:t>
      </w:r>
      <w:r>
        <w:rPr>
          <w:rFonts w:hint="eastAsia" w:ascii="仿宋" w:hAnsi="仿宋" w:eastAsia="仿宋" w:cs="宋体"/>
          <w:sz w:val="24"/>
          <w:szCs w:val="24"/>
          <w:lang w:val="zh-TW"/>
        </w:rPr>
        <w:t xml:space="preserve"> </w:t>
      </w:r>
      <w:r>
        <w:rPr>
          <w:rFonts w:ascii="仿宋" w:hAnsi="仿宋" w:eastAsia="仿宋"/>
          <w:sz w:val="24"/>
          <w:szCs w:val="24"/>
        </w:rPr>
        <w:t xml:space="preserve"> □</w:t>
      </w:r>
      <w:r>
        <w:rPr>
          <w:rFonts w:ascii="仿宋" w:hAnsi="仿宋" w:eastAsia="仿宋" w:cs="宋体"/>
          <w:sz w:val="24"/>
          <w:szCs w:val="24"/>
          <w:lang w:val="zh-TW" w:eastAsia="zh-TW"/>
        </w:rPr>
        <w:t>学术型</w:t>
      </w:r>
      <w:r>
        <w:rPr>
          <w:rFonts w:hint="eastAsia" w:ascii="仿宋" w:hAnsi="仿宋" w:eastAsia="仿宋"/>
          <w:sz w:val="24"/>
          <w:szCs w:val="24"/>
        </w:rPr>
        <w:t xml:space="preserve"> </w:t>
      </w:r>
      <w:r>
        <w:rPr>
          <w:rFonts w:ascii="仿宋" w:hAnsi="仿宋" w:eastAsia="仿宋"/>
          <w:sz w:val="24"/>
          <w:szCs w:val="24"/>
        </w:rPr>
        <w:t xml:space="preserve">    </w:t>
      </w:r>
      <w:r>
        <w:rPr>
          <w:rFonts w:hint="eastAsia" w:ascii="仿宋" w:hAnsi="仿宋" w:eastAsia="仿宋"/>
          <w:sz w:val="24"/>
          <w:szCs w:val="24"/>
        </w:rPr>
        <w:t>培养</w:t>
      </w:r>
      <w:r>
        <w:rPr>
          <w:rFonts w:ascii="仿宋" w:hAnsi="仿宋" w:eastAsia="仿宋"/>
          <w:sz w:val="24"/>
          <w:szCs w:val="24"/>
        </w:rPr>
        <w:t>单位</w:t>
      </w:r>
      <w:r>
        <w:rPr>
          <w:rFonts w:hint="eastAsia" w:ascii="仿宋" w:hAnsi="仿宋" w:eastAsia="仿宋"/>
          <w:sz w:val="24"/>
          <w:szCs w:val="24"/>
        </w:rPr>
        <w:t>：</w:t>
      </w:r>
      <w:r>
        <w:rPr>
          <w:rFonts w:hint="default" w:ascii="Times New Roman" w:hAnsi="Times New Roman" w:eastAsia="仿宋" w:cs="Times New Roman"/>
          <w:lang w:eastAsia="zh-CN"/>
        </w:rPr>
        <w:t>首都医科大学附属北京胸科医院（第十临床医学院）</w:t>
      </w:r>
    </w:p>
    <w:tbl>
      <w:tblPr>
        <w:tblStyle w:val="7"/>
        <w:tblW w:w="147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8"/>
        <w:gridCol w:w="4140"/>
        <w:gridCol w:w="1547"/>
        <w:gridCol w:w="847"/>
        <w:gridCol w:w="2177"/>
        <w:gridCol w:w="1622"/>
        <w:gridCol w:w="1871"/>
        <w:gridCol w:w="1276"/>
      </w:tblGrid>
      <w:tr w14:paraId="666C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8" w:hRule="atLeast"/>
          <w:jc w:val="center"/>
        </w:trPr>
        <w:tc>
          <w:tcPr>
            <w:tcW w:w="1258" w:type="dxa"/>
            <w:tcBorders>
              <w:top w:val="single" w:color="auto" w:sz="12" w:space="0"/>
              <w:left w:val="single" w:color="auto" w:sz="12" w:space="0"/>
              <w:bottom w:val="single" w:color="auto" w:sz="4" w:space="0"/>
            </w:tcBorders>
            <w:vAlign w:val="center"/>
          </w:tcPr>
          <w:p w14:paraId="38D2AF34">
            <w:pPr>
              <w:widowControl/>
              <w:jc w:val="center"/>
              <w:rPr>
                <w:rFonts w:ascii="仿宋" w:hAnsi="仿宋" w:eastAsia="仿宋"/>
                <w:sz w:val="24"/>
                <w:szCs w:val="28"/>
              </w:rPr>
            </w:pPr>
            <w:r>
              <w:rPr>
                <w:rFonts w:hint="eastAsia" w:ascii="仿宋" w:hAnsi="仿宋" w:eastAsia="仿宋"/>
                <w:sz w:val="24"/>
                <w:szCs w:val="28"/>
              </w:rPr>
              <w:t>序号</w:t>
            </w:r>
          </w:p>
        </w:tc>
        <w:tc>
          <w:tcPr>
            <w:tcW w:w="4140" w:type="dxa"/>
            <w:tcBorders>
              <w:top w:val="single" w:color="auto" w:sz="12" w:space="0"/>
              <w:bottom w:val="single" w:color="auto" w:sz="4" w:space="0"/>
            </w:tcBorders>
            <w:vAlign w:val="center"/>
          </w:tcPr>
          <w:p w14:paraId="05982DD8">
            <w:pPr>
              <w:widowControl/>
              <w:jc w:val="center"/>
              <w:rPr>
                <w:rFonts w:ascii="仿宋" w:hAnsi="仿宋" w:eastAsia="仿宋"/>
                <w:sz w:val="24"/>
                <w:szCs w:val="28"/>
              </w:rPr>
            </w:pPr>
            <w:r>
              <w:rPr>
                <w:rFonts w:hint="eastAsia" w:ascii="仿宋" w:hAnsi="仿宋" w:eastAsia="仿宋"/>
                <w:sz w:val="24"/>
                <w:szCs w:val="28"/>
              </w:rPr>
              <w:t>学术活动名称</w:t>
            </w:r>
          </w:p>
        </w:tc>
        <w:tc>
          <w:tcPr>
            <w:tcW w:w="2394" w:type="dxa"/>
            <w:gridSpan w:val="2"/>
            <w:tcBorders>
              <w:top w:val="single" w:color="auto" w:sz="12" w:space="0"/>
              <w:bottom w:val="single" w:color="auto" w:sz="4" w:space="0"/>
            </w:tcBorders>
            <w:vAlign w:val="center"/>
          </w:tcPr>
          <w:p w14:paraId="3A2363AD">
            <w:pPr>
              <w:widowControl/>
              <w:jc w:val="center"/>
              <w:rPr>
                <w:rFonts w:ascii="仿宋" w:hAnsi="仿宋" w:eastAsia="仿宋"/>
                <w:sz w:val="24"/>
                <w:szCs w:val="28"/>
              </w:rPr>
            </w:pPr>
            <w:r>
              <w:rPr>
                <w:rFonts w:hint="eastAsia" w:ascii="仿宋" w:hAnsi="仿宋" w:eastAsia="仿宋"/>
                <w:sz w:val="24"/>
                <w:szCs w:val="28"/>
              </w:rPr>
              <w:t>主办单位</w:t>
            </w:r>
          </w:p>
        </w:tc>
        <w:tc>
          <w:tcPr>
            <w:tcW w:w="2177" w:type="dxa"/>
            <w:tcBorders>
              <w:top w:val="single" w:color="auto" w:sz="12" w:space="0"/>
              <w:bottom w:val="single" w:color="auto" w:sz="4" w:space="0"/>
            </w:tcBorders>
            <w:vAlign w:val="center"/>
          </w:tcPr>
          <w:p w14:paraId="7AB3C421">
            <w:pPr>
              <w:widowControl/>
              <w:jc w:val="center"/>
              <w:rPr>
                <w:rFonts w:ascii="仿宋" w:hAnsi="仿宋" w:eastAsia="仿宋"/>
                <w:sz w:val="24"/>
                <w:szCs w:val="28"/>
              </w:rPr>
            </w:pPr>
            <w:r>
              <w:rPr>
                <w:rFonts w:hint="eastAsia" w:ascii="仿宋" w:hAnsi="仿宋" w:eastAsia="仿宋"/>
                <w:sz w:val="24"/>
                <w:szCs w:val="28"/>
              </w:rPr>
              <w:t>学术活动地点</w:t>
            </w:r>
          </w:p>
        </w:tc>
        <w:tc>
          <w:tcPr>
            <w:tcW w:w="1622" w:type="dxa"/>
            <w:tcBorders>
              <w:top w:val="single" w:color="auto" w:sz="12" w:space="0"/>
              <w:bottom w:val="single" w:color="auto" w:sz="4" w:space="0"/>
            </w:tcBorders>
            <w:vAlign w:val="center"/>
          </w:tcPr>
          <w:p w14:paraId="5D780F7C">
            <w:pPr>
              <w:widowControl/>
              <w:jc w:val="center"/>
              <w:rPr>
                <w:rFonts w:ascii="仿宋" w:hAnsi="仿宋" w:eastAsia="仿宋"/>
                <w:sz w:val="24"/>
                <w:szCs w:val="28"/>
              </w:rPr>
            </w:pPr>
            <w:r>
              <w:rPr>
                <w:rFonts w:hint="eastAsia" w:ascii="仿宋" w:hAnsi="仿宋" w:eastAsia="仿宋"/>
                <w:sz w:val="24"/>
                <w:szCs w:val="28"/>
              </w:rPr>
              <w:t>日期</w:t>
            </w:r>
          </w:p>
        </w:tc>
        <w:tc>
          <w:tcPr>
            <w:tcW w:w="1871" w:type="dxa"/>
            <w:tcBorders>
              <w:top w:val="single" w:color="auto" w:sz="12" w:space="0"/>
              <w:bottom w:val="single" w:color="auto" w:sz="4" w:space="0"/>
            </w:tcBorders>
            <w:vAlign w:val="center"/>
          </w:tcPr>
          <w:p w14:paraId="61F6FEA8">
            <w:pPr>
              <w:widowControl/>
              <w:jc w:val="center"/>
              <w:rPr>
                <w:rFonts w:ascii="仿宋" w:hAnsi="仿宋" w:eastAsia="仿宋"/>
                <w:sz w:val="24"/>
                <w:szCs w:val="28"/>
              </w:rPr>
            </w:pPr>
            <w:r>
              <w:rPr>
                <w:rFonts w:hint="eastAsia" w:ascii="仿宋" w:hAnsi="仿宋" w:eastAsia="仿宋"/>
                <w:szCs w:val="28"/>
              </w:rPr>
              <w:t>是否本人作报告/</w:t>
            </w:r>
            <w:r>
              <w:rPr>
                <w:rFonts w:ascii="仿宋" w:hAnsi="仿宋" w:eastAsia="仿宋"/>
                <w:szCs w:val="28"/>
              </w:rPr>
              <w:t>论文墙展示</w:t>
            </w:r>
          </w:p>
        </w:tc>
        <w:tc>
          <w:tcPr>
            <w:tcW w:w="1276" w:type="dxa"/>
            <w:tcBorders>
              <w:top w:val="single" w:color="auto" w:sz="12" w:space="0"/>
              <w:bottom w:val="single" w:color="auto" w:sz="4" w:space="0"/>
              <w:right w:val="single" w:color="auto" w:sz="12" w:space="0"/>
            </w:tcBorders>
            <w:vAlign w:val="center"/>
          </w:tcPr>
          <w:p w14:paraId="5B946179">
            <w:pPr>
              <w:widowControl/>
              <w:jc w:val="center"/>
              <w:rPr>
                <w:rFonts w:ascii="仿宋" w:hAnsi="仿宋" w:eastAsia="仿宋"/>
                <w:sz w:val="24"/>
                <w:szCs w:val="28"/>
              </w:rPr>
            </w:pPr>
            <w:r>
              <w:rPr>
                <w:rFonts w:hint="eastAsia" w:ascii="仿宋" w:hAnsi="仿宋" w:eastAsia="仿宋"/>
                <w:sz w:val="24"/>
                <w:szCs w:val="28"/>
              </w:rPr>
              <w:t>学分</w:t>
            </w:r>
          </w:p>
        </w:tc>
      </w:tr>
      <w:tr w14:paraId="1420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258" w:type="dxa"/>
            <w:tcBorders>
              <w:top w:val="single" w:color="auto" w:sz="4" w:space="0"/>
              <w:left w:val="single" w:color="auto" w:sz="12" w:space="0"/>
            </w:tcBorders>
            <w:vAlign w:val="center"/>
          </w:tcPr>
          <w:p w14:paraId="650A4AE5">
            <w:pPr>
              <w:widowControl/>
              <w:jc w:val="center"/>
              <w:rPr>
                <w:rFonts w:ascii="仿宋" w:hAnsi="仿宋" w:eastAsia="仿宋"/>
                <w:sz w:val="24"/>
                <w:szCs w:val="28"/>
              </w:rPr>
            </w:pPr>
            <w:r>
              <w:rPr>
                <w:rFonts w:hint="eastAsia" w:ascii="仿宋" w:hAnsi="仿宋" w:eastAsia="仿宋"/>
                <w:sz w:val="24"/>
                <w:szCs w:val="28"/>
              </w:rPr>
              <w:t>1.</w:t>
            </w:r>
          </w:p>
        </w:tc>
        <w:tc>
          <w:tcPr>
            <w:tcW w:w="4140" w:type="dxa"/>
            <w:tcBorders>
              <w:top w:val="single" w:color="auto" w:sz="4" w:space="0"/>
            </w:tcBorders>
            <w:vAlign w:val="center"/>
          </w:tcPr>
          <w:p w14:paraId="56E81BB7">
            <w:pPr>
              <w:widowControl/>
              <w:jc w:val="center"/>
              <w:rPr>
                <w:rFonts w:hint="eastAsia" w:ascii="仿宋" w:hAnsi="仿宋" w:eastAsia="仿宋"/>
                <w:szCs w:val="21"/>
                <w:lang w:eastAsia="zh-CN"/>
              </w:rPr>
            </w:pPr>
            <w:r>
              <w:rPr>
                <w:rFonts w:hint="eastAsia" w:ascii="仿宋" w:hAnsi="仿宋" w:eastAsia="仿宋"/>
                <w:szCs w:val="21"/>
              </w:rPr>
              <w:t>第51届</w:t>
            </w:r>
            <w:r>
              <w:rPr>
                <w:rFonts w:hint="eastAsia" w:ascii="仿宋" w:hAnsi="仿宋" w:eastAsia="仿宋"/>
                <w:szCs w:val="21"/>
                <w:lang w:val="en-US" w:eastAsia="zh-CN"/>
              </w:rPr>
              <w:t>Union</w:t>
            </w:r>
            <w:r>
              <w:rPr>
                <w:rFonts w:hint="eastAsia" w:ascii="仿宋" w:hAnsi="仿宋" w:eastAsia="仿宋"/>
                <w:szCs w:val="21"/>
              </w:rPr>
              <w:t>全球肺部健康大会</w:t>
            </w:r>
            <w:r>
              <w:rPr>
                <w:rFonts w:hint="eastAsia" w:ascii="仿宋" w:hAnsi="仿宋" w:eastAsia="仿宋"/>
                <w:szCs w:val="21"/>
                <w:lang w:eastAsia="zh-CN"/>
              </w:rPr>
              <w:t>（</w:t>
            </w:r>
            <w:r>
              <w:rPr>
                <w:rFonts w:hint="eastAsia" w:ascii="仿宋" w:hAnsi="仿宋" w:eastAsia="仿宋"/>
                <w:szCs w:val="21"/>
              </w:rPr>
              <w:t>The Union World Conference on Lung Health</w:t>
            </w:r>
            <w:r>
              <w:rPr>
                <w:rFonts w:hint="eastAsia" w:ascii="仿宋" w:hAnsi="仿宋" w:eastAsia="仿宋"/>
                <w:szCs w:val="21"/>
                <w:lang w:eastAsia="zh-CN"/>
              </w:rPr>
              <w:t>）</w:t>
            </w:r>
          </w:p>
        </w:tc>
        <w:tc>
          <w:tcPr>
            <w:tcW w:w="2394" w:type="dxa"/>
            <w:gridSpan w:val="2"/>
            <w:tcBorders>
              <w:top w:val="single" w:color="auto" w:sz="4" w:space="0"/>
            </w:tcBorders>
            <w:vAlign w:val="center"/>
          </w:tcPr>
          <w:p w14:paraId="217C243B">
            <w:pPr>
              <w:widowControl/>
              <w:jc w:val="center"/>
              <w:rPr>
                <w:rFonts w:hint="default" w:ascii="仿宋" w:hAnsi="仿宋" w:eastAsia="仿宋"/>
                <w:szCs w:val="21"/>
                <w:lang w:val="en-US" w:eastAsia="zh-CN"/>
              </w:rPr>
            </w:pPr>
            <w:r>
              <w:rPr>
                <w:rFonts w:hint="eastAsia" w:ascii="仿宋" w:hAnsi="仿宋" w:eastAsia="仿宋"/>
                <w:szCs w:val="21"/>
              </w:rPr>
              <w:t>国际防痨与肺部疾病联合会</w:t>
            </w:r>
            <w:r>
              <w:rPr>
                <w:rFonts w:hint="eastAsia" w:ascii="仿宋" w:hAnsi="仿宋" w:eastAsia="仿宋"/>
                <w:szCs w:val="21"/>
                <w:lang w:eastAsia="zh-CN"/>
              </w:rPr>
              <w:t>（</w:t>
            </w:r>
            <w:r>
              <w:rPr>
                <w:rFonts w:hint="eastAsia" w:ascii="仿宋" w:hAnsi="仿宋" w:eastAsia="仿宋"/>
                <w:szCs w:val="21"/>
                <w:lang w:val="en-US" w:eastAsia="zh-CN"/>
              </w:rPr>
              <w:t>Union）</w:t>
            </w:r>
          </w:p>
        </w:tc>
        <w:tc>
          <w:tcPr>
            <w:tcW w:w="2177" w:type="dxa"/>
            <w:tcBorders>
              <w:top w:val="single" w:color="auto" w:sz="4" w:space="0"/>
            </w:tcBorders>
            <w:vAlign w:val="center"/>
          </w:tcPr>
          <w:p w14:paraId="3286C2BA">
            <w:pPr>
              <w:widowControl/>
              <w:jc w:val="center"/>
              <w:rPr>
                <w:rFonts w:hint="default" w:ascii="仿宋" w:hAnsi="仿宋" w:eastAsia="仿宋"/>
                <w:szCs w:val="21"/>
                <w:lang w:val="en-US" w:eastAsia="zh-CN"/>
              </w:rPr>
            </w:pPr>
            <w:r>
              <w:rPr>
                <w:rFonts w:hint="eastAsia" w:ascii="仿宋" w:hAnsi="仿宋" w:eastAsia="仿宋"/>
                <w:szCs w:val="21"/>
                <w:lang w:val="en-US" w:eastAsia="zh-CN"/>
              </w:rPr>
              <w:t>（新冠疫情期间）线上会议</w:t>
            </w:r>
          </w:p>
        </w:tc>
        <w:tc>
          <w:tcPr>
            <w:tcW w:w="1622" w:type="dxa"/>
            <w:tcBorders>
              <w:top w:val="single" w:color="auto" w:sz="4" w:space="0"/>
            </w:tcBorders>
            <w:vAlign w:val="center"/>
          </w:tcPr>
          <w:p w14:paraId="76E9247F">
            <w:pPr>
              <w:widowControl/>
              <w:jc w:val="center"/>
              <w:rPr>
                <w:rFonts w:hint="default" w:ascii="仿宋" w:hAnsi="仿宋" w:eastAsia="仿宋"/>
                <w:szCs w:val="21"/>
                <w:lang w:val="en-US" w:eastAsia="zh-CN"/>
              </w:rPr>
            </w:pPr>
            <w:r>
              <w:rPr>
                <w:rFonts w:hint="eastAsia" w:ascii="仿宋" w:hAnsi="仿宋" w:eastAsia="仿宋"/>
                <w:szCs w:val="21"/>
                <w:lang w:val="en-US" w:eastAsia="zh-CN"/>
              </w:rPr>
              <w:t>2020年10月20-24日</w:t>
            </w:r>
          </w:p>
        </w:tc>
        <w:tc>
          <w:tcPr>
            <w:tcW w:w="1871" w:type="dxa"/>
            <w:tcBorders>
              <w:top w:val="single" w:color="auto" w:sz="4" w:space="0"/>
            </w:tcBorders>
            <w:vAlign w:val="center"/>
          </w:tcPr>
          <w:p w14:paraId="692A0E8D">
            <w:pPr>
              <w:widowControl/>
              <w:jc w:val="center"/>
              <w:rPr>
                <w:rFonts w:hint="default" w:ascii="仿宋" w:hAnsi="仿宋" w:eastAsia="仿宋"/>
                <w:szCs w:val="21"/>
                <w:lang w:val="en-US" w:eastAsia="zh-CN"/>
              </w:rPr>
            </w:pPr>
            <w:r>
              <w:rPr>
                <w:rFonts w:hint="eastAsia" w:ascii="仿宋" w:hAnsi="仿宋" w:eastAsia="仿宋"/>
                <w:szCs w:val="21"/>
                <w:lang w:val="en-US" w:eastAsia="zh-CN"/>
              </w:rPr>
              <w:t>本人，发言报告</w:t>
            </w:r>
          </w:p>
        </w:tc>
        <w:tc>
          <w:tcPr>
            <w:tcW w:w="1276" w:type="dxa"/>
            <w:tcBorders>
              <w:top w:val="single" w:color="auto" w:sz="4" w:space="0"/>
              <w:right w:val="single" w:color="auto" w:sz="12" w:space="0"/>
            </w:tcBorders>
            <w:vAlign w:val="center"/>
          </w:tcPr>
          <w:p w14:paraId="0D7D1F27">
            <w:pPr>
              <w:widowControl/>
              <w:jc w:val="center"/>
              <w:rPr>
                <w:rFonts w:hint="default" w:ascii="仿宋" w:hAnsi="仿宋" w:eastAsia="仿宋"/>
                <w:szCs w:val="21"/>
                <w:lang w:val="en-US" w:eastAsia="zh-CN"/>
              </w:rPr>
            </w:pPr>
            <w:r>
              <w:rPr>
                <w:rFonts w:hint="eastAsia" w:ascii="仿宋" w:hAnsi="仿宋" w:eastAsia="仿宋"/>
                <w:szCs w:val="21"/>
                <w:lang w:val="en-US" w:eastAsia="zh-CN"/>
              </w:rPr>
              <w:t>3.0</w:t>
            </w:r>
          </w:p>
        </w:tc>
      </w:tr>
      <w:tr w14:paraId="7A03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258" w:type="dxa"/>
            <w:tcBorders>
              <w:left w:val="single" w:color="auto" w:sz="12" w:space="0"/>
            </w:tcBorders>
            <w:vAlign w:val="center"/>
          </w:tcPr>
          <w:p w14:paraId="494585E1">
            <w:pPr>
              <w:widowControl/>
              <w:jc w:val="center"/>
              <w:rPr>
                <w:rFonts w:ascii="仿宋" w:hAnsi="仿宋" w:eastAsia="仿宋"/>
                <w:sz w:val="24"/>
                <w:szCs w:val="28"/>
              </w:rPr>
            </w:pPr>
            <w:r>
              <w:rPr>
                <w:rFonts w:hint="eastAsia" w:ascii="仿宋" w:hAnsi="仿宋" w:eastAsia="仿宋"/>
                <w:sz w:val="24"/>
                <w:szCs w:val="28"/>
              </w:rPr>
              <w:t>2.</w:t>
            </w:r>
          </w:p>
        </w:tc>
        <w:tc>
          <w:tcPr>
            <w:tcW w:w="4140" w:type="dxa"/>
            <w:vAlign w:val="center"/>
          </w:tcPr>
          <w:p w14:paraId="0B2DF709">
            <w:pPr>
              <w:widowControl/>
              <w:jc w:val="center"/>
              <w:rPr>
                <w:rFonts w:hint="default" w:ascii="仿宋" w:hAnsi="仿宋" w:eastAsia="仿宋"/>
                <w:szCs w:val="21"/>
                <w:lang w:val="en-US" w:eastAsia="zh-CN"/>
              </w:rPr>
            </w:pPr>
            <w:r>
              <w:rPr>
                <w:rFonts w:hint="eastAsia" w:ascii="仿宋" w:hAnsi="仿宋" w:eastAsia="仿宋"/>
                <w:szCs w:val="21"/>
              </w:rPr>
              <w:t>第5</w:t>
            </w:r>
            <w:r>
              <w:rPr>
                <w:rFonts w:hint="eastAsia" w:ascii="仿宋" w:hAnsi="仿宋" w:eastAsia="仿宋"/>
                <w:szCs w:val="21"/>
                <w:lang w:val="en-US" w:eastAsia="zh-CN"/>
              </w:rPr>
              <w:t>3</w:t>
            </w:r>
            <w:r>
              <w:rPr>
                <w:rFonts w:hint="eastAsia" w:ascii="仿宋" w:hAnsi="仿宋" w:eastAsia="仿宋"/>
                <w:szCs w:val="21"/>
              </w:rPr>
              <w:t>届</w:t>
            </w:r>
            <w:r>
              <w:rPr>
                <w:rFonts w:hint="eastAsia" w:ascii="仿宋" w:hAnsi="仿宋" w:eastAsia="仿宋"/>
                <w:szCs w:val="21"/>
                <w:lang w:val="en-US" w:eastAsia="zh-CN"/>
              </w:rPr>
              <w:t>Union大会</w:t>
            </w:r>
          </w:p>
        </w:tc>
        <w:tc>
          <w:tcPr>
            <w:tcW w:w="2394" w:type="dxa"/>
            <w:gridSpan w:val="2"/>
            <w:vAlign w:val="center"/>
          </w:tcPr>
          <w:p w14:paraId="7D6AD621">
            <w:pPr>
              <w:widowControl/>
              <w:jc w:val="center"/>
              <w:rPr>
                <w:rFonts w:ascii="仿宋" w:hAnsi="仿宋" w:eastAsia="仿宋"/>
                <w:szCs w:val="21"/>
              </w:rPr>
            </w:pPr>
            <w:r>
              <w:rPr>
                <w:rFonts w:hint="eastAsia" w:ascii="仿宋" w:hAnsi="仿宋" w:eastAsia="仿宋"/>
                <w:szCs w:val="21"/>
                <w:lang w:val="en-US" w:eastAsia="zh-CN"/>
              </w:rPr>
              <w:t>Union</w:t>
            </w:r>
          </w:p>
        </w:tc>
        <w:tc>
          <w:tcPr>
            <w:tcW w:w="2177" w:type="dxa"/>
            <w:vAlign w:val="center"/>
          </w:tcPr>
          <w:p w14:paraId="06A5A33B">
            <w:pPr>
              <w:widowControl/>
              <w:jc w:val="center"/>
              <w:rPr>
                <w:rFonts w:ascii="仿宋" w:hAnsi="仿宋" w:eastAsia="仿宋"/>
                <w:szCs w:val="21"/>
              </w:rPr>
            </w:pPr>
            <w:r>
              <w:rPr>
                <w:rFonts w:hint="eastAsia" w:ascii="仿宋" w:hAnsi="仿宋" w:eastAsia="仿宋"/>
                <w:szCs w:val="21"/>
                <w:lang w:val="en-US" w:eastAsia="zh-CN"/>
              </w:rPr>
              <w:t>（新冠疫情期间）线上会议</w:t>
            </w:r>
          </w:p>
        </w:tc>
        <w:tc>
          <w:tcPr>
            <w:tcW w:w="1622" w:type="dxa"/>
            <w:vAlign w:val="center"/>
          </w:tcPr>
          <w:p w14:paraId="1B73D000">
            <w:pPr>
              <w:widowControl/>
              <w:jc w:val="center"/>
              <w:rPr>
                <w:rFonts w:hint="default" w:ascii="仿宋" w:hAnsi="仿宋" w:eastAsia="仿宋"/>
                <w:szCs w:val="21"/>
                <w:lang w:val="en-US" w:eastAsia="zh-CN"/>
              </w:rPr>
            </w:pPr>
            <w:r>
              <w:rPr>
                <w:rFonts w:hint="eastAsia" w:ascii="仿宋" w:hAnsi="仿宋" w:eastAsia="仿宋"/>
                <w:szCs w:val="21"/>
                <w:lang w:val="en-US" w:eastAsia="zh-CN"/>
              </w:rPr>
              <w:t>2022年11月8-11日</w:t>
            </w:r>
          </w:p>
        </w:tc>
        <w:tc>
          <w:tcPr>
            <w:tcW w:w="1871" w:type="dxa"/>
            <w:vAlign w:val="center"/>
          </w:tcPr>
          <w:p w14:paraId="44FF4101">
            <w:pPr>
              <w:widowControl/>
              <w:jc w:val="center"/>
              <w:rPr>
                <w:rFonts w:hint="default" w:ascii="仿宋" w:hAnsi="仿宋" w:eastAsia="仿宋"/>
                <w:szCs w:val="21"/>
                <w:lang w:val="en-US" w:eastAsia="zh-CN"/>
              </w:rPr>
            </w:pPr>
            <w:r>
              <w:rPr>
                <w:rFonts w:hint="eastAsia" w:ascii="仿宋" w:hAnsi="仿宋" w:eastAsia="仿宋"/>
                <w:szCs w:val="21"/>
                <w:lang w:val="en-US" w:eastAsia="zh-CN"/>
              </w:rPr>
              <w:t>本人，发言报告</w:t>
            </w:r>
          </w:p>
        </w:tc>
        <w:tc>
          <w:tcPr>
            <w:tcW w:w="1276" w:type="dxa"/>
            <w:tcBorders>
              <w:right w:val="single" w:color="auto" w:sz="12" w:space="0"/>
            </w:tcBorders>
            <w:vAlign w:val="center"/>
          </w:tcPr>
          <w:p w14:paraId="0F6D9543">
            <w:pPr>
              <w:widowControl/>
              <w:jc w:val="center"/>
              <w:rPr>
                <w:rFonts w:hint="default" w:ascii="仿宋" w:hAnsi="仿宋" w:eastAsia="仿宋"/>
                <w:szCs w:val="21"/>
                <w:lang w:val="en-US" w:eastAsia="zh-CN"/>
              </w:rPr>
            </w:pPr>
            <w:r>
              <w:rPr>
                <w:rFonts w:hint="eastAsia" w:ascii="仿宋" w:hAnsi="仿宋" w:eastAsia="仿宋"/>
                <w:szCs w:val="21"/>
                <w:lang w:val="en-US" w:eastAsia="zh-CN"/>
              </w:rPr>
              <w:t>3.0</w:t>
            </w:r>
          </w:p>
        </w:tc>
      </w:tr>
      <w:tr w14:paraId="2A49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258" w:type="dxa"/>
            <w:tcBorders>
              <w:left w:val="single" w:color="auto" w:sz="12" w:space="0"/>
            </w:tcBorders>
            <w:vAlign w:val="center"/>
          </w:tcPr>
          <w:p w14:paraId="0498864C">
            <w:pPr>
              <w:widowControl/>
              <w:jc w:val="center"/>
              <w:rPr>
                <w:rFonts w:ascii="仿宋" w:hAnsi="仿宋" w:eastAsia="仿宋"/>
                <w:sz w:val="24"/>
                <w:szCs w:val="28"/>
              </w:rPr>
            </w:pPr>
            <w:r>
              <w:rPr>
                <w:rFonts w:hint="eastAsia" w:ascii="仿宋" w:hAnsi="仿宋" w:eastAsia="仿宋"/>
                <w:sz w:val="24"/>
                <w:szCs w:val="28"/>
              </w:rPr>
              <w:t>3.</w:t>
            </w:r>
          </w:p>
        </w:tc>
        <w:tc>
          <w:tcPr>
            <w:tcW w:w="4140" w:type="dxa"/>
            <w:vAlign w:val="center"/>
          </w:tcPr>
          <w:p w14:paraId="6A64B832">
            <w:pPr>
              <w:widowControl/>
              <w:jc w:val="center"/>
              <w:rPr>
                <w:rFonts w:ascii="仿宋" w:hAnsi="仿宋" w:eastAsia="仿宋"/>
                <w:szCs w:val="21"/>
              </w:rPr>
            </w:pPr>
            <w:r>
              <w:rPr>
                <w:rFonts w:hint="eastAsia" w:ascii="仿宋" w:hAnsi="仿宋" w:eastAsia="仿宋"/>
                <w:szCs w:val="21"/>
              </w:rPr>
              <w:t>第5</w:t>
            </w:r>
            <w:r>
              <w:rPr>
                <w:rFonts w:hint="eastAsia" w:ascii="仿宋" w:hAnsi="仿宋" w:eastAsia="仿宋"/>
                <w:szCs w:val="21"/>
                <w:lang w:val="en-US" w:eastAsia="zh-CN"/>
              </w:rPr>
              <w:t>4</w:t>
            </w:r>
            <w:r>
              <w:rPr>
                <w:rFonts w:hint="eastAsia" w:ascii="仿宋" w:hAnsi="仿宋" w:eastAsia="仿宋"/>
                <w:szCs w:val="21"/>
              </w:rPr>
              <w:t>届</w:t>
            </w:r>
            <w:r>
              <w:rPr>
                <w:rFonts w:hint="eastAsia" w:ascii="仿宋" w:hAnsi="仿宋" w:eastAsia="仿宋"/>
                <w:szCs w:val="21"/>
                <w:lang w:val="en-US" w:eastAsia="zh-CN"/>
              </w:rPr>
              <w:t>Union大会</w:t>
            </w:r>
          </w:p>
        </w:tc>
        <w:tc>
          <w:tcPr>
            <w:tcW w:w="2394" w:type="dxa"/>
            <w:gridSpan w:val="2"/>
            <w:vAlign w:val="center"/>
          </w:tcPr>
          <w:p w14:paraId="34FB44E9">
            <w:pPr>
              <w:widowControl/>
              <w:jc w:val="center"/>
              <w:rPr>
                <w:rFonts w:hint="eastAsia" w:ascii="仿宋" w:hAnsi="仿宋" w:eastAsia="仿宋"/>
                <w:szCs w:val="21"/>
                <w:lang w:val="en-US" w:eastAsia="zh-CN"/>
              </w:rPr>
            </w:pPr>
            <w:r>
              <w:rPr>
                <w:rFonts w:hint="eastAsia" w:ascii="仿宋" w:hAnsi="仿宋" w:eastAsia="仿宋"/>
                <w:szCs w:val="21"/>
                <w:lang w:val="en-US" w:eastAsia="zh-CN"/>
              </w:rPr>
              <w:t>Union</w:t>
            </w:r>
          </w:p>
        </w:tc>
        <w:tc>
          <w:tcPr>
            <w:tcW w:w="2177" w:type="dxa"/>
            <w:vAlign w:val="center"/>
          </w:tcPr>
          <w:p w14:paraId="268F63F5">
            <w:pPr>
              <w:widowControl/>
              <w:jc w:val="center"/>
              <w:rPr>
                <w:rFonts w:ascii="仿宋" w:hAnsi="仿宋" w:eastAsia="仿宋"/>
                <w:szCs w:val="21"/>
              </w:rPr>
            </w:pPr>
            <w:r>
              <w:rPr>
                <w:rFonts w:hint="eastAsia" w:ascii="仿宋" w:hAnsi="仿宋" w:eastAsia="仿宋"/>
                <w:szCs w:val="21"/>
                <w:lang w:val="en-US" w:eastAsia="zh-CN"/>
              </w:rPr>
              <w:t>法国，巴黎</w:t>
            </w:r>
          </w:p>
        </w:tc>
        <w:tc>
          <w:tcPr>
            <w:tcW w:w="1622" w:type="dxa"/>
            <w:vAlign w:val="center"/>
          </w:tcPr>
          <w:p w14:paraId="65FA6227">
            <w:pPr>
              <w:widowControl/>
              <w:jc w:val="center"/>
              <w:rPr>
                <w:rFonts w:hint="default" w:ascii="仿宋" w:hAnsi="仿宋" w:eastAsia="仿宋"/>
                <w:szCs w:val="21"/>
                <w:lang w:val="en-US" w:eastAsia="zh-CN"/>
              </w:rPr>
            </w:pPr>
            <w:r>
              <w:rPr>
                <w:rFonts w:hint="eastAsia" w:ascii="仿宋" w:hAnsi="仿宋" w:eastAsia="仿宋"/>
                <w:szCs w:val="21"/>
                <w:lang w:val="en-US" w:eastAsia="zh-CN"/>
              </w:rPr>
              <w:t>2023年11月15-18日</w:t>
            </w:r>
          </w:p>
        </w:tc>
        <w:tc>
          <w:tcPr>
            <w:tcW w:w="1871" w:type="dxa"/>
            <w:vAlign w:val="center"/>
          </w:tcPr>
          <w:p w14:paraId="51945C31">
            <w:pPr>
              <w:widowControl/>
              <w:jc w:val="center"/>
              <w:rPr>
                <w:rFonts w:hint="default" w:ascii="仿宋" w:hAnsi="仿宋" w:eastAsia="仿宋"/>
                <w:szCs w:val="21"/>
                <w:lang w:val="en-US" w:eastAsia="zh-CN"/>
              </w:rPr>
            </w:pPr>
            <w:r>
              <w:rPr>
                <w:rFonts w:hint="eastAsia" w:ascii="仿宋" w:hAnsi="仿宋" w:eastAsia="仿宋"/>
                <w:szCs w:val="21"/>
                <w:lang w:val="en-US" w:eastAsia="zh-CN"/>
              </w:rPr>
              <w:t>本人，发言报告（3场）</w:t>
            </w:r>
          </w:p>
        </w:tc>
        <w:tc>
          <w:tcPr>
            <w:tcW w:w="1276" w:type="dxa"/>
            <w:tcBorders>
              <w:right w:val="single" w:color="auto" w:sz="12" w:space="0"/>
            </w:tcBorders>
            <w:vAlign w:val="center"/>
          </w:tcPr>
          <w:p w14:paraId="43A19E77">
            <w:pPr>
              <w:widowControl/>
              <w:jc w:val="center"/>
              <w:rPr>
                <w:rFonts w:hint="default" w:ascii="仿宋" w:hAnsi="仿宋" w:eastAsia="仿宋"/>
                <w:szCs w:val="21"/>
                <w:lang w:val="en-US" w:eastAsia="zh-CN"/>
              </w:rPr>
            </w:pPr>
            <w:r>
              <w:rPr>
                <w:rFonts w:hint="eastAsia" w:ascii="仿宋" w:hAnsi="仿宋" w:eastAsia="仿宋"/>
                <w:szCs w:val="21"/>
                <w:lang w:val="en-US" w:eastAsia="zh-CN"/>
              </w:rPr>
              <w:t>9.0</w:t>
            </w:r>
          </w:p>
        </w:tc>
      </w:tr>
      <w:tr w14:paraId="3922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1258" w:type="dxa"/>
            <w:tcBorders>
              <w:left w:val="single" w:color="auto" w:sz="12" w:space="0"/>
            </w:tcBorders>
            <w:vAlign w:val="center"/>
          </w:tcPr>
          <w:p w14:paraId="4F7DF370">
            <w:pPr>
              <w:widowControl/>
              <w:jc w:val="center"/>
              <w:rPr>
                <w:rFonts w:ascii="仿宋" w:hAnsi="仿宋" w:eastAsia="仿宋"/>
                <w:sz w:val="24"/>
                <w:szCs w:val="28"/>
              </w:rPr>
            </w:pPr>
            <w:r>
              <w:rPr>
                <w:rFonts w:hint="eastAsia" w:ascii="仿宋" w:hAnsi="仿宋" w:eastAsia="仿宋"/>
                <w:sz w:val="24"/>
                <w:szCs w:val="28"/>
              </w:rPr>
              <w:t>4.</w:t>
            </w:r>
          </w:p>
        </w:tc>
        <w:tc>
          <w:tcPr>
            <w:tcW w:w="4140" w:type="dxa"/>
            <w:shd w:val="clear" w:color="auto" w:fill="auto"/>
            <w:vAlign w:val="center"/>
          </w:tcPr>
          <w:p w14:paraId="2DF0E209">
            <w:pPr>
              <w:widowControl/>
              <w:jc w:val="center"/>
              <w:rPr>
                <w:rFonts w:ascii="仿宋" w:hAnsi="仿宋" w:eastAsia="仿宋" w:cs="Times New Roman"/>
                <w:kern w:val="2"/>
                <w:sz w:val="21"/>
                <w:szCs w:val="21"/>
                <w:lang w:val="en-US" w:eastAsia="zh-CN" w:bidi="ar-SA"/>
              </w:rPr>
            </w:pPr>
            <w:r>
              <w:rPr>
                <w:rFonts w:hint="eastAsia" w:ascii="仿宋" w:hAnsi="仿宋" w:eastAsia="仿宋"/>
                <w:szCs w:val="21"/>
              </w:rPr>
              <w:t>第5</w:t>
            </w:r>
            <w:r>
              <w:rPr>
                <w:rFonts w:hint="eastAsia" w:ascii="仿宋" w:hAnsi="仿宋" w:eastAsia="仿宋"/>
                <w:szCs w:val="21"/>
                <w:lang w:val="en-US" w:eastAsia="zh-CN"/>
              </w:rPr>
              <w:t>5</w:t>
            </w:r>
            <w:r>
              <w:rPr>
                <w:rFonts w:hint="eastAsia" w:ascii="仿宋" w:hAnsi="仿宋" w:eastAsia="仿宋"/>
                <w:szCs w:val="21"/>
              </w:rPr>
              <w:t>届</w:t>
            </w:r>
            <w:r>
              <w:rPr>
                <w:rFonts w:hint="eastAsia" w:ascii="仿宋" w:hAnsi="仿宋" w:eastAsia="仿宋"/>
                <w:szCs w:val="21"/>
                <w:lang w:val="en-US" w:eastAsia="zh-CN"/>
              </w:rPr>
              <w:t>Union大会</w:t>
            </w:r>
          </w:p>
        </w:tc>
        <w:tc>
          <w:tcPr>
            <w:tcW w:w="2394" w:type="dxa"/>
            <w:gridSpan w:val="2"/>
            <w:shd w:val="clear" w:color="auto" w:fill="auto"/>
            <w:vAlign w:val="center"/>
          </w:tcPr>
          <w:p w14:paraId="0D1C3EA7">
            <w:pPr>
              <w:widowControl/>
              <w:jc w:val="center"/>
              <w:rPr>
                <w:rFonts w:hint="eastAsia" w:ascii="仿宋" w:hAnsi="仿宋" w:eastAsia="仿宋" w:cs="Times New Roman"/>
                <w:kern w:val="2"/>
                <w:sz w:val="21"/>
                <w:szCs w:val="21"/>
                <w:lang w:val="en-US" w:eastAsia="zh-CN" w:bidi="ar-SA"/>
              </w:rPr>
            </w:pPr>
            <w:r>
              <w:rPr>
                <w:rFonts w:hint="eastAsia" w:ascii="仿宋" w:hAnsi="仿宋" w:eastAsia="仿宋"/>
                <w:szCs w:val="21"/>
                <w:lang w:val="en-US" w:eastAsia="zh-CN"/>
              </w:rPr>
              <w:t>Union</w:t>
            </w:r>
          </w:p>
        </w:tc>
        <w:tc>
          <w:tcPr>
            <w:tcW w:w="2177" w:type="dxa"/>
            <w:vAlign w:val="center"/>
          </w:tcPr>
          <w:p w14:paraId="0F9C35CF">
            <w:pPr>
              <w:widowControl/>
              <w:jc w:val="center"/>
              <w:rPr>
                <w:rFonts w:hint="default" w:ascii="仿宋" w:hAnsi="仿宋" w:eastAsia="仿宋"/>
                <w:szCs w:val="21"/>
                <w:lang w:val="en-US" w:eastAsia="zh-CN"/>
              </w:rPr>
            </w:pPr>
            <w:r>
              <w:rPr>
                <w:rFonts w:hint="eastAsia" w:ascii="仿宋" w:hAnsi="仿宋" w:eastAsia="仿宋"/>
                <w:szCs w:val="21"/>
                <w:lang w:val="en-US" w:eastAsia="zh-CN"/>
              </w:rPr>
              <w:t>印度尼西亚，巴厘岛</w:t>
            </w:r>
          </w:p>
        </w:tc>
        <w:tc>
          <w:tcPr>
            <w:tcW w:w="1622" w:type="dxa"/>
            <w:vAlign w:val="center"/>
          </w:tcPr>
          <w:p w14:paraId="76C8EEF5">
            <w:pPr>
              <w:widowControl/>
              <w:jc w:val="center"/>
              <w:rPr>
                <w:rFonts w:hint="default" w:ascii="仿宋" w:hAnsi="仿宋" w:eastAsia="仿宋"/>
                <w:szCs w:val="21"/>
                <w:lang w:val="en-US" w:eastAsia="zh-CN"/>
              </w:rPr>
            </w:pPr>
            <w:r>
              <w:rPr>
                <w:rFonts w:hint="eastAsia" w:ascii="仿宋" w:hAnsi="仿宋" w:eastAsia="仿宋"/>
                <w:szCs w:val="21"/>
                <w:lang w:val="en-US" w:eastAsia="zh-CN"/>
              </w:rPr>
              <w:t>2024年11月12-16日</w:t>
            </w:r>
          </w:p>
        </w:tc>
        <w:tc>
          <w:tcPr>
            <w:tcW w:w="1871" w:type="dxa"/>
            <w:vAlign w:val="center"/>
          </w:tcPr>
          <w:p w14:paraId="15842604">
            <w:pPr>
              <w:widowControl/>
              <w:jc w:val="center"/>
              <w:rPr>
                <w:rFonts w:ascii="仿宋" w:hAnsi="仿宋" w:eastAsia="仿宋"/>
                <w:szCs w:val="21"/>
              </w:rPr>
            </w:pPr>
            <w:r>
              <w:rPr>
                <w:rFonts w:hint="eastAsia" w:ascii="仿宋" w:hAnsi="仿宋" w:eastAsia="仿宋"/>
                <w:szCs w:val="21"/>
                <w:lang w:val="en-US" w:eastAsia="zh-CN"/>
              </w:rPr>
              <w:t>本人，发言报告</w:t>
            </w:r>
          </w:p>
        </w:tc>
        <w:tc>
          <w:tcPr>
            <w:tcW w:w="1276" w:type="dxa"/>
            <w:tcBorders>
              <w:right w:val="single" w:color="auto" w:sz="12" w:space="0"/>
            </w:tcBorders>
            <w:vAlign w:val="center"/>
          </w:tcPr>
          <w:p w14:paraId="09B3286B">
            <w:pPr>
              <w:widowControl/>
              <w:jc w:val="center"/>
              <w:rPr>
                <w:rFonts w:hint="default" w:ascii="仿宋" w:hAnsi="仿宋" w:eastAsia="仿宋"/>
                <w:szCs w:val="21"/>
                <w:lang w:val="en-US" w:eastAsia="zh-CN"/>
              </w:rPr>
            </w:pPr>
            <w:r>
              <w:rPr>
                <w:rFonts w:hint="eastAsia" w:ascii="仿宋" w:hAnsi="仿宋" w:eastAsia="仿宋"/>
                <w:szCs w:val="21"/>
                <w:lang w:val="en-US" w:eastAsia="zh-CN"/>
              </w:rPr>
              <w:t>3.0</w:t>
            </w:r>
          </w:p>
        </w:tc>
      </w:tr>
      <w:tr w14:paraId="47EC0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jc w:val="center"/>
        </w:trPr>
        <w:tc>
          <w:tcPr>
            <w:tcW w:w="7792" w:type="dxa"/>
            <w:gridSpan w:val="4"/>
            <w:tcBorders>
              <w:left w:val="single" w:color="auto" w:sz="12" w:space="0"/>
              <w:bottom w:val="single" w:color="auto" w:sz="12" w:space="0"/>
            </w:tcBorders>
          </w:tcPr>
          <w:p w14:paraId="0913D5B6">
            <w:pPr>
              <w:widowControl/>
              <w:rPr>
                <w:rFonts w:hint="eastAsia" w:ascii="仿宋" w:hAnsi="仿宋" w:eastAsia="仿宋"/>
                <w:sz w:val="24"/>
                <w:szCs w:val="28"/>
                <w:lang w:eastAsia="zh-CN"/>
              </w:rPr>
            </w:pPr>
            <w:r>
              <w:rPr>
                <w:rFonts w:hint="eastAsia" w:ascii="仿宋" w:hAnsi="仿宋" w:eastAsia="仿宋"/>
                <w:sz w:val="24"/>
                <w:szCs w:val="28"/>
              </w:rPr>
              <w:t>导师（或导师小组）签字：</w:t>
            </w:r>
            <w:r>
              <w:rPr>
                <w:rFonts w:hint="eastAsia" w:ascii="仿宋" w:hAnsi="仿宋" w:eastAsia="仿宋"/>
                <w:sz w:val="24"/>
                <w:szCs w:val="28"/>
                <w:lang w:eastAsia="zh-CN"/>
              </w:rPr>
              <w:drawing>
                <wp:inline distT="0" distB="0" distL="114300" distR="114300">
                  <wp:extent cx="480060" cy="281940"/>
                  <wp:effectExtent l="0" t="0" r="15240" b="3810"/>
                  <wp:docPr id="16" name="图片 16" descr="唐神结 电子签字 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唐神结 电子签字 透明底"/>
                          <pic:cNvPicPr>
                            <a:picLocks noChangeAspect="1"/>
                          </pic:cNvPicPr>
                        </pic:nvPicPr>
                        <pic:blipFill>
                          <a:blip r:embed="rId12"/>
                          <a:stretch>
                            <a:fillRect/>
                          </a:stretch>
                        </pic:blipFill>
                        <pic:spPr>
                          <a:xfrm>
                            <a:off x="0" y="0"/>
                            <a:ext cx="480060" cy="281940"/>
                          </a:xfrm>
                          <a:prstGeom prst="rect">
                            <a:avLst/>
                          </a:prstGeom>
                        </pic:spPr>
                      </pic:pic>
                    </a:graphicData>
                  </a:graphic>
                </wp:inline>
              </w:drawing>
            </w:r>
          </w:p>
          <w:p w14:paraId="58FA6E99">
            <w:pPr>
              <w:widowControl/>
              <w:rPr>
                <w:rFonts w:hint="default" w:ascii="仿宋" w:hAnsi="仿宋" w:eastAsia="仿宋"/>
                <w:sz w:val="24"/>
                <w:szCs w:val="28"/>
                <w:lang w:val="en-US" w:eastAsia="zh-CN"/>
              </w:rPr>
            </w:pPr>
            <w:r>
              <w:rPr>
                <w:rFonts w:hint="eastAsia" w:ascii="仿宋" w:hAnsi="仿宋" w:eastAsia="仿宋"/>
                <w:sz w:val="24"/>
                <w:szCs w:val="28"/>
              </w:rPr>
              <w:t>日期</w:t>
            </w:r>
            <w:r>
              <w:rPr>
                <w:rFonts w:ascii="仿宋" w:hAnsi="仿宋" w:eastAsia="仿宋"/>
                <w:sz w:val="24"/>
                <w:szCs w:val="28"/>
              </w:rPr>
              <w:t>：</w:t>
            </w:r>
            <w:r>
              <w:rPr>
                <w:rFonts w:hint="eastAsia" w:ascii="仿宋" w:hAnsi="仿宋" w:eastAsia="仿宋"/>
                <w:sz w:val="24"/>
                <w:szCs w:val="28"/>
                <w:lang w:val="en-US" w:eastAsia="zh-CN"/>
              </w:rPr>
              <w:t>2025年2月10日</w:t>
            </w:r>
          </w:p>
        </w:tc>
        <w:tc>
          <w:tcPr>
            <w:tcW w:w="6946" w:type="dxa"/>
            <w:gridSpan w:val="4"/>
            <w:tcBorders>
              <w:bottom w:val="single" w:color="auto" w:sz="12" w:space="0"/>
              <w:right w:val="single" w:color="auto" w:sz="12" w:space="0"/>
            </w:tcBorders>
          </w:tcPr>
          <w:p w14:paraId="1A71C85D">
            <w:pPr>
              <w:widowControl/>
              <w:rPr>
                <w:rFonts w:ascii="仿宋" w:hAnsi="仿宋" w:eastAsia="仿宋"/>
                <w:sz w:val="24"/>
                <w:szCs w:val="28"/>
              </w:rPr>
            </w:pPr>
            <w:bookmarkStart w:id="0" w:name="_Hlk39152523"/>
            <w:r>
              <w:rPr>
                <w:rFonts w:hint="eastAsia" w:ascii="仿宋" w:hAnsi="仿宋" w:eastAsia="仿宋"/>
                <w:sz w:val="24"/>
                <w:szCs w:val="28"/>
              </w:rPr>
              <w:t>学院审核意见：（签章）</w:t>
            </w:r>
          </w:p>
          <w:bookmarkEnd w:id="0"/>
          <w:p w14:paraId="1A205707">
            <w:pPr>
              <w:widowControl/>
              <w:rPr>
                <w:rFonts w:ascii="仿宋" w:hAnsi="仿宋" w:eastAsia="仿宋"/>
                <w:sz w:val="24"/>
                <w:szCs w:val="28"/>
              </w:rPr>
            </w:pPr>
            <w:r>
              <w:rPr>
                <w:rFonts w:hint="eastAsia" w:ascii="仿宋" w:hAnsi="仿宋" w:eastAsia="仿宋"/>
                <w:sz w:val="24"/>
                <w:szCs w:val="28"/>
              </w:rPr>
              <w:t>日期</w:t>
            </w:r>
            <w:r>
              <w:rPr>
                <w:rFonts w:ascii="仿宋" w:hAnsi="仿宋" w:eastAsia="仿宋"/>
                <w:sz w:val="24"/>
                <w:szCs w:val="28"/>
              </w:rPr>
              <w:t>：</w:t>
            </w:r>
          </w:p>
          <w:p w14:paraId="65B766B5">
            <w:pPr>
              <w:widowControl/>
              <w:rPr>
                <w:rFonts w:ascii="仿宋" w:hAnsi="仿宋" w:eastAsia="仿宋"/>
                <w:sz w:val="24"/>
                <w:szCs w:val="28"/>
              </w:rPr>
            </w:pPr>
          </w:p>
        </w:tc>
      </w:tr>
      <w:tr w14:paraId="23E67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7" w:hRule="atLeast"/>
          <w:jc w:val="center"/>
        </w:trPr>
        <w:tc>
          <w:tcPr>
            <w:tcW w:w="6945" w:type="dxa"/>
            <w:gridSpan w:val="3"/>
            <w:tcBorders>
              <w:top w:val="single" w:color="auto" w:sz="12" w:space="0"/>
              <w:left w:val="single" w:color="auto" w:sz="12" w:space="0"/>
              <w:bottom w:val="single" w:color="auto" w:sz="12" w:space="0"/>
              <w:right w:val="single" w:color="auto" w:sz="4" w:space="0"/>
            </w:tcBorders>
          </w:tcPr>
          <w:p w14:paraId="45A13BBE">
            <w:pPr>
              <w:widowControl/>
              <w:rPr>
                <w:rFonts w:ascii="仿宋" w:hAnsi="仿宋" w:eastAsia="仿宋"/>
                <w:sz w:val="24"/>
                <w:szCs w:val="40"/>
              </w:rPr>
            </w:pPr>
            <w:r>
              <w:rPr>
                <w:rFonts w:hint="eastAsia" w:ascii="仿宋" w:hAnsi="仿宋" w:eastAsia="仿宋"/>
                <w:sz w:val="24"/>
                <w:szCs w:val="40"/>
              </w:rPr>
              <w:t>说明</w:t>
            </w:r>
          </w:p>
          <w:p w14:paraId="557DCA54">
            <w:pPr>
              <w:widowControl/>
              <w:ind w:firstLine="952" w:firstLineChars="397"/>
              <w:rPr>
                <w:rFonts w:ascii="仿宋" w:hAnsi="仿宋" w:eastAsia="仿宋"/>
                <w:b/>
                <w:sz w:val="24"/>
                <w:szCs w:val="40"/>
              </w:rPr>
            </w:pPr>
            <w:r>
              <w:rPr>
                <w:rFonts w:hint="eastAsia" w:ascii="仿宋" w:hAnsi="仿宋" w:eastAsia="仿宋"/>
                <w:b/>
                <w:sz w:val="24"/>
                <w:szCs w:val="40"/>
              </w:rPr>
              <w:t>1</w:t>
            </w:r>
            <w:r>
              <w:rPr>
                <w:rFonts w:ascii="仿宋" w:hAnsi="仿宋" w:eastAsia="仿宋"/>
                <w:b/>
                <w:sz w:val="24"/>
                <w:szCs w:val="40"/>
              </w:rPr>
              <w:t>.</w:t>
            </w:r>
            <w:r>
              <w:rPr>
                <w:rFonts w:hint="eastAsia" w:ascii="仿宋" w:hAnsi="仿宋" w:eastAsia="仿宋"/>
                <w:b/>
                <w:sz w:val="24"/>
                <w:szCs w:val="40"/>
              </w:rPr>
              <w:t>学分要求</w:t>
            </w:r>
          </w:p>
          <w:p w14:paraId="55C7DE58">
            <w:pPr>
              <w:widowControl/>
              <w:ind w:firstLine="952" w:firstLineChars="397"/>
              <w:rPr>
                <w:rFonts w:ascii="仿宋" w:hAnsi="仿宋" w:eastAsia="仿宋"/>
                <w:sz w:val="24"/>
                <w:szCs w:val="40"/>
              </w:rPr>
            </w:pPr>
            <w:r>
              <w:rPr>
                <w:rFonts w:hint="eastAsia" w:ascii="仿宋" w:hAnsi="仿宋" w:eastAsia="仿宋"/>
                <w:sz w:val="24"/>
                <w:szCs w:val="40"/>
              </w:rPr>
              <w:t>博士科学学位研究生：4.0学分</w:t>
            </w:r>
          </w:p>
          <w:p w14:paraId="6FA9AA09">
            <w:pPr>
              <w:widowControl/>
              <w:ind w:firstLine="952" w:firstLineChars="397"/>
              <w:rPr>
                <w:rFonts w:ascii="仿宋" w:hAnsi="仿宋" w:eastAsia="仿宋"/>
                <w:sz w:val="24"/>
                <w:szCs w:val="40"/>
              </w:rPr>
            </w:pPr>
            <w:r>
              <w:rPr>
                <w:rFonts w:hint="eastAsia" w:ascii="仿宋" w:hAnsi="仿宋" w:eastAsia="仿宋"/>
                <w:sz w:val="24"/>
                <w:szCs w:val="40"/>
              </w:rPr>
              <w:t>博士专业学位研究生：2.0学分</w:t>
            </w:r>
          </w:p>
          <w:p w14:paraId="5AED13D4">
            <w:pPr>
              <w:widowControl/>
              <w:ind w:firstLine="952" w:firstLineChars="397"/>
              <w:rPr>
                <w:rFonts w:ascii="仿宋" w:hAnsi="仿宋" w:eastAsia="仿宋"/>
                <w:sz w:val="24"/>
                <w:szCs w:val="40"/>
              </w:rPr>
            </w:pPr>
            <w:r>
              <w:rPr>
                <w:rFonts w:hint="eastAsia" w:ascii="仿宋" w:hAnsi="仿宋" w:eastAsia="仿宋"/>
                <w:sz w:val="24"/>
                <w:szCs w:val="40"/>
              </w:rPr>
              <w:t>硕博连读研究生：5.0学分</w:t>
            </w:r>
          </w:p>
          <w:p w14:paraId="541E8FE5">
            <w:pPr>
              <w:widowControl/>
              <w:ind w:firstLine="952" w:firstLineChars="397"/>
              <w:rPr>
                <w:rFonts w:ascii="仿宋" w:hAnsi="仿宋" w:eastAsia="仿宋"/>
                <w:sz w:val="24"/>
                <w:szCs w:val="40"/>
              </w:rPr>
            </w:pPr>
            <w:r>
              <w:rPr>
                <w:rFonts w:hint="eastAsia" w:ascii="仿宋" w:hAnsi="仿宋" w:eastAsia="仿宋"/>
                <w:sz w:val="24"/>
                <w:szCs w:val="40"/>
              </w:rPr>
              <w:t>硕士科学学位研究生：2.0学分</w:t>
            </w:r>
          </w:p>
          <w:p w14:paraId="338322E7">
            <w:pPr>
              <w:widowControl/>
              <w:ind w:firstLine="952" w:firstLineChars="397"/>
              <w:rPr>
                <w:rFonts w:ascii="仿宋" w:hAnsi="仿宋" w:eastAsia="仿宋"/>
                <w:sz w:val="15"/>
                <w:szCs w:val="21"/>
              </w:rPr>
            </w:pPr>
            <w:r>
              <w:rPr>
                <w:rFonts w:hint="eastAsia" w:ascii="仿宋" w:hAnsi="仿宋" w:eastAsia="仿宋"/>
                <w:sz w:val="24"/>
                <w:szCs w:val="40"/>
              </w:rPr>
              <w:t>硕士专业学位研究生：鼓励参加学术活动</w:t>
            </w:r>
          </w:p>
        </w:tc>
        <w:tc>
          <w:tcPr>
            <w:tcW w:w="7793" w:type="dxa"/>
            <w:gridSpan w:val="5"/>
            <w:tcBorders>
              <w:top w:val="single" w:color="auto" w:sz="12" w:space="0"/>
              <w:left w:val="single" w:color="auto" w:sz="4" w:space="0"/>
              <w:bottom w:val="single" w:color="auto" w:sz="12" w:space="0"/>
              <w:right w:val="single" w:color="auto" w:sz="12" w:space="0"/>
            </w:tcBorders>
          </w:tcPr>
          <w:p w14:paraId="6557FF7E">
            <w:pPr>
              <w:widowControl/>
              <w:rPr>
                <w:rFonts w:ascii="仿宋" w:hAnsi="仿宋" w:eastAsia="仿宋"/>
                <w:b/>
                <w:sz w:val="24"/>
                <w:szCs w:val="40"/>
              </w:rPr>
            </w:pPr>
          </w:p>
          <w:p w14:paraId="24CBEC0D">
            <w:pPr>
              <w:widowControl/>
              <w:rPr>
                <w:rFonts w:ascii="仿宋" w:hAnsi="仿宋" w:eastAsia="仿宋"/>
                <w:b/>
                <w:sz w:val="24"/>
                <w:szCs w:val="40"/>
              </w:rPr>
            </w:pPr>
            <w:r>
              <w:rPr>
                <w:rFonts w:hint="eastAsia" w:ascii="仿宋" w:hAnsi="仿宋" w:eastAsia="仿宋"/>
                <w:b/>
                <w:sz w:val="24"/>
                <w:szCs w:val="40"/>
              </w:rPr>
              <w:t>2</w:t>
            </w:r>
            <w:r>
              <w:rPr>
                <w:rFonts w:ascii="仿宋" w:hAnsi="仿宋" w:eastAsia="仿宋"/>
                <w:b/>
                <w:sz w:val="24"/>
                <w:szCs w:val="40"/>
              </w:rPr>
              <w:t>.</w:t>
            </w:r>
            <w:r>
              <w:rPr>
                <w:rFonts w:hint="eastAsia" w:ascii="仿宋" w:hAnsi="仿宋" w:eastAsia="仿宋"/>
                <w:b/>
                <w:sz w:val="24"/>
                <w:szCs w:val="40"/>
              </w:rPr>
              <w:t>学分折算标准</w:t>
            </w:r>
          </w:p>
          <w:p w14:paraId="3E2B6EF0">
            <w:pPr>
              <w:widowControl/>
              <w:spacing w:line="240" w:lineRule="exact"/>
              <w:rPr>
                <w:rFonts w:ascii="仿宋" w:hAnsi="仿宋" w:eastAsia="仿宋"/>
                <w:sz w:val="24"/>
                <w:szCs w:val="40"/>
              </w:rPr>
            </w:pPr>
            <w:r>
              <w:rPr>
                <w:rFonts w:hint="eastAsia" w:ascii="仿宋" w:hAnsi="仿宋" w:eastAsia="仿宋"/>
                <w:sz w:val="24"/>
                <w:szCs w:val="40"/>
              </w:rPr>
              <w:t>参加学校或院系组织的学术活动：0.2学分/次</w:t>
            </w:r>
          </w:p>
          <w:p w14:paraId="234BBA37">
            <w:pPr>
              <w:widowControl/>
              <w:spacing w:line="240" w:lineRule="exact"/>
              <w:rPr>
                <w:rFonts w:ascii="仿宋" w:hAnsi="仿宋" w:eastAsia="仿宋"/>
                <w:sz w:val="24"/>
                <w:szCs w:val="40"/>
              </w:rPr>
            </w:pPr>
            <w:r>
              <w:rPr>
                <w:rFonts w:hint="eastAsia" w:ascii="仿宋" w:hAnsi="仿宋" w:eastAsia="仿宋"/>
                <w:sz w:val="24"/>
                <w:szCs w:val="40"/>
              </w:rPr>
              <w:t>在校或院系组织的学术会议上作学术报告：1.0学分/次</w:t>
            </w:r>
          </w:p>
          <w:p w14:paraId="2B339F55">
            <w:pPr>
              <w:widowControl/>
              <w:spacing w:line="240" w:lineRule="exact"/>
              <w:rPr>
                <w:rFonts w:ascii="仿宋" w:hAnsi="仿宋" w:eastAsia="仿宋"/>
                <w:sz w:val="24"/>
                <w:szCs w:val="40"/>
              </w:rPr>
            </w:pPr>
            <w:r>
              <w:rPr>
                <w:rFonts w:hint="eastAsia" w:ascii="仿宋" w:hAnsi="仿宋" w:eastAsia="仿宋"/>
                <w:sz w:val="24"/>
                <w:szCs w:val="40"/>
              </w:rPr>
              <w:t>参加全国或地区性学术会议：0.5学分/次</w:t>
            </w:r>
          </w:p>
          <w:p w14:paraId="76744110">
            <w:pPr>
              <w:widowControl/>
              <w:spacing w:line="240" w:lineRule="exact"/>
              <w:rPr>
                <w:rFonts w:ascii="仿宋" w:hAnsi="仿宋" w:eastAsia="仿宋"/>
                <w:sz w:val="24"/>
                <w:szCs w:val="40"/>
              </w:rPr>
            </w:pPr>
            <w:r>
              <w:rPr>
                <w:rFonts w:hint="eastAsia" w:ascii="仿宋" w:hAnsi="仿宋" w:eastAsia="仿宋"/>
                <w:sz w:val="24"/>
                <w:szCs w:val="40"/>
              </w:rPr>
              <w:t>在全国性或地区性学术会议上作论文墙展示：1.0学分/次</w:t>
            </w:r>
          </w:p>
          <w:p w14:paraId="64F10410">
            <w:pPr>
              <w:widowControl/>
              <w:spacing w:line="240" w:lineRule="exact"/>
              <w:rPr>
                <w:rFonts w:ascii="仿宋" w:hAnsi="仿宋" w:eastAsia="仿宋"/>
                <w:sz w:val="24"/>
                <w:szCs w:val="40"/>
              </w:rPr>
            </w:pPr>
            <w:r>
              <w:rPr>
                <w:rFonts w:hint="eastAsia" w:ascii="仿宋" w:hAnsi="仿宋" w:eastAsia="仿宋"/>
                <w:sz w:val="24"/>
                <w:szCs w:val="40"/>
              </w:rPr>
              <w:t>在全国性或地区性学术会议上作学术报告：2.0学分/次</w:t>
            </w:r>
          </w:p>
          <w:p w14:paraId="0D35C065">
            <w:pPr>
              <w:widowControl/>
              <w:spacing w:line="240" w:lineRule="exact"/>
              <w:rPr>
                <w:rFonts w:ascii="仿宋" w:hAnsi="仿宋" w:eastAsia="仿宋"/>
                <w:sz w:val="24"/>
                <w:szCs w:val="40"/>
              </w:rPr>
            </w:pPr>
            <w:r>
              <w:rPr>
                <w:rFonts w:hint="eastAsia" w:ascii="仿宋" w:hAnsi="仿宋" w:eastAsia="仿宋"/>
                <w:sz w:val="24"/>
                <w:szCs w:val="40"/>
              </w:rPr>
              <w:t>参加国际学术会议：1.0学分/次</w:t>
            </w:r>
          </w:p>
          <w:p w14:paraId="6222895A">
            <w:pPr>
              <w:widowControl/>
              <w:spacing w:line="240" w:lineRule="exact"/>
              <w:rPr>
                <w:rFonts w:ascii="仿宋" w:hAnsi="仿宋" w:eastAsia="仿宋"/>
                <w:sz w:val="24"/>
                <w:szCs w:val="40"/>
              </w:rPr>
            </w:pPr>
            <w:r>
              <w:rPr>
                <w:rFonts w:hint="eastAsia" w:ascii="仿宋" w:hAnsi="仿宋" w:eastAsia="仿宋"/>
                <w:sz w:val="24"/>
                <w:szCs w:val="40"/>
              </w:rPr>
              <w:t>在国际性学术会议上作论文墙展示：1.5学分/次</w:t>
            </w:r>
          </w:p>
          <w:p w14:paraId="61FC3768">
            <w:pPr>
              <w:widowControl/>
              <w:spacing w:line="240" w:lineRule="exact"/>
              <w:jc w:val="left"/>
              <w:rPr>
                <w:rFonts w:ascii="仿宋" w:hAnsi="仿宋" w:eastAsia="仿宋"/>
                <w:sz w:val="24"/>
                <w:szCs w:val="40"/>
              </w:rPr>
            </w:pPr>
            <w:r>
              <w:rPr>
                <w:rFonts w:hint="eastAsia" w:ascii="仿宋" w:hAnsi="仿宋" w:eastAsia="仿宋"/>
                <w:sz w:val="24"/>
                <w:szCs w:val="40"/>
              </w:rPr>
              <w:t>在国际学术会议上作学术报告：3.0学分/次</w:t>
            </w:r>
          </w:p>
        </w:tc>
      </w:tr>
    </w:tbl>
    <w:p w14:paraId="0476427A">
      <w:pPr>
        <w:widowControl/>
        <w:jc w:val="left"/>
        <w:rPr>
          <w:sz w:val="30"/>
        </w:rPr>
        <w:sectPr>
          <w:footerReference r:id="rId9" w:type="default"/>
          <w:pgSz w:w="16838" w:h="11906" w:orient="landscape"/>
          <w:pgMar w:top="1701" w:right="1440" w:bottom="1701" w:left="1440" w:header="851" w:footer="992" w:gutter="0"/>
          <w:pgNumType w:fmt="decimal"/>
          <w:cols w:space="425" w:num="1"/>
          <w:titlePg/>
          <w:docGrid w:type="linesAndChars" w:linePitch="312" w:charSpace="0"/>
        </w:sectPr>
      </w:pPr>
    </w:p>
    <w:p w14:paraId="78EA547E">
      <w:pPr>
        <w:tabs>
          <w:tab w:val="left" w:pos="860"/>
          <w:tab w:val="left" w:pos="4714"/>
          <w:tab w:val="left" w:pos="8850"/>
        </w:tabs>
        <w:spacing w:line="360" w:lineRule="auto"/>
        <w:jc w:val="center"/>
        <w:rPr>
          <w:rFonts w:ascii="华文中宋" w:hAnsi="华文中宋" w:eastAsia="华文中宋"/>
          <w:bCs/>
          <w:sz w:val="36"/>
          <w:szCs w:val="36"/>
        </w:rPr>
      </w:pPr>
      <w:r>
        <w:rPr>
          <w:rFonts w:hint="eastAsia" w:ascii="华文中宋" w:hAnsi="华文中宋" w:eastAsia="华文中宋"/>
          <w:bCs/>
          <w:sz w:val="36"/>
          <w:szCs w:val="36"/>
        </w:rPr>
        <w:t>研究生答辩资格审核表</w:t>
      </w:r>
    </w:p>
    <w:p w14:paraId="50B86A9F">
      <w:pPr>
        <w:widowControl/>
        <w:jc w:val="center"/>
        <w:rPr>
          <w:b/>
          <w:sz w:val="32"/>
          <w:szCs w:val="36"/>
        </w:rPr>
      </w:pPr>
      <w:r>
        <w:rPr>
          <w:rFonts w:hint="eastAsia"/>
          <w:b/>
          <w:sz w:val="32"/>
          <w:szCs w:val="36"/>
        </w:rPr>
        <w:t>专业学位博士研究生</w:t>
      </w:r>
    </w:p>
    <w:p w14:paraId="4DDF318C">
      <w:pPr>
        <w:widowControl/>
        <w:jc w:val="center"/>
        <w:rPr>
          <w:b/>
          <w:sz w:val="24"/>
          <w:szCs w:val="24"/>
        </w:rPr>
      </w:pPr>
    </w:p>
    <w:tbl>
      <w:tblPr>
        <w:tblStyle w:val="6"/>
        <w:tblW w:w="850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50"/>
        <w:gridCol w:w="851"/>
        <w:gridCol w:w="1555"/>
        <w:gridCol w:w="1265"/>
        <w:gridCol w:w="1432"/>
        <w:gridCol w:w="2551"/>
      </w:tblGrid>
      <w:tr w14:paraId="2B04A9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1701" w:type="dxa"/>
            <w:gridSpan w:val="2"/>
            <w:vAlign w:val="center"/>
          </w:tcPr>
          <w:p w14:paraId="067CB542">
            <w:pPr>
              <w:pStyle w:val="16"/>
              <w:framePr w:wrap="auto" w:vAnchor="margin" w:hAnchor="text" w:yAlign="inline"/>
              <w:jc w:val="center"/>
              <w:rPr>
                <w:rFonts w:ascii="仿宋" w:hAnsi="仿宋" w:eastAsia="仿宋"/>
                <w:sz w:val="24"/>
                <w:szCs w:val="28"/>
              </w:rPr>
            </w:pPr>
            <w:r>
              <w:rPr>
                <w:rFonts w:hint="eastAsia" w:ascii="仿宋" w:hAnsi="仿宋" w:eastAsia="仿宋" w:cs="仿宋"/>
                <w:sz w:val="24"/>
                <w:szCs w:val="24"/>
                <w:lang w:val="zh-TW"/>
              </w:rPr>
              <w:t>学生</w:t>
            </w:r>
            <w:r>
              <w:rPr>
                <w:rFonts w:ascii="仿宋" w:hAnsi="仿宋" w:eastAsia="仿宋" w:cs="仿宋"/>
                <w:sz w:val="24"/>
                <w:szCs w:val="24"/>
                <w:lang w:val="zh-TW" w:eastAsia="zh-TW"/>
              </w:rPr>
              <w:t>姓名</w:t>
            </w:r>
          </w:p>
        </w:tc>
        <w:tc>
          <w:tcPr>
            <w:tcW w:w="1555" w:type="dxa"/>
            <w:vAlign w:val="center"/>
          </w:tcPr>
          <w:p w14:paraId="79425FF1">
            <w:pPr>
              <w:rPr>
                <w:rFonts w:ascii="仿宋" w:hAnsi="仿宋" w:eastAsia="仿宋"/>
                <w:sz w:val="24"/>
                <w:szCs w:val="28"/>
              </w:rPr>
            </w:pPr>
            <w:r>
              <w:rPr>
                <w:rFonts w:hint="eastAsia" w:ascii="仿宋" w:hAnsi="仿宋" w:eastAsia="仿宋" w:cs="仿宋"/>
                <w:lang w:eastAsia="zh-CN"/>
              </w:rPr>
              <w:t>付亮</w:t>
            </w:r>
          </w:p>
        </w:tc>
        <w:tc>
          <w:tcPr>
            <w:tcW w:w="1265" w:type="dxa"/>
            <w:vAlign w:val="center"/>
          </w:tcPr>
          <w:p w14:paraId="02679EE2">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学号</w:t>
            </w:r>
          </w:p>
        </w:tc>
        <w:tc>
          <w:tcPr>
            <w:tcW w:w="3983" w:type="dxa"/>
            <w:gridSpan w:val="2"/>
            <w:vAlign w:val="center"/>
          </w:tcPr>
          <w:p w14:paraId="5C47012B">
            <w:pPr>
              <w:rPr>
                <w:rFonts w:ascii="仿宋" w:hAnsi="仿宋" w:eastAsia="仿宋"/>
                <w:sz w:val="24"/>
                <w:szCs w:val="28"/>
              </w:rPr>
            </w:pPr>
            <w:r>
              <w:rPr>
                <w:rFonts w:hint="default" w:ascii="Times New Roman" w:hAnsi="Times New Roman" w:eastAsia="宋体" w:cs="Times New Roman"/>
                <w:sz w:val="24"/>
                <w:szCs w:val="24"/>
              </w:rPr>
              <w:t>132017100062</w:t>
            </w:r>
          </w:p>
        </w:tc>
      </w:tr>
      <w:tr w14:paraId="535639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vAlign w:val="center"/>
          </w:tcPr>
          <w:p w14:paraId="6CF63D15">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学科专业</w:t>
            </w:r>
          </w:p>
        </w:tc>
        <w:tc>
          <w:tcPr>
            <w:tcW w:w="1555" w:type="dxa"/>
            <w:vAlign w:val="center"/>
          </w:tcPr>
          <w:p w14:paraId="3D9243BE">
            <w:pPr>
              <w:rPr>
                <w:rFonts w:ascii="仿宋" w:hAnsi="仿宋" w:eastAsia="仿宋"/>
                <w:sz w:val="24"/>
                <w:szCs w:val="28"/>
              </w:rPr>
            </w:pPr>
            <w:r>
              <w:rPr>
                <w:rFonts w:hint="default" w:ascii="Times New Roman" w:hAnsi="Times New Roman" w:eastAsia="仿宋" w:cs="Times New Roman"/>
                <w:lang w:eastAsia="zh-CN"/>
              </w:rPr>
              <w:t>内科学（传染病）</w:t>
            </w:r>
          </w:p>
        </w:tc>
        <w:tc>
          <w:tcPr>
            <w:tcW w:w="1265" w:type="dxa"/>
            <w:vAlign w:val="center"/>
          </w:tcPr>
          <w:p w14:paraId="2F3DA644">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学位类型</w:t>
            </w:r>
          </w:p>
        </w:tc>
        <w:tc>
          <w:tcPr>
            <w:tcW w:w="3983" w:type="dxa"/>
            <w:gridSpan w:val="2"/>
            <w:vAlign w:val="center"/>
          </w:tcPr>
          <w:p w14:paraId="6B205B2A">
            <w:pPr>
              <w:pStyle w:val="16"/>
              <w:framePr w:wrap="auto" w:vAnchor="margin" w:hAnchor="text" w:yAlign="inline"/>
              <w:jc w:val="left"/>
              <w:rPr>
                <w:rFonts w:ascii="仿宋" w:hAnsi="仿宋" w:eastAsia="仿宋"/>
                <w:sz w:val="24"/>
                <w:szCs w:val="24"/>
              </w:rPr>
            </w:pPr>
            <w:r>
              <w:rPr>
                <w:rFonts w:hint="eastAsia" w:ascii="仿宋" w:hAnsi="仿宋" w:eastAsia="仿宋" w:cs="仿宋"/>
                <w:sz w:val="24"/>
                <w:szCs w:val="24"/>
                <w:lang w:eastAsia="zh-CN"/>
              </w:rPr>
              <w:t>☑</w:t>
            </w:r>
            <w:r>
              <w:rPr>
                <w:rFonts w:ascii="仿宋" w:hAnsi="仿宋" w:eastAsia="仿宋" w:cs="仿宋"/>
                <w:sz w:val="24"/>
                <w:szCs w:val="24"/>
                <w:lang w:val="zh-TW" w:eastAsia="zh-TW"/>
              </w:rPr>
              <w:t>博士</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硕士</w:t>
            </w:r>
            <w:r>
              <w:rPr>
                <w:rFonts w:ascii="仿宋" w:hAnsi="仿宋" w:eastAsia="仿宋" w:cs="仿宋"/>
                <w:sz w:val="24"/>
                <w:szCs w:val="24"/>
                <w:lang w:val="zh-TW"/>
              </w:rPr>
              <w:t xml:space="preserve"> </w:t>
            </w:r>
            <w:r>
              <w:rPr>
                <w:rFonts w:hint="eastAsia" w:ascii="仿宋" w:hAnsi="仿宋" w:eastAsia="仿宋" w:cs="仿宋"/>
                <w:sz w:val="24"/>
                <w:szCs w:val="24"/>
                <w:lang w:eastAsia="zh-CN"/>
              </w:rPr>
              <w:t>☑</w:t>
            </w:r>
            <w:r>
              <w:rPr>
                <w:rFonts w:ascii="仿宋" w:hAnsi="仿宋" w:eastAsia="仿宋" w:cs="仿宋"/>
                <w:sz w:val="24"/>
                <w:szCs w:val="24"/>
              </w:rPr>
              <w:t xml:space="preserve"> </w:t>
            </w:r>
            <w:r>
              <w:rPr>
                <w:rFonts w:ascii="仿宋" w:hAnsi="仿宋" w:eastAsia="仿宋" w:cs="仿宋"/>
                <w:sz w:val="24"/>
                <w:szCs w:val="24"/>
                <w:lang w:val="zh-TW" w:eastAsia="zh-TW"/>
              </w:rPr>
              <w:t>专业型</w:t>
            </w:r>
            <w:r>
              <w:rPr>
                <w:rFonts w:ascii="仿宋" w:hAnsi="仿宋" w:eastAsia="仿宋" w:cs="仿宋"/>
                <w:sz w:val="24"/>
                <w:szCs w:val="24"/>
                <w:lang w:val="zh-TW"/>
              </w:rPr>
              <w:t xml:space="preserve"> </w:t>
            </w:r>
            <w:r>
              <w:rPr>
                <w:rFonts w:hint="eastAsia" w:ascii="仿宋" w:hAnsi="仿宋" w:eastAsia="仿宋" w:cs="仿宋"/>
                <w:sz w:val="24"/>
                <w:szCs w:val="24"/>
              </w:rPr>
              <w:t>□</w:t>
            </w:r>
            <w:r>
              <w:rPr>
                <w:rFonts w:ascii="仿宋" w:hAnsi="仿宋" w:eastAsia="仿宋" w:cs="仿宋"/>
                <w:sz w:val="24"/>
                <w:szCs w:val="24"/>
                <w:lang w:val="zh-TW" w:eastAsia="zh-TW"/>
              </w:rPr>
              <w:t>学术型</w:t>
            </w:r>
          </w:p>
        </w:tc>
      </w:tr>
      <w:tr w14:paraId="089ABA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bottom w:val="single" w:color="auto" w:sz="12" w:space="0"/>
            </w:tcBorders>
            <w:vAlign w:val="center"/>
          </w:tcPr>
          <w:p w14:paraId="2DEE2B43">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导师姓名</w:t>
            </w:r>
          </w:p>
        </w:tc>
        <w:tc>
          <w:tcPr>
            <w:tcW w:w="1555" w:type="dxa"/>
            <w:tcBorders>
              <w:bottom w:val="single" w:color="auto" w:sz="12" w:space="0"/>
            </w:tcBorders>
            <w:vAlign w:val="center"/>
          </w:tcPr>
          <w:p w14:paraId="24FE6549">
            <w:pPr>
              <w:rPr>
                <w:rFonts w:ascii="仿宋" w:hAnsi="仿宋" w:eastAsia="仿宋"/>
                <w:sz w:val="24"/>
                <w:szCs w:val="28"/>
              </w:rPr>
            </w:pPr>
            <w:r>
              <w:rPr>
                <w:rFonts w:hint="eastAsia" w:ascii="仿宋" w:hAnsi="仿宋" w:eastAsia="仿宋" w:cs="仿宋"/>
                <w:lang w:eastAsia="zh-CN"/>
              </w:rPr>
              <w:t>唐神结</w:t>
            </w:r>
          </w:p>
        </w:tc>
        <w:tc>
          <w:tcPr>
            <w:tcW w:w="1265" w:type="dxa"/>
            <w:tcBorders>
              <w:bottom w:val="single" w:color="auto" w:sz="12" w:space="0"/>
            </w:tcBorders>
            <w:vAlign w:val="center"/>
          </w:tcPr>
          <w:p w14:paraId="4E8060FC">
            <w:pPr>
              <w:pStyle w:val="16"/>
              <w:framePr w:wrap="auto" w:vAnchor="margin" w:hAnchor="text" w:yAlign="inline"/>
              <w:jc w:val="center"/>
              <w:rPr>
                <w:rFonts w:ascii="仿宋" w:hAnsi="仿宋" w:eastAsia="仿宋"/>
                <w:sz w:val="24"/>
                <w:szCs w:val="28"/>
              </w:rPr>
            </w:pPr>
            <w:r>
              <w:rPr>
                <w:rFonts w:ascii="仿宋" w:hAnsi="仿宋" w:eastAsia="仿宋" w:cs="仿宋"/>
                <w:sz w:val="24"/>
                <w:szCs w:val="24"/>
                <w:lang w:val="zh-TW" w:eastAsia="zh-TW"/>
              </w:rPr>
              <w:t>培养单位</w:t>
            </w:r>
          </w:p>
        </w:tc>
        <w:tc>
          <w:tcPr>
            <w:tcW w:w="3983" w:type="dxa"/>
            <w:gridSpan w:val="2"/>
            <w:tcBorders>
              <w:bottom w:val="single" w:color="auto" w:sz="12" w:space="0"/>
            </w:tcBorders>
            <w:vAlign w:val="center"/>
          </w:tcPr>
          <w:p w14:paraId="2E15779E">
            <w:pPr>
              <w:rPr>
                <w:rFonts w:ascii="仿宋" w:hAnsi="仿宋" w:eastAsia="仿宋"/>
                <w:sz w:val="24"/>
                <w:szCs w:val="28"/>
              </w:rPr>
            </w:pPr>
            <w:r>
              <w:rPr>
                <w:rFonts w:hint="default" w:ascii="Times New Roman" w:hAnsi="Times New Roman" w:eastAsia="仿宋" w:cs="Times New Roman"/>
                <w:lang w:eastAsia="zh-CN"/>
              </w:rPr>
              <w:t>首都医科大学附属北京胸科医院（第十临床医学院）</w:t>
            </w:r>
          </w:p>
        </w:tc>
      </w:tr>
      <w:tr w14:paraId="64DD9D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12" w:space="0"/>
              <w:left w:val="single" w:color="auto" w:sz="12" w:space="0"/>
              <w:bottom w:val="single" w:color="auto" w:sz="6" w:space="0"/>
              <w:right w:val="single" w:color="auto" w:sz="6" w:space="0"/>
            </w:tcBorders>
            <w:vAlign w:val="center"/>
          </w:tcPr>
          <w:p w14:paraId="32F53D06">
            <w:pPr>
              <w:jc w:val="center"/>
              <w:rPr>
                <w:rFonts w:ascii="仿宋" w:hAnsi="仿宋" w:eastAsia="仿宋"/>
                <w:b/>
                <w:sz w:val="24"/>
                <w:szCs w:val="24"/>
              </w:rPr>
            </w:pPr>
            <w:r>
              <w:rPr>
                <w:rFonts w:hint="eastAsia" w:ascii="仿宋" w:hAnsi="仿宋" w:eastAsia="仿宋"/>
                <w:b/>
                <w:sz w:val="24"/>
                <w:szCs w:val="24"/>
              </w:rPr>
              <w:t>培养内容</w:t>
            </w:r>
          </w:p>
        </w:tc>
        <w:tc>
          <w:tcPr>
            <w:tcW w:w="4252" w:type="dxa"/>
            <w:gridSpan w:val="3"/>
            <w:tcBorders>
              <w:top w:val="single" w:color="auto" w:sz="12" w:space="0"/>
              <w:left w:val="single" w:color="auto" w:sz="6" w:space="0"/>
              <w:bottom w:val="single" w:color="auto" w:sz="6" w:space="0"/>
              <w:right w:val="single" w:color="auto" w:sz="6" w:space="0"/>
            </w:tcBorders>
            <w:vAlign w:val="center"/>
          </w:tcPr>
          <w:p w14:paraId="0532E6ED">
            <w:pPr>
              <w:jc w:val="center"/>
              <w:rPr>
                <w:rFonts w:ascii="仿宋" w:hAnsi="仿宋" w:eastAsia="仿宋"/>
                <w:b/>
                <w:sz w:val="24"/>
                <w:szCs w:val="24"/>
              </w:rPr>
            </w:pPr>
            <w:r>
              <w:rPr>
                <w:rFonts w:hint="eastAsia" w:ascii="仿宋" w:hAnsi="仿宋" w:eastAsia="仿宋"/>
                <w:b/>
                <w:sz w:val="24"/>
                <w:szCs w:val="24"/>
              </w:rPr>
              <w:t>要求</w:t>
            </w:r>
          </w:p>
        </w:tc>
        <w:tc>
          <w:tcPr>
            <w:tcW w:w="2551" w:type="dxa"/>
            <w:tcBorders>
              <w:top w:val="single" w:color="auto" w:sz="12" w:space="0"/>
              <w:left w:val="single" w:color="auto" w:sz="6" w:space="0"/>
              <w:bottom w:val="single" w:color="auto" w:sz="6" w:space="0"/>
              <w:right w:val="single" w:color="auto" w:sz="12" w:space="0"/>
            </w:tcBorders>
            <w:vAlign w:val="center"/>
          </w:tcPr>
          <w:p w14:paraId="0CD1BA1D">
            <w:pPr>
              <w:jc w:val="center"/>
              <w:rPr>
                <w:rFonts w:ascii="仿宋" w:hAnsi="仿宋" w:eastAsia="仿宋"/>
                <w:b/>
                <w:sz w:val="24"/>
                <w:szCs w:val="28"/>
              </w:rPr>
            </w:pPr>
            <w:r>
              <w:rPr>
                <w:rFonts w:hint="eastAsia" w:ascii="仿宋" w:hAnsi="仿宋" w:eastAsia="仿宋"/>
                <w:b/>
                <w:sz w:val="24"/>
                <w:szCs w:val="24"/>
              </w:rPr>
              <w:t>审核结果</w:t>
            </w:r>
          </w:p>
        </w:tc>
      </w:tr>
      <w:tr w14:paraId="2073D5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24FDEB06">
            <w:pPr>
              <w:jc w:val="center"/>
              <w:rPr>
                <w:rFonts w:ascii="仿宋" w:hAnsi="仿宋" w:eastAsia="仿宋"/>
                <w:sz w:val="24"/>
                <w:szCs w:val="24"/>
              </w:rPr>
            </w:pPr>
            <w:r>
              <w:rPr>
                <w:rFonts w:hint="eastAsia" w:ascii="仿宋" w:hAnsi="仿宋" w:eastAsia="仿宋"/>
                <w:sz w:val="24"/>
                <w:szCs w:val="24"/>
              </w:rPr>
              <w:t>培养</w:t>
            </w:r>
            <w:r>
              <w:rPr>
                <w:rFonts w:ascii="仿宋" w:hAnsi="仿宋" w:eastAsia="仿宋"/>
                <w:sz w:val="24"/>
                <w:szCs w:val="24"/>
              </w:rPr>
              <w:t>计划</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3C2E0073">
            <w:pPr>
              <w:jc w:val="center"/>
              <w:rPr>
                <w:rFonts w:ascii="仿宋" w:hAnsi="仿宋" w:eastAsia="仿宋"/>
                <w:sz w:val="24"/>
                <w:szCs w:val="24"/>
              </w:rPr>
            </w:pPr>
            <w:r>
              <w:rPr>
                <w:rFonts w:hint="eastAsia" w:ascii="仿宋" w:hAnsi="仿宋" w:eastAsia="仿宋"/>
                <w:sz w:val="24"/>
                <w:szCs w:val="24"/>
              </w:rPr>
              <w:t>完成</w:t>
            </w:r>
            <w:r>
              <w:rPr>
                <w:rFonts w:ascii="仿宋" w:hAnsi="仿宋" w:eastAsia="仿宋"/>
                <w:sz w:val="24"/>
                <w:szCs w:val="24"/>
              </w:rPr>
              <w:t>培养计划填写</w:t>
            </w:r>
          </w:p>
        </w:tc>
        <w:tc>
          <w:tcPr>
            <w:tcW w:w="2551" w:type="dxa"/>
            <w:tcBorders>
              <w:top w:val="single" w:color="auto" w:sz="6" w:space="0"/>
              <w:left w:val="single" w:color="auto" w:sz="6" w:space="0"/>
              <w:bottom w:val="single" w:color="auto" w:sz="6" w:space="0"/>
              <w:right w:val="single" w:color="auto" w:sz="12" w:space="0"/>
            </w:tcBorders>
            <w:vAlign w:val="center"/>
          </w:tcPr>
          <w:p w14:paraId="4BD40941">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760EE0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16CEEBF9">
            <w:pPr>
              <w:jc w:val="center"/>
              <w:rPr>
                <w:rFonts w:ascii="仿宋" w:hAnsi="仿宋" w:eastAsia="仿宋"/>
                <w:sz w:val="24"/>
                <w:szCs w:val="24"/>
              </w:rPr>
            </w:pPr>
            <w:r>
              <w:rPr>
                <w:rFonts w:hint="eastAsia" w:ascii="仿宋" w:hAnsi="仿宋" w:eastAsia="仿宋"/>
                <w:sz w:val="24"/>
                <w:szCs w:val="24"/>
              </w:rPr>
              <w:t>课程成绩</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1B3F663B">
            <w:pPr>
              <w:jc w:val="center"/>
              <w:rPr>
                <w:rFonts w:ascii="仿宋" w:hAnsi="仿宋" w:eastAsia="仿宋"/>
                <w:sz w:val="24"/>
                <w:szCs w:val="24"/>
              </w:rPr>
            </w:pPr>
            <w:r>
              <w:rPr>
                <w:rFonts w:hint="eastAsia" w:ascii="仿宋" w:hAnsi="仿宋" w:eastAsia="仿宋"/>
                <w:sz w:val="24"/>
                <w:szCs w:val="24"/>
              </w:rPr>
              <w:t>课程成绩</w:t>
            </w:r>
            <w:r>
              <w:rPr>
                <w:rFonts w:ascii="仿宋" w:hAnsi="仿宋" w:eastAsia="仿宋"/>
                <w:sz w:val="24"/>
                <w:szCs w:val="24"/>
              </w:rPr>
              <w:t>合格</w:t>
            </w:r>
          </w:p>
        </w:tc>
        <w:tc>
          <w:tcPr>
            <w:tcW w:w="2551" w:type="dxa"/>
            <w:tcBorders>
              <w:top w:val="single" w:color="auto" w:sz="6" w:space="0"/>
              <w:left w:val="single" w:color="auto" w:sz="6" w:space="0"/>
              <w:bottom w:val="single" w:color="auto" w:sz="6" w:space="0"/>
              <w:right w:val="single" w:color="auto" w:sz="12" w:space="0"/>
            </w:tcBorders>
            <w:vAlign w:val="center"/>
          </w:tcPr>
          <w:p w14:paraId="6A41B6CE">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5721E8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33CFAB31">
            <w:pPr>
              <w:jc w:val="center"/>
              <w:rPr>
                <w:rFonts w:ascii="仿宋" w:hAnsi="仿宋" w:eastAsia="仿宋"/>
                <w:sz w:val="24"/>
                <w:szCs w:val="24"/>
              </w:rPr>
            </w:pPr>
            <w:r>
              <w:rPr>
                <w:rFonts w:hint="eastAsia" w:ascii="仿宋" w:hAnsi="仿宋" w:eastAsia="仿宋"/>
                <w:sz w:val="24"/>
                <w:szCs w:val="24"/>
              </w:rPr>
              <w:t>开题考核</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40E7410E">
            <w:pPr>
              <w:jc w:val="center"/>
              <w:rPr>
                <w:rFonts w:ascii="仿宋" w:hAnsi="仿宋" w:eastAsia="仿宋"/>
                <w:sz w:val="24"/>
                <w:szCs w:val="24"/>
              </w:rPr>
            </w:pPr>
            <w:r>
              <w:rPr>
                <w:rFonts w:hint="eastAsia" w:ascii="仿宋" w:hAnsi="仿宋" w:eastAsia="仿宋"/>
                <w:sz w:val="24"/>
                <w:szCs w:val="24"/>
              </w:rPr>
              <w:t>开题考核合格</w:t>
            </w:r>
          </w:p>
        </w:tc>
        <w:tc>
          <w:tcPr>
            <w:tcW w:w="2551" w:type="dxa"/>
            <w:tcBorders>
              <w:top w:val="single" w:color="auto" w:sz="6" w:space="0"/>
              <w:left w:val="single" w:color="auto" w:sz="6" w:space="0"/>
              <w:bottom w:val="single" w:color="auto" w:sz="6" w:space="0"/>
              <w:right w:val="single" w:color="auto" w:sz="12" w:space="0"/>
            </w:tcBorders>
            <w:vAlign w:val="center"/>
          </w:tcPr>
          <w:p w14:paraId="02B79027">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1C9415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Merge w:val="restart"/>
            <w:tcBorders>
              <w:top w:val="single" w:color="auto" w:sz="6" w:space="0"/>
              <w:left w:val="single" w:color="auto" w:sz="12" w:space="0"/>
              <w:bottom w:val="single" w:color="auto" w:sz="6" w:space="0"/>
              <w:right w:val="single" w:color="auto" w:sz="6" w:space="0"/>
            </w:tcBorders>
            <w:vAlign w:val="center"/>
          </w:tcPr>
          <w:p w14:paraId="4ADCC4A1">
            <w:pPr>
              <w:jc w:val="center"/>
              <w:rPr>
                <w:rFonts w:ascii="仿宋" w:hAnsi="仿宋" w:eastAsia="仿宋"/>
                <w:sz w:val="24"/>
                <w:szCs w:val="24"/>
              </w:rPr>
            </w:pPr>
            <w:r>
              <w:rPr>
                <w:rFonts w:hint="eastAsia" w:ascii="仿宋" w:hAnsi="仿宋" w:eastAsia="仿宋"/>
                <w:sz w:val="24"/>
                <w:szCs w:val="24"/>
              </w:rPr>
              <w:t>中期考核</w:t>
            </w:r>
          </w:p>
        </w:tc>
        <w:tc>
          <w:tcPr>
            <w:tcW w:w="851" w:type="dxa"/>
            <w:tcBorders>
              <w:top w:val="single" w:color="auto" w:sz="6" w:space="0"/>
              <w:left w:val="single" w:color="auto" w:sz="6" w:space="0"/>
              <w:bottom w:val="single" w:color="auto" w:sz="6" w:space="0"/>
              <w:right w:val="single" w:color="auto" w:sz="6" w:space="0"/>
            </w:tcBorders>
            <w:vAlign w:val="center"/>
          </w:tcPr>
          <w:p w14:paraId="12703AD8">
            <w:pPr>
              <w:jc w:val="center"/>
              <w:rPr>
                <w:rFonts w:ascii="仿宋" w:hAnsi="仿宋" w:eastAsia="仿宋"/>
                <w:sz w:val="24"/>
                <w:szCs w:val="24"/>
              </w:rPr>
            </w:pPr>
            <w:r>
              <w:rPr>
                <w:rFonts w:hint="eastAsia" w:ascii="仿宋" w:hAnsi="仿宋" w:eastAsia="仿宋"/>
                <w:sz w:val="24"/>
                <w:szCs w:val="24"/>
              </w:rPr>
              <w:t>论文中期考核</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768E2896">
            <w:pPr>
              <w:jc w:val="center"/>
              <w:rPr>
                <w:rFonts w:ascii="仿宋" w:hAnsi="仿宋" w:eastAsia="仿宋"/>
                <w:sz w:val="24"/>
                <w:szCs w:val="24"/>
              </w:rPr>
            </w:pPr>
            <w:r>
              <w:rPr>
                <w:rFonts w:hint="eastAsia" w:ascii="仿宋" w:hAnsi="仿宋" w:eastAsia="仿宋"/>
                <w:sz w:val="24"/>
                <w:szCs w:val="24"/>
              </w:rPr>
              <w:t>中期检查合格</w:t>
            </w:r>
          </w:p>
        </w:tc>
        <w:tc>
          <w:tcPr>
            <w:tcW w:w="2551" w:type="dxa"/>
            <w:tcBorders>
              <w:top w:val="single" w:color="auto" w:sz="6" w:space="0"/>
              <w:left w:val="single" w:color="auto" w:sz="6" w:space="0"/>
              <w:bottom w:val="single" w:color="auto" w:sz="6" w:space="0"/>
              <w:right w:val="single" w:color="auto" w:sz="12" w:space="0"/>
            </w:tcBorders>
            <w:vAlign w:val="center"/>
          </w:tcPr>
          <w:p w14:paraId="46B80491">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47C319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Merge w:val="continue"/>
            <w:tcBorders>
              <w:top w:val="single" w:color="auto" w:sz="6" w:space="0"/>
              <w:left w:val="single" w:color="auto" w:sz="12" w:space="0"/>
              <w:bottom w:val="single" w:color="auto" w:sz="6" w:space="0"/>
              <w:right w:val="single" w:color="auto" w:sz="6" w:space="0"/>
            </w:tcBorders>
            <w:vAlign w:val="center"/>
          </w:tcPr>
          <w:p w14:paraId="77FA6BE5">
            <w:pPr>
              <w:jc w:val="center"/>
              <w:rPr>
                <w:rFonts w:ascii="仿宋" w:hAnsi="仿宋" w:eastAsia="仿宋"/>
                <w:sz w:val="24"/>
                <w:szCs w:val="24"/>
              </w:rPr>
            </w:pPr>
          </w:p>
        </w:tc>
        <w:tc>
          <w:tcPr>
            <w:tcW w:w="851" w:type="dxa"/>
            <w:tcBorders>
              <w:top w:val="single" w:color="auto" w:sz="6" w:space="0"/>
              <w:left w:val="single" w:color="auto" w:sz="6" w:space="0"/>
              <w:bottom w:val="single" w:color="auto" w:sz="6" w:space="0"/>
              <w:right w:val="single" w:color="auto" w:sz="6" w:space="0"/>
            </w:tcBorders>
            <w:vAlign w:val="center"/>
          </w:tcPr>
          <w:p w14:paraId="5D0A2E25">
            <w:pPr>
              <w:jc w:val="center"/>
              <w:rPr>
                <w:rFonts w:ascii="仿宋" w:hAnsi="仿宋" w:eastAsia="仿宋"/>
                <w:sz w:val="24"/>
                <w:szCs w:val="24"/>
              </w:rPr>
            </w:pPr>
            <w:r>
              <w:rPr>
                <w:rFonts w:hint="eastAsia" w:ascii="仿宋" w:hAnsi="仿宋" w:eastAsia="仿宋"/>
                <w:sz w:val="24"/>
                <w:szCs w:val="24"/>
              </w:rPr>
              <w:t>思想品德考核</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6A992851">
            <w:pPr>
              <w:jc w:val="center"/>
              <w:rPr>
                <w:rFonts w:ascii="仿宋" w:hAnsi="仿宋" w:eastAsia="仿宋"/>
                <w:sz w:val="24"/>
                <w:szCs w:val="24"/>
              </w:rPr>
            </w:pPr>
            <w:r>
              <w:rPr>
                <w:rFonts w:hint="eastAsia" w:ascii="仿宋" w:hAnsi="仿宋" w:eastAsia="仿宋"/>
                <w:sz w:val="24"/>
                <w:szCs w:val="24"/>
              </w:rPr>
              <w:t>思想品德考核合格</w:t>
            </w:r>
          </w:p>
        </w:tc>
        <w:tc>
          <w:tcPr>
            <w:tcW w:w="2551" w:type="dxa"/>
            <w:tcBorders>
              <w:top w:val="single" w:color="auto" w:sz="6" w:space="0"/>
              <w:left w:val="single" w:color="auto" w:sz="6" w:space="0"/>
              <w:bottom w:val="single" w:color="auto" w:sz="6" w:space="0"/>
              <w:right w:val="single" w:color="auto" w:sz="12" w:space="0"/>
            </w:tcBorders>
            <w:vAlign w:val="center"/>
          </w:tcPr>
          <w:p w14:paraId="10AC9454">
            <w:pPr>
              <w:jc w:val="center"/>
              <w:rPr>
                <w:rFonts w:ascii="仿宋" w:hAnsi="仿宋" w:eastAsia="仿宋"/>
                <w:sz w:val="24"/>
                <w:szCs w:val="24"/>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2F73CD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22B1874A">
            <w:pPr>
              <w:jc w:val="center"/>
              <w:rPr>
                <w:rFonts w:ascii="仿宋" w:hAnsi="仿宋" w:eastAsia="仿宋"/>
                <w:sz w:val="24"/>
                <w:szCs w:val="24"/>
              </w:rPr>
            </w:pPr>
            <w:r>
              <w:rPr>
                <w:rFonts w:hint="eastAsia" w:ascii="仿宋" w:hAnsi="仿宋" w:eastAsia="仿宋"/>
                <w:sz w:val="24"/>
                <w:szCs w:val="24"/>
              </w:rPr>
              <w:t>结题报告</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0F9FEEB0">
            <w:pPr>
              <w:jc w:val="center"/>
              <w:rPr>
                <w:rFonts w:ascii="仿宋" w:hAnsi="仿宋" w:eastAsia="仿宋"/>
                <w:sz w:val="24"/>
                <w:szCs w:val="24"/>
              </w:rPr>
            </w:pPr>
            <w:r>
              <w:rPr>
                <w:rFonts w:hint="eastAsia" w:ascii="仿宋" w:hAnsi="仿宋" w:eastAsia="仿宋"/>
                <w:sz w:val="24"/>
                <w:szCs w:val="24"/>
              </w:rPr>
              <w:t>结题报告合格</w:t>
            </w:r>
          </w:p>
        </w:tc>
        <w:tc>
          <w:tcPr>
            <w:tcW w:w="2551" w:type="dxa"/>
            <w:tcBorders>
              <w:top w:val="single" w:color="auto" w:sz="6" w:space="0"/>
              <w:left w:val="single" w:color="auto" w:sz="6" w:space="0"/>
              <w:bottom w:val="single" w:color="auto" w:sz="6" w:space="0"/>
              <w:right w:val="single" w:color="auto" w:sz="12" w:space="0"/>
            </w:tcBorders>
            <w:vAlign w:val="center"/>
          </w:tcPr>
          <w:p w14:paraId="05949063">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39FB5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08922AF0">
            <w:pPr>
              <w:jc w:val="center"/>
              <w:rPr>
                <w:rFonts w:ascii="仿宋" w:hAnsi="仿宋" w:eastAsia="仿宋"/>
                <w:sz w:val="24"/>
                <w:szCs w:val="24"/>
              </w:rPr>
            </w:pPr>
            <w:r>
              <w:rPr>
                <w:rFonts w:hint="eastAsia" w:ascii="仿宋" w:hAnsi="仿宋" w:eastAsia="仿宋"/>
                <w:sz w:val="24"/>
                <w:szCs w:val="24"/>
              </w:rPr>
              <w:t>学术讲座</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6A85DD87">
            <w:pPr>
              <w:jc w:val="center"/>
              <w:rPr>
                <w:rFonts w:ascii="仿宋" w:hAnsi="仿宋" w:eastAsia="仿宋"/>
                <w:sz w:val="24"/>
                <w:szCs w:val="24"/>
              </w:rPr>
            </w:pPr>
            <w:r>
              <w:rPr>
                <w:rFonts w:hint="eastAsia" w:ascii="仿宋" w:hAnsi="仿宋" w:eastAsia="仿宋"/>
                <w:sz w:val="24"/>
                <w:szCs w:val="24"/>
              </w:rPr>
              <w:t>参加学术活动并</w:t>
            </w:r>
            <w:r>
              <w:rPr>
                <w:rFonts w:ascii="仿宋" w:hAnsi="仿宋" w:eastAsia="仿宋"/>
                <w:sz w:val="24"/>
                <w:szCs w:val="24"/>
              </w:rPr>
              <w:t>达到学分要求</w:t>
            </w:r>
          </w:p>
        </w:tc>
        <w:tc>
          <w:tcPr>
            <w:tcW w:w="2551" w:type="dxa"/>
            <w:tcBorders>
              <w:top w:val="single" w:color="auto" w:sz="6" w:space="0"/>
              <w:left w:val="single" w:color="auto" w:sz="6" w:space="0"/>
              <w:bottom w:val="single" w:color="auto" w:sz="6" w:space="0"/>
              <w:right w:val="single" w:color="auto" w:sz="12" w:space="0"/>
            </w:tcBorders>
            <w:vAlign w:val="center"/>
          </w:tcPr>
          <w:p w14:paraId="2C90618E">
            <w:pPr>
              <w:jc w:val="center"/>
              <w:rPr>
                <w:rFonts w:ascii="仿宋" w:hAnsi="仿宋" w:eastAsia="仿宋"/>
                <w:sz w:val="24"/>
                <w:szCs w:val="28"/>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312685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6" w:space="0"/>
              <w:right w:val="single" w:color="auto" w:sz="6" w:space="0"/>
            </w:tcBorders>
            <w:vAlign w:val="center"/>
          </w:tcPr>
          <w:p w14:paraId="799661F5">
            <w:pPr>
              <w:jc w:val="center"/>
              <w:rPr>
                <w:rFonts w:ascii="仿宋" w:hAnsi="仿宋" w:eastAsia="仿宋"/>
                <w:sz w:val="24"/>
                <w:szCs w:val="24"/>
              </w:rPr>
            </w:pPr>
            <w:r>
              <w:rPr>
                <w:rFonts w:hint="eastAsia" w:ascii="仿宋" w:hAnsi="仿宋" w:eastAsia="仿宋"/>
                <w:sz w:val="24"/>
                <w:szCs w:val="24"/>
              </w:rPr>
              <w:t>临床训练</w:t>
            </w:r>
          </w:p>
        </w:tc>
        <w:tc>
          <w:tcPr>
            <w:tcW w:w="4252" w:type="dxa"/>
            <w:gridSpan w:val="3"/>
            <w:tcBorders>
              <w:top w:val="single" w:color="auto" w:sz="6" w:space="0"/>
              <w:left w:val="single" w:color="auto" w:sz="6" w:space="0"/>
              <w:bottom w:val="single" w:color="auto" w:sz="6" w:space="0"/>
              <w:right w:val="single" w:color="auto" w:sz="6" w:space="0"/>
            </w:tcBorders>
            <w:vAlign w:val="center"/>
          </w:tcPr>
          <w:p w14:paraId="1938FAF4">
            <w:pPr>
              <w:jc w:val="center"/>
              <w:rPr>
                <w:rFonts w:ascii="仿宋" w:hAnsi="仿宋" w:eastAsia="仿宋"/>
                <w:sz w:val="24"/>
                <w:szCs w:val="24"/>
              </w:rPr>
            </w:pPr>
            <w:r>
              <w:rPr>
                <w:rFonts w:hint="eastAsia" w:ascii="仿宋" w:hAnsi="仿宋" w:eastAsia="仿宋"/>
                <w:sz w:val="24"/>
                <w:szCs w:val="24"/>
              </w:rPr>
              <w:t>临床训练时间不少于18个月</w:t>
            </w:r>
          </w:p>
        </w:tc>
        <w:tc>
          <w:tcPr>
            <w:tcW w:w="2551" w:type="dxa"/>
            <w:tcBorders>
              <w:top w:val="single" w:color="auto" w:sz="6" w:space="0"/>
              <w:left w:val="single" w:color="auto" w:sz="6" w:space="0"/>
              <w:bottom w:val="single" w:color="auto" w:sz="6" w:space="0"/>
              <w:right w:val="single" w:color="auto" w:sz="12" w:space="0"/>
            </w:tcBorders>
            <w:vAlign w:val="center"/>
          </w:tcPr>
          <w:p w14:paraId="3A001B5D">
            <w:pPr>
              <w:jc w:val="center"/>
              <w:rPr>
                <w:rFonts w:ascii="仿宋" w:hAnsi="仿宋" w:eastAsia="仿宋"/>
                <w:sz w:val="24"/>
                <w:szCs w:val="24"/>
              </w:rPr>
            </w:pPr>
            <w:r>
              <w:rPr>
                <w:rFonts w:hint="eastAsia" w:ascii="仿宋" w:hAnsi="仿宋" w:eastAsia="仿宋"/>
                <w:sz w:val="24"/>
                <w:szCs w:val="24"/>
                <w:lang w:eastAsia="zh-CN"/>
              </w:rPr>
              <w:t>☑</w:t>
            </w:r>
            <w:r>
              <w:rPr>
                <w:rFonts w:hint="eastAsia" w:ascii="仿宋" w:hAnsi="仿宋" w:eastAsia="仿宋"/>
                <w:sz w:val="24"/>
                <w:szCs w:val="24"/>
              </w:rPr>
              <w:t>合格□不合格</w:t>
            </w:r>
          </w:p>
        </w:tc>
      </w:tr>
      <w:tr w14:paraId="1208C2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1" w:type="dxa"/>
            <w:gridSpan w:val="2"/>
            <w:tcBorders>
              <w:top w:val="single" w:color="auto" w:sz="6" w:space="0"/>
              <w:left w:val="single" w:color="auto" w:sz="12" w:space="0"/>
              <w:bottom w:val="single" w:color="auto" w:sz="12" w:space="0"/>
              <w:right w:val="single" w:color="auto" w:sz="6" w:space="0"/>
            </w:tcBorders>
            <w:vAlign w:val="center"/>
          </w:tcPr>
          <w:p w14:paraId="2DDD04C7">
            <w:pPr>
              <w:jc w:val="center"/>
              <w:rPr>
                <w:rFonts w:ascii="仿宋" w:hAnsi="仿宋" w:eastAsia="仿宋"/>
                <w:sz w:val="24"/>
                <w:szCs w:val="24"/>
              </w:rPr>
            </w:pPr>
            <w:r>
              <w:rPr>
                <w:rFonts w:hint="eastAsia" w:ascii="仿宋" w:hAnsi="仿宋" w:eastAsia="仿宋"/>
                <w:sz w:val="24"/>
                <w:szCs w:val="24"/>
              </w:rPr>
              <w:t>临床考核</w:t>
            </w:r>
          </w:p>
        </w:tc>
        <w:tc>
          <w:tcPr>
            <w:tcW w:w="4252" w:type="dxa"/>
            <w:gridSpan w:val="3"/>
            <w:tcBorders>
              <w:top w:val="single" w:color="auto" w:sz="6" w:space="0"/>
              <w:left w:val="single" w:color="auto" w:sz="6" w:space="0"/>
              <w:bottom w:val="single" w:color="auto" w:sz="12" w:space="0"/>
              <w:right w:val="single" w:color="auto" w:sz="6" w:space="0"/>
            </w:tcBorders>
            <w:vAlign w:val="center"/>
          </w:tcPr>
          <w:p w14:paraId="130D0862">
            <w:pPr>
              <w:jc w:val="center"/>
              <w:rPr>
                <w:rFonts w:ascii="仿宋" w:hAnsi="仿宋" w:eastAsia="仿宋"/>
                <w:sz w:val="24"/>
                <w:szCs w:val="24"/>
              </w:rPr>
            </w:pPr>
            <w:r>
              <w:rPr>
                <w:rFonts w:hint="eastAsia" w:ascii="仿宋" w:hAnsi="仿宋" w:eastAsia="仿宋"/>
                <w:sz w:val="24"/>
                <w:szCs w:val="24"/>
              </w:rPr>
              <w:t>临床考核成绩合格</w:t>
            </w:r>
          </w:p>
        </w:tc>
        <w:tc>
          <w:tcPr>
            <w:tcW w:w="2551" w:type="dxa"/>
            <w:tcBorders>
              <w:top w:val="single" w:color="auto" w:sz="6" w:space="0"/>
              <w:left w:val="single" w:color="auto" w:sz="6" w:space="0"/>
              <w:bottom w:val="single" w:color="auto" w:sz="12" w:space="0"/>
              <w:right w:val="single" w:color="auto" w:sz="12" w:space="0"/>
            </w:tcBorders>
            <w:vAlign w:val="center"/>
          </w:tcPr>
          <w:p w14:paraId="76075304">
            <w:pPr>
              <w:jc w:val="center"/>
              <w:rPr>
                <w:rFonts w:ascii="仿宋" w:hAnsi="仿宋" w:eastAsia="仿宋"/>
                <w:sz w:val="24"/>
                <w:szCs w:val="24"/>
              </w:rPr>
            </w:pPr>
            <w:r>
              <w:rPr>
                <w:rFonts w:hint="eastAsia" w:ascii="仿宋" w:hAnsi="仿宋" w:eastAsia="仿宋"/>
                <w:sz w:val="24"/>
                <w:szCs w:val="24"/>
                <w:lang w:eastAsia="zh-CN"/>
              </w:rPr>
              <w:t>☑</w:t>
            </w:r>
            <w:r>
              <w:rPr>
                <w:rFonts w:hint="eastAsia" w:ascii="仿宋" w:hAnsi="仿宋" w:eastAsia="仿宋"/>
                <w:sz w:val="24"/>
                <w:szCs w:val="24"/>
              </w:rPr>
              <w:t>合格□不合格</w:t>
            </w:r>
          </w:p>
        </w:tc>
      </w:tr>
    </w:tbl>
    <w:p w14:paraId="13349A59">
      <w:pPr>
        <w:tabs>
          <w:tab w:val="left" w:pos="860"/>
          <w:tab w:val="left" w:pos="4714"/>
          <w:tab w:val="left" w:pos="8850"/>
        </w:tabs>
        <w:spacing w:line="360" w:lineRule="auto"/>
        <w:jc w:val="left"/>
        <w:rPr>
          <w:rFonts w:hint="eastAsia" w:ascii="仿宋" w:hAnsi="仿宋" w:eastAsia="仿宋"/>
          <w:sz w:val="24"/>
          <w:szCs w:val="24"/>
          <w:lang w:eastAsia="zh-CN"/>
        </w:rPr>
      </w:pPr>
      <w:r>
        <w:rPr>
          <w:rFonts w:hint="eastAsia" w:ascii="仿宋" w:hAnsi="仿宋" w:eastAsia="仿宋"/>
          <w:sz w:val="24"/>
          <w:szCs w:val="24"/>
        </w:rPr>
        <w:t>导师（或导师指导小组）签字：</w:t>
      </w:r>
      <w:r>
        <w:rPr>
          <w:rFonts w:hint="eastAsia" w:ascii="仿宋" w:hAnsi="仿宋" w:eastAsia="仿宋"/>
          <w:sz w:val="24"/>
          <w:szCs w:val="24"/>
          <w:lang w:eastAsia="zh-CN"/>
        </w:rPr>
        <w:drawing>
          <wp:inline distT="0" distB="0" distL="114300" distR="114300">
            <wp:extent cx="935990" cy="549275"/>
            <wp:effectExtent l="0" t="0" r="16510" b="3175"/>
            <wp:docPr id="17" name="图片 17" descr="唐神结 电子签字 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唐神结 电子签字 透明底"/>
                    <pic:cNvPicPr>
                      <a:picLocks noChangeAspect="1"/>
                    </pic:cNvPicPr>
                  </pic:nvPicPr>
                  <pic:blipFill>
                    <a:blip r:embed="rId12"/>
                    <a:stretch>
                      <a:fillRect/>
                    </a:stretch>
                  </pic:blipFill>
                  <pic:spPr>
                    <a:xfrm>
                      <a:off x="0" y="0"/>
                      <a:ext cx="935990" cy="549275"/>
                    </a:xfrm>
                    <a:prstGeom prst="rect">
                      <a:avLst/>
                    </a:prstGeom>
                  </pic:spPr>
                </pic:pic>
              </a:graphicData>
            </a:graphic>
          </wp:inline>
        </w:drawing>
      </w:r>
    </w:p>
    <w:p w14:paraId="64120180">
      <w:pPr>
        <w:tabs>
          <w:tab w:val="left" w:pos="860"/>
          <w:tab w:val="left" w:pos="4714"/>
          <w:tab w:val="left" w:pos="8850"/>
        </w:tabs>
        <w:spacing w:line="360" w:lineRule="auto"/>
        <w:jc w:val="left"/>
        <w:rPr>
          <w:rFonts w:hint="default" w:ascii="仿宋" w:hAnsi="仿宋" w:eastAsia="仿宋"/>
          <w:sz w:val="24"/>
          <w:szCs w:val="24"/>
          <w:lang w:val="en-US" w:eastAsia="zh-CN"/>
        </w:rPr>
      </w:pPr>
      <w:r>
        <w:rPr>
          <w:rFonts w:hint="eastAsia" w:ascii="仿宋" w:hAnsi="仿宋" w:eastAsia="仿宋"/>
          <w:sz w:val="24"/>
          <w:szCs w:val="24"/>
        </w:rPr>
        <w:t>日期：</w:t>
      </w:r>
      <w:r>
        <w:rPr>
          <w:rFonts w:hint="eastAsia" w:ascii="仿宋" w:hAnsi="仿宋" w:eastAsia="仿宋"/>
          <w:sz w:val="24"/>
          <w:szCs w:val="24"/>
          <w:lang w:val="en-US" w:eastAsia="zh-CN"/>
        </w:rPr>
        <w:t>2025-02-14</w:t>
      </w:r>
    </w:p>
    <w:p w14:paraId="21D07C0B">
      <w:pPr>
        <w:tabs>
          <w:tab w:val="left" w:pos="860"/>
          <w:tab w:val="left" w:pos="4714"/>
          <w:tab w:val="left" w:pos="8850"/>
        </w:tabs>
        <w:spacing w:line="360" w:lineRule="auto"/>
        <w:jc w:val="left"/>
        <w:rPr>
          <w:rFonts w:ascii="仿宋" w:hAnsi="仿宋" w:eastAsia="仿宋"/>
          <w:sz w:val="24"/>
          <w:szCs w:val="24"/>
        </w:rPr>
      </w:pPr>
    </w:p>
    <w:p w14:paraId="56338517">
      <w:pPr>
        <w:tabs>
          <w:tab w:val="left" w:pos="860"/>
          <w:tab w:val="left" w:pos="4714"/>
          <w:tab w:val="left" w:pos="8850"/>
        </w:tabs>
        <w:spacing w:line="360" w:lineRule="auto"/>
        <w:jc w:val="left"/>
        <w:rPr>
          <w:rFonts w:ascii="仿宋" w:hAnsi="仿宋" w:eastAsia="仿宋"/>
          <w:sz w:val="24"/>
          <w:szCs w:val="24"/>
        </w:rPr>
      </w:pPr>
      <w:r>
        <w:rPr>
          <w:rFonts w:hint="eastAsia" w:ascii="仿宋" w:hAnsi="仿宋" w:eastAsia="仿宋"/>
          <w:sz w:val="24"/>
          <w:szCs w:val="24"/>
        </w:rPr>
        <w:t>学院审核意见：（签章）</w:t>
      </w:r>
    </w:p>
    <w:p w14:paraId="1185AE0E">
      <w:pPr>
        <w:tabs>
          <w:tab w:val="left" w:pos="860"/>
          <w:tab w:val="left" w:pos="4714"/>
          <w:tab w:val="left" w:pos="8850"/>
        </w:tabs>
        <w:spacing w:line="360" w:lineRule="auto"/>
        <w:jc w:val="left"/>
        <w:rPr>
          <w:rFonts w:ascii="仿宋" w:hAnsi="仿宋" w:eastAsia="仿宋"/>
          <w:sz w:val="24"/>
          <w:szCs w:val="24"/>
        </w:rPr>
      </w:pPr>
      <w:r>
        <w:rPr>
          <w:rFonts w:hint="eastAsia" w:ascii="仿宋" w:hAnsi="仿宋" w:eastAsia="仿宋"/>
          <w:sz w:val="24"/>
          <w:szCs w:val="24"/>
        </w:rPr>
        <w:t>日期：</w:t>
      </w:r>
      <w:bookmarkStart w:id="1" w:name="_GoBack"/>
      <w:bookmarkEnd w:id="1"/>
    </w:p>
    <w:p w14:paraId="3849EC59">
      <w:pPr>
        <w:widowControl/>
        <w:jc w:val="left"/>
        <w:rPr>
          <w:rFonts w:ascii="仿宋" w:hAnsi="仿宋" w:eastAsia="仿宋"/>
          <w:sz w:val="30"/>
        </w:rPr>
      </w:pPr>
    </w:p>
    <w:sectPr>
      <w:footerReference r:id="rId10" w:type="default"/>
      <w:pgSz w:w="11906" w:h="16838"/>
      <w:pgMar w:top="1440" w:right="1797" w:bottom="1440" w:left="1797" w:header="851" w:footer="992" w:gutter="0"/>
      <w:pgNumType w:fmt="decimal"/>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Neue">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swiss"/>
    <w:pitch w:val="default"/>
    <w:sig w:usb0="FFFFFFFF" w:usb1="E9FFFFFF" w:usb2="0000003F" w:usb3="00000000" w:csb0="603F01FF" w:csb1="FFFF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PMingLiU">
    <w:altName w:val="Microsoft JhengHei UI"/>
    <w:panose1 w:val="02010601000101010101"/>
    <w:charset w:val="88"/>
    <w:family w:val="auto"/>
    <w:pitch w:val="default"/>
    <w:sig w:usb0="00000000" w:usb1="00000000" w:usb2="00000010" w:usb3="00000000" w:csb0="00100000"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51F300">
    <w:pPr>
      <w:pStyle w:val="4"/>
    </w:pPr>
  </w:p>
  <w:p w14:paraId="60E409C0">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61B0D">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01C894AC">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A3925">
    <w:pPr>
      <w:pStyle w:val="4"/>
    </w:pPr>
    <w:r>
      <w:ptab w:relativeTo="margin" w:alignment="center" w:leader="none"/>
    </w:r>
    <w:r>
      <w:rPr>
        <w:rFonts w:hint="eastAsia"/>
      </w:rPr>
      <w:t xml:space="preserve">第 </w:t>
    </w:r>
    <w:r>
      <w:t xml:space="preserve">   </w:t>
    </w:r>
    <w:r>
      <w:rPr>
        <w:rFonts w:hint="eastAsia"/>
      </w:rPr>
      <w:t>页</w:t>
    </w:r>
    <w:r>
      <w:ptab w:relativeTo="margin" w:alignment="right" w:leader="none"/>
    </w:r>
    <w:r>
      <w:rPr>
        <w:rFonts w:hint="eastAsia"/>
      </w:rPr>
      <w:t>姓名</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83AB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FE5D7">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D4FE5D7">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p w14:paraId="7FC75261">
    <w:pPr>
      <w:pStyle w:val="4"/>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3CA2F">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1C2BE6">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21C2BE6">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ptab w:relativeTo="margin" w:alignment="center" w:leader="none"/>
    </w:r>
    <w:r>
      <w:rPr>
        <w:rFonts w:hint="eastAsia"/>
      </w:rPr>
      <w:t xml:space="preserve">第 </w:t>
    </w:r>
    <w:r>
      <w:t xml:space="preserve">   </w:t>
    </w:r>
    <w:r>
      <w:rPr>
        <w:rFonts w:hint="eastAsia"/>
      </w:rPr>
      <w:t>页</w:t>
    </w:r>
    <w:r>
      <w:ptab w:relativeTo="margin" w:alignment="right" w:leader="none"/>
    </w:r>
    <w:r>
      <w:rPr>
        <w:rFonts w:hint="eastAsia"/>
      </w:rPr>
      <w:t>姓名</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7CFAA">
    <w:pPr>
      <w:pStyle w:val="4"/>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06DB0F">
                          <w:pPr>
                            <w:pStyle w:val="4"/>
                          </w:pPr>
                          <w:r>
                            <w:t xml:space="preserve">第 </w:t>
                          </w:r>
                          <w:r>
                            <w:fldChar w:fldCharType="begin"/>
                          </w:r>
                          <w:r>
                            <w:instrText xml:space="preserve"> PAGE  \* MERGEFORMAT </w:instrText>
                          </w:r>
                          <w:r>
                            <w:fldChar w:fldCharType="separate"/>
                          </w:r>
                          <w:r>
                            <w:t>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D06DB0F">
                    <w:pPr>
                      <w:pStyle w:val="4"/>
                    </w:pPr>
                    <w:r>
                      <w:t xml:space="preserve">第 </w:t>
                    </w:r>
                    <w:r>
                      <w:fldChar w:fldCharType="begin"/>
                    </w:r>
                    <w:r>
                      <w:instrText xml:space="preserve"> PAGE  \* MERGEFORMAT </w:instrText>
                    </w:r>
                    <w:r>
                      <w:fldChar w:fldCharType="separate"/>
                    </w:r>
                    <w:r>
                      <w:t>9</w:t>
                    </w:r>
                    <w:r>
                      <w:fldChar w:fldCharType="end"/>
                    </w:r>
                    <w:r>
                      <w:t xml:space="preserve"> 页</w:t>
                    </w:r>
                  </w:p>
                </w:txbxContent>
              </v:textbox>
            </v:shape>
          </w:pict>
        </mc:Fallback>
      </mc:AlternateContent>
    </w:r>
    <w:r>
      <w:ptab w:relativeTo="margin" w:alignment="center" w:leader="none"/>
    </w:r>
    <w:r>
      <w:rPr>
        <w:rFonts w:hint="eastAsia"/>
      </w:rPr>
      <w:t>第    页</w:t>
    </w:r>
    <w:r>
      <w:ptab w:relativeTo="margin" w:alignment="right" w:leader="none"/>
    </w:r>
    <w:r>
      <w:rPr>
        <w:rFonts w:hint="eastAsia"/>
      </w:rPr>
      <w:t>姓名</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A5C97">
    <w:pPr>
      <w:pStyle w:val="4"/>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4EEFAC">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94EEFAC">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ptab w:relativeTo="margin" w:alignment="center" w:leader="none"/>
    </w:r>
    <w:r>
      <w:rPr>
        <w:rFonts w:hint="eastAsia"/>
      </w:rPr>
      <w:t>第页</w:t>
    </w:r>
    <w:r>
      <w:ptab w:relativeTo="margin" w:alignment="right" w:leader="none"/>
    </w:r>
    <w:r>
      <w:rPr>
        <w:rFonts w:hint="eastAsia"/>
      </w:rPr>
      <w:t>姓名</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5BA60">
    <w:pPr>
      <w:pStyle w:val="4"/>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4EED1B">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4EED1B">
                    <w:pPr>
                      <w:pStyle w:val="4"/>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ptab w:relativeTo="margin" w:alignment="center" w:leader="none"/>
    </w:r>
    <w:r>
      <w:rPr>
        <w:rFonts w:hint="eastAsia"/>
      </w:rPr>
      <w:t>第    页</w:t>
    </w:r>
    <w:r>
      <w:ptab w:relativeTo="margin" w:alignment="right" w:leader="none"/>
    </w:r>
    <w:r>
      <w:rPr>
        <w:rFonts w:hint="eastAsia"/>
      </w:rPr>
      <w:t>姓名</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4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entative="0">
      <w:start w:val="1"/>
      <w:numFmt w:val="lowerLetter"/>
      <w:lvlText w:val="%2)"/>
      <w:lvlJc w:val="left"/>
      <w:pPr>
        <w:ind w:left="840" w:hanging="420"/>
      </w:pPr>
      <w:rPr>
        <w:rFonts w:hAnsi="Arial Unicode MS"/>
        <w:caps w:val="0"/>
        <w:smallCaps w:val="0"/>
        <w:strike w:val="0"/>
        <w:dstrike w:val="0"/>
        <w:outline w:val="0"/>
        <w:emboss w:val="0"/>
        <w:imprint w:val="0"/>
        <w:spacing w:val="0"/>
        <w:w w:val="100"/>
        <w:kern w:val="0"/>
        <w:position w:val="0"/>
        <w:highlight w:val="none"/>
        <w:vertAlign w:val="baseline"/>
      </w:rPr>
    </w:lvl>
    <w:lvl w:ilvl="2" w:tentative="0">
      <w:start w:val="1"/>
      <w:numFmt w:val="lowerRoman"/>
      <w:suff w:val="nothing"/>
      <w:lvlText w:val="%3."/>
      <w:lvlJc w:val="left"/>
      <w:pPr>
        <w:ind w:left="840" w:hanging="120"/>
      </w:pPr>
      <w:rPr>
        <w:rFonts w:hAnsi="Arial Unicode MS"/>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4."/>
      <w:lvlJc w:val="left"/>
      <w:pPr>
        <w:ind w:left="1680" w:hanging="420"/>
      </w:pPr>
      <w:rPr>
        <w:rFonts w:hAnsi="Arial Unicode MS"/>
        <w:caps w:val="0"/>
        <w:smallCaps w:val="0"/>
        <w:strike w:val="0"/>
        <w:dstrike w:val="0"/>
        <w:outline w:val="0"/>
        <w:emboss w:val="0"/>
        <w:imprint w:val="0"/>
        <w:spacing w:val="0"/>
        <w:w w:val="100"/>
        <w:kern w:val="0"/>
        <w:position w:val="0"/>
        <w:highlight w:val="none"/>
        <w:vertAlign w:val="baseline"/>
      </w:rPr>
    </w:lvl>
    <w:lvl w:ilvl="4" w:tentative="0">
      <w:start w:val="1"/>
      <w:numFmt w:val="lowerLetter"/>
      <w:lvlText w:val="%5)"/>
      <w:lvlJc w:val="left"/>
      <w:pPr>
        <w:ind w:left="2100" w:hanging="420"/>
      </w:pPr>
      <w:rPr>
        <w:rFonts w:hAnsi="Arial Unicode MS"/>
        <w:caps w:val="0"/>
        <w:smallCaps w:val="0"/>
        <w:strike w:val="0"/>
        <w:dstrike w:val="0"/>
        <w:outline w:val="0"/>
        <w:emboss w:val="0"/>
        <w:imprint w:val="0"/>
        <w:spacing w:val="0"/>
        <w:w w:val="100"/>
        <w:kern w:val="0"/>
        <w:position w:val="0"/>
        <w:highlight w:val="none"/>
        <w:vertAlign w:val="baseline"/>
      </w:rPr>
    </w:lvl>
    <w:lvl w:ilvl="5" w:tentative="0">
      <w:start w:val="1"/>
      <w:numFmt w:val="lowerRoman"/>
      <w:suff w:val="nothing"/>
      <w:lvlText w:val="%6."/>
      <w:lvlJc w:val="left"/>
      <w:pPr>
        <w:ind w:left="2100" w:hanging="120"/>
      </w:pPr>
      <w:rPr>
        <w:rFonts w:hAnsi="Arial Unicode MS"/>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7."/>
      <w:lvlJc w:val="left"/>
      <w:pPr>
        <w:ind w:left="2940" w:hanging="420"/>
      </w:pPr>
      <w:rPr>
        <w:rFonts w:hAnsi="Arial Unicode MS"/>
        <w:caps w:val="0"/>
        <w:smallCaps w:val="0"/>
        <w:strike w:val="0"/>
        <w:dstrike w:val="0"/>
        <w:outline w:val="0"/>
        <w:emboss w:val="0"/>
        <w:imprint w:val="0"/>
        <w:spacing w:val="0"/>
        <w:w w:val="100"/>
        <w:kern w:val="0"/>
        <w:position w:val="0"/>
        <w:highlight w:val="none"/>
        <w:vertAlign w:val="baseline"/>
      </w:rPr>
    </w:lvl>
    <w:lvl w:ilvl="7" w:tentative="0">
      <w:start w:val="1"/>
      <w:numFmt w:val="lowerLetter"/>
      <w:lvlText w:val="%8)"/>
      <w:lvlJc w:val="left"/>
      <w:pPr>
        <w:ind w:left="3360" w:hanging="420"/>
      </w:pPr>
      <w:rPr>
        <w:rFonts w:hAnsi="Arial Unicode MS"/>
        <w:caps w:val="0"/>
        <w:smallCaps w:val="0"/>
        <w:strike w:val="0"/>
        <w:dstrike w:val="0"/>
        <w:outline w:val="0"/>
        <w:emboss w:val="0"/>
        <w:imprint w:val="0"/>
        <w:spacing w:val="0"/>
        <w:w w:val="100"/>
        <w:kern w:val="0"/>
        <w:position w:val="0"/>
        <w:highlight w:val="none"/>
        <w:vertAlign w:val="baseline"/>
      </w:rPr>
    </w:lvl>
    <w:lvl w:ilvl="8" w:tentative="0">
      <w:start w:val="1"/>
      <w:numFmt w:val="lowerRoman"/>
      <w:suff w:val="nothing"/>
      <w:lvlText w:val="%9."/>
      <w:lvlJc w:val="left"/>
      <w:pPr>
        <w:ind w:left="3360" w:hanging="1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5A761BB4"/>
    <w:multiLevelType w:val="multilevel"/>
    <w:tmpl w:val="5A761BB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D73"/>
    <w:rsid w:val="00001D4C"/>
    <w:rsid w:val="000044E1"/>
    <w:rsid w:val="00011F91"/>
    <w:rsid w:val="00020A54"/>
    <w:rsid w:val="00025467"/>
    <w:rsid w:val="00032DB3"/>
    <w:rsid w:val="00033CD6"/>
    <w:rsid w:val="0003409C"/>
    <w:rsid w:val="00034195"/>
    <w:rsid w:val="00043D82"/>
    <w:rsid w:val="000535C0"/>
    <w:rsid w:val="00060F13"/>
    <w:rsid w:val="00066F91"/>
    <w:rsid w:val="0007498F"/>
    <w:rsid w:val="00077943"/>
    <w:rsid w:val="00080239"/>
    <w:rsid w:val="00081809"/>
    <w:rsid w:val="00096880"/>
    <w:rsid w:val="000A1D04"/>
    <w:rsid w:val="000A768C"/>
    <w:rsid w:val="000B5C60"/>
    <w:rsid w:val="000C0977"/>
    <w:rsid w:val="000C4780"/>
    <w:rsid w:val="000C58FD"/>
    <w:rsid w:val="000D228C"/>
    <w:rsid w:val="000D464C"/>
    <w:rsid w:val="00100081"/>
    <w:rsid w:val="00101ACC"/>
    <w:rsid w:val="001020E5"/>
    <w:rsid w:val="001069DE"/>
    <w:rsid w:val="001073A9"/>
    <w:rsid w:val="00110300"/>
    <w:rsid w:val="001120D6"/>
    <w:rsid w:val="001214BF"/>
    <w:rsid w:val="001236A9"/>
    <w:rsid w:val="0012728F"/>
    <w:rsid w:val="00143796"/>
    <w:rsid w:val="001567DF"/>
    <w:rsid w:val="00160CAC"/>
    <w:rsid w:val="001635BC"/>
    <w:rsid w:val="00163DA1"/>
    <w:rsid w:val="00163F32"/>
    <w:rsid w:val="0016765B"/>
    <w:rsid w:val="00173BD4"/>
    <w:rsid w:val="001872F6"/>
    <w:rsid w:val="00195246"/>
    <w:rsid w:val="001957C0"/>
    <w:rsid w:val="001A6D7D"/>
    <w:rsid w:val="001B45CC"/>
    <w:rsid w:val="001C340F"/>
    <w:rsid w:val="001C78D0"/>
    <w:rsid w:val="001D3629"/>
    <w:rsid w:val="001E6408"/>
    <w:rsid w:val="001F29BC"/>
    <w:rsid w:val="001F53E7"/>
    <w:rsid w:val="001F7847"/>
    <w:rsid w:val="002049CD"/>
    <w:rsid w:val="00206809"/>
    <w:rsid w:val="002074AE"/>
    <w:rsid w:val="00207D76"/>
    <w:rsid w:val="00210D9A"/>
    <w:rsid w:val="00222274"/>
    <w:rsid w:val="00222360"/>
    <w:rsid w:val="00222AF2"/>
    <w:rsid w:val="002251A2"/>
    <w:rsid w:val="00225D63"/>
    <w:rsid w:val="00233D74"/>
    <w:rsid w:val="00243D07"/>
    <w:rsid w:val="00244E97"/>
    <w:rsid w:val="00247166"/>
    <w:rsid w:val="00250716"/>
    <w:rsid w:val="00251608"/>
    <w:rsid w:val="00256098"/>
    <w:rsid w:val="002601F7"/>
    <w:rsid w:val="00261C35"/>
    <w:rsid w:val="00264D93"/>
    <w:rsid w:val="00266240"/>
    <w:rsid w:val="0027770C"/>
    <w:rsid w:val="00285D95"/>
    <w:rsid w:val="00286223"/>
    <w:rsid w:val="0028644F"/>
    <w:rsid w:val="00286BDE"/>
    <w:rsid w:val="00292B83"/>
    <w:rsid w:val="00295DDC"/>
    <w:rsid w:val="002962CA"/>
    <w:rsid w:val="002A1456"/>
    <w:rsid w:val="002A23CF"/>
    <w:rsid w:val="002A7CFE"/>
    <w:rsid w:val="002B41F6"/>
    <w:rsid w:val="002C043E"/>
    <w:rsid w:val="002C7255"/>
    <w:rsid w:val="002C7288"/>
    <w:rsid w:val="002D600E"/>
    <w:rsid w:val="002D6BB5"/>
    <w:rsid w:val="002D7299"/>
    <w:rsid w:val="002F3BC8"/>
    <w:rsid w:val="002F3EA4"/>
    <w:rsid w:val="00300F06"/>
    <w:rsid w:val="00304177"/>
    <w:rsid w:val="00304448"/>
    <w:rsid w:val="00304F5B"/>
    <w:rsid w:val="00312F92"/>
    <w:rsid w:val="00320C56"/>
    <w:rsid w:val="003322D4"/>
    <w:rsid w:val="003344AF"/>
    <w:rsid w:val="0034366E"/>
    <w:rsid w:val="00345851"/>
    <w:rsid w:val="00345BAE"/>
    <w:rsid w:val="00353AE7"/>
    <w:rsid w:val="00361C26"/>
    <w:rsid w:val="00364414"/>
    <w:rsid w:val="0036470C"/>
    <w:rsid w:val="00364ECA"/>
    <w:rsid w:val="00374936"/>
    <w:rsid w:val="00374B82"/>
    <w:rsid w:val="0037790A"/>
    <w:rsid w:val="003A4F2C"/>
    <w:rsid w:val="003A7D53"/>
    <w:rsid w:val="003B57FD"/>
    <w:rsid w:val="003B7E25"/>
    <w:rsid w:val="003C5FD7"/>
    <w:rsid w:val="003D3EA1"/>
    <w:rsid w:val="003E0714"/>
    <w:rsid w:val="003E2426"/>
    <w:rsid w:val="003F4B46"/>
    <w:rsid w:val="003F5C01"/>
    <w:rsid w:val="003F6456"/>
    <w:rsid w:val="00403556"/>
    <w:rsid w:val="00406E78"/>
    <w:rsid w:val="004115AB"/>
    <w:rsid w:val="00413769"/>
    <w:rsid w:val="00414955"/>
    <w:rsid w:val="00421D7A"/>
    <w:rsid w:val="00422388"/>
    <w:rsid w:val="00422B4E"/>
    <w:rsid w:val="00423EFA"/>
    <w:rsid w:val="00426A90"/>
    <w:rsid w:val="00426EA4"/>
    <w:rsid w:val="004331E9"/>
    <w:rsid w:val="00454112"/>
    <w:rsid w:val="004568D9"/>
    <w:rsid w:val="00464CC2"/>
    <w:rsid w:val="004673AD"/>
    <w:rsid w:val="004678F6"/>
    <w:rsid w:val="004763A7"/>
    <w:rsid w:val="00480216"/>
    <w:rsid w:val="00491B88"/>
    <w:rsid w:val="00495EEA"/>
    <w:rsid w:val="00497428"/>
    <w:rsid w:val="004A322A"/>
    <w:rsid w:val="004A3AE0"/>
    <w:rsid w:val="004A62C6"/>
    <w:rsid w:val="004B1982"/>
    <w:rsid w:val="004B2584"/>
    <w:rsid w:val="004C3153"/>
    <w:rsid w:val="004C36C1"/>
    <w:rsid w:val="004C6B6B"/>
    <w:rsid w:val="004C7DEC"/>
    <w:rsid w:val="004D3DF7"/>
    <w:rsid w:val="004D7751"/>
    <w:rsid w:val="004E16BF"/>
    <w:rsid w:val="004E1879"/>
    <w:rsid w:val="004E18D3"/>
    <w:rsid w:val="004F2305"/>
    <w:rsid w:val="004F4FFE"/>
    <w:rsid w:val="004F6606"/>
    <w:rsid w:val="00513C41"/>
    <w:rsid w:val="00513F29"/>
    <w:rsid w:val="0051739B"/>
    <w:rsid w:val="00531B88"/>
    <w:rsid w:val="00533FC8"/>
    <w:rsid w:val="005341AE"/>
    <w:rsid w:val="00535AD5"/>
    <w:rsid w:val="00536BD3"/>
    <w:rsid w:val="00542595"/>
    <w:rsid w:val="005500CE"/>
    <w:rsid w:val="00554447"/>
    <w:rsid w:val="00581B92"/>
    <w:rsid w:val="00584567"/>
    <w:rsid w:val="00585946"/>
    <w:rsid w:val="00585F69"/>
    <w:rsid w:val="00590756"/>
    <w:rsid w:val="00597791"/>
    <w:rsid w:val="005A1ACB"/>
    <w:rsid w:val="005B0EB3"/>
    <w:rsid w:val="005B2BDF"/>
    <w:rsid w:val="005B5D33"/>
    <w:rsid w:val="005B6849"/>
    <w:rsid w:val="005B6AF2"/>
    <w:rsid w:val="005C7287"/>
    <w:rsid w:val="005C76EE"/>
    <w:rsid w:val="005D05E3"/>
    <w:rsid w:val="005D0EEF"/>
    <w:rsid w:val="005F3C02"/>
    <w:rsid w:val="005F4DD6"/>
    <w:rsid w:val="005F5E33"/>
    <w:rsid w:val="0060337F"/>
    <w:rsid w:val="006056B2"/>
    <w:rsid w:val="0060601E"/>
    <w:rsid w:val="00622DCB"/>
    <w:rsid w:val="0063196E"/>
    <w:rsid w:val="00633413"/>
    <w:rsid w:val="006373EC"/>
    <w:rsid w:val="0064641A"/>
    <w:rsid w:val="00646C44"/>
    <w:rsid w:val="006533DB"/>
    <w:rsid w:val="00656080"/>
    <w:rsid w:val="006563A9"/>
    <w:rsid w:val="00660555"/>
    <w:rsid w:val="00676274"/>
    <w:rsid w:val="00677170"/>
    <w:rsid w:val="00677FE0"/>
    <w:rsid w:val="0068384B"/>
    <w:rsid w:val="00691CDE"/>
    <w:rsid w:val="00697D61"/>
    <w:rsid w:val="006A0CA9"/>
    <w:rsid w:val="006A581B"/>
    <w:rsid w:val="006A6DED"/>
    <w:rsid w:val="006A74BE"/>
    <w:rsid w:val="006B159E"/>
    <w:rsid w:val="006B231D"/>
    <w:rsid w:val="006C2262"/>
    <w:rsid w:val="006C4046"/>
    <w:rsid w:val="006D2BDB"/>
    <w:rsid w:val="006D4851"/>
    <w:rsid w:val="006D610C"/>
    <w:rsid w:val="006E292A"/>
    <w:rsid w:val="006E2A6C"/>
    <w:rsid w:val="006E49DD"/>
    <w:rsid w:val="006E5750"/>
    <w:rsid w:val="006F00D9"/>
    <w:rsid w:val="006F322C"/>
    <w:rsid w:val="007061D2"/>
    <w:rsid w:val="00707F24"/>
    <w:rsid w:val="007142BD"/>
    <w:rsid w:val="00720865"/>
    <w:rsid w:val="00720EB3"/>
    <w:rsid w:val="007300CA"/>
    <w:rsid w:val="0074476F"/>
    <w:rsid w:val="0075024C"/>
    <w:rsid w:val="0075189F"/>
    <w:rsid w:val="00760A5C"/>
    <w:rsid w:val="00776C84"/>
    <w:rsid w:val="00781EC3"/>
    <w:rsid w:val="00792D74"/>
    <w:rsid w:val="007967F1"/>
    <w:rsid w:val="007A5CC1"/>
    <w:rsid w:val="007A7379"/>
    <w:rsid w:val="007A7E95"/>
    <w:rsid w:val="007A7F61"/>
    <w:rsid w:val="007B670E"/>
    <w:rsid w:val="007C3649"/>
    <w:rsid w:val="007C4BBC"/>
    <w:rsid w:val="007C6E99"/>
    <w:rsid w:val="007D728C"/>
    <w:rsid w:val="007E0214"/>
    <w:rsid w:val="007E4D22"/>
    <w:rsid w:val="007E54CA"/>
    <w:rsid w:val="007E6787"/>
    <w:rsid w:val="007F2EFF"/>
    <w:rsid w:val="007F3BF2"/>
    <w:rsid w:val="008019D7"/>
    <w:rsid w:val="0081038C"/>
    <w:rsid w:val="00812857"/>
    <w:rsid w:val="008133F9"/>
    <w:rsid w:val="0081567C"/>
    <w:rsid w:val="00826783"/>
    <w:rsid w:val="00830B83"/>
    <w:rsid w:val="00831C0D"/>
    <w:rsid w:val="00832F82"/>
    <w:rsid w:val="0085153D"/>
    <w:rsid w:val="00855727"/>
    <w:rsid w:val="00857B37"/>
    <w:rsid w:val="00867EF7"/>
    <w:rsid w:val="008726C3"/>
    <w:rsid w:val="00876E8B"/>
    <w:rsid w:val="00877EF5"/>
    <w:rsid w:val="00887E9C"/>
    <w:rsid w:val="00890DF2"/>
    <w:rsid w:val="00895E0F"/>
    <w:rsid w:val="008A1233"/>
    <w:rsid w:val="008B4667"/>
    <w:rsid w:val="008B47BE"/>
    <w:rsid w:val="008B4C60"/>
    <w:rsid w:val="008B7406"/>
    <w:rsid w:val="008B7522"/>
    <w:rsid w:val="008C21CB"/>
    <w:rsid w:val="008C2495"/>
    <w:rsid w:val="008C24E0"/>
    <w:rsid w:val="008C4F51"/>
    <w:rsid w:val="008E6A85"/>
    <w:rsid w:val="008F3981"/>
    <w:rsid w:val="008F58BF"/>
    <w:rsid w:val="00903543"/>
    <w:rsid w:val="00911B80"/>
    <w:rsid w:val="00912815"/>
    <w:rsid w:val="0092028B"/>
    <w:rsid w:val="0092337D"/>
    <w:rsid w:val="00926E57"/>
    <w:rsid w:val="00931416"/>
    <w:rsid w:val="00936690"/>
    <w:rsid w:val="00944F9E"/>
    <w:rsid w:val="00945678"/>
    <w:rsid w:val="009508B0"/>
    <w:rsid w:val="0095125D"/>
    <w:rsid w:val="0097029D"/>
    <w:rsid w:val="00970CF7"/>
    <w:rsid w:val="00973FE9"/>
    <w:rsid w:val="009765A1"/>
    <w:rsid w:val="009820D9"/>
    <w:rsid w:val="0098285E"/>
    <w:rsid w:val="00983616"/>
    <w:rsid w:val="0098468B"/>
    <w:rsid w:val="00987DA8"/>
    <w:rsid w:val="009913E8"/>
    <w:rsid w:val="00992E83"/>
    <w:rsid w:val="0099746B"/>
    <w:rsid w:val="009A3487"/>
    <w:rsid w:val="009A456D"/>
    <w:rsid w:val="009A4D60"/>
    <w:rsid w:val="009A68EA"/>
    <w:rsid w:val="009A6958"/>
    <w:rsid w:val="009A6C59"/>
    <w:rsid w:val="009A7C34"/>
    <w:rsid w:val="009B0708"/>
    <w:rsid w:val="009B4AC7"/>
    <w:rsid w:val="009C677B"/>
    <w:rsid w:val="009C680A"/>
    <w:rsid w:val="009C6CA9"/>
    <w:rsid w:val="009D141E"/>
    <w:rsid w:val="009E0055"/>
    <w:rsid w:val="009E27AC"/>
    <w:rsid w:val="009E495C"/>
    <w:rsid w:val="009F2136"/>
    <w:rsid w:val="009F51AE"/>
    <w:rsid w:val="009F7321"/>
    <w:rsid w:val="00A0054B"/>
    <w:rsid w:val="00A027A1"/>
    <w:rsid w:val="00A035A7"/>
    <w:rsid w:val="00A0539B"/>
    <w:rsid w:val="00A0562F"/>
    <w:rsid w:val="00A063E7"/>
    <w:rsid w:val="00A07C42"/>
    <w:rsid w:val="00A11701"/>
    <w:rsid w:val="00A13728"/>
    <w:rsid w:val="00A16892"/>
    <w:rsid w:val="00A217CF"/>
    <w:rsid w:val="00A235C4"/>
    <w:rsid w:val="00A24D70"/>
    <w:rsid w:val="00A24E23"/>
    <w:rsid w:val="00A26C61"/>
    <w:rsid w:val="00A270CC"/>
    <w:rsid w:val="00A30BE5"/>
    <w:rsid w:val="00A33D77"/>
    <w:rsid w:val="00A342DB"/>
    <w:rsid w:val="00A3654A"/>
    <w:rsid w:val="00A36E6F"/>
    <w:rsid w:val="00A40691"/>
    <w:rsid w:val="00A5562B"/>
    <w:rsid w:val="00A61938"/>
    <w:rsid w:val="00A61F07"/>
    <w:rsid w:val="00A61FF1"/>
    <w:rsid w:val="00A671BD"/>
    <w:rsid w:val="00A71EBA"/>
    <w:rsid w:val="00A84AB1"/>
    <w:rsid w:val="00A85EC5"/>
    <w:rsid w:val="00A91CAF"/>
    <w:rsid w:val="00A933B9"/>
    <w:rsid w:val="00A96873"/>
    <w:rsid w:val="00AA00A9"/>
    <w:rsid w:val="00AA331B"/>
    <w:rsid w:val="00AA41DF"/>
    <w:rsid w:val="00AA492D"/>
    <w:rsid w:val="00AA76CD"/>
    <w:rsid w:val="00AB1BE8"/>
    <w:rsid w:val="00AB5C49"/>
    <w:rsid w:val="00AB687E"/>
    <w:rsid w:val="00AC033F"/>
    <w:rsid w:val="00AC0DE2"/>
    <w:rsid w:val="00AC47B2"/>
    <w:rsid w:val="00AC58CE"/>
    <w:rsid w:val="00AD2607"/>
    <w:rsid w:val="00AE06BD"/>
    <w:rsid w:val="00AE1302"/>
    <w:rsid w:val="00AE185D"/>
    <w:rsid w:val="00AE1880"/>
    <w:rsid w:val="00AE1C87"/>
    <w:rsid w:val="00AF07D9"/>
    <w:rsid w:val="00AF3A28"/>
    <w:rsid w:val="00AF3F30"/>
    <w:rsid w:val="00AF717F"/>
    <w:rsid w:val="00B0036F"/>
    <w:rsid w:val="00B03C3D"/>
    <w:rsid w:val="00B07AC0"/>
    <w:rsid w:val="00B10B28"/>
    <w:rsid w:val="00B17874"/>
    <w:rsid w:val="00B21B38"/>
    <w:rsid w:val="00B270D6"/>
    <w:rsid w:val="00B32A99"/>
    <w:rsid w:val="00B3612F"/>
    <w:rsid w:val="00B36AEB"/>
    <w:rsid w:val="00B40526"/>
    <w:rsid w:val="00B414EE"/>
    <w:rsid w:val="00B527F5"/>
    <w:rsid w:val="00B54A6A"/>
    <w:rsid w:val="00B57AE9"/>
    <w:rsid w:val="00B66E6D"/>
    <w:rsid w:val="00B700D5"/>
    <w:rsid w:val="00B74A02"/>
    <w:rsid w:val="00B80B7B"/>
    <w:rsid w:val="00B819D6"/>
    <w:rsid w:val="00B81B53"/>
    <w:rsid w:val="00B8207A"/>
    <w:rsid w:val="00B860AF"/>
    <w:rsid w:val="00B9020C"/>
    <w:rsid w:val="00B922C2"/>
    <w:rsid w:val="00B9249F"/>
    <w:rsid w:val="00BA1336"/>
    <w:rsid w:val="00BA1F74"/>
    <w:rsid w:val="00BA1FFE"/>
    <w:rsid w:val="00BA4647"/>
    <w:rsid w:val="00BB08B3"/>
    <w:rsid w:val="00BB7B77"/>
    <w:rsid w:val="00BB7CC0"/>
    <w:rsid w:val="00BC044D"/>
    <w:rsid w:val="00BC0F25"/>
    <w:rsid w:val="00BC549B"/>
    <w:rsid w:val="00BC5AE8"/>
    <w:rsid w:val="00BD0B6C"/>
    <w:rsid w:val="00BE2767"/>
    <w:rsid w:val="00BE2BF9"/>
    <w:rsid w:val="00BE2D86"/>
    <w:rsid w:val="00BE3558"/>
    <w:rsid w:val="00BE3F16"/>
    <w:rsid w:val="00BE4511"/>
    <w:rsid w:val="00BE68DA"/>
    <w:rsid w:val="00BF7D95"/>
    <w:rsid w:val="00C001FE"/>
    <w:rsid w:val="00C006A7"/>
    <w:rsid w:val="00C0690A"/>
    <w:rsid w:val="00C12D97"/>
    <w:rsid w:val="00C15F3F"/>
    <w:rsid w:val="00C201CF"/>
    <w:rsid w:val="00C20FB6"/>
    <w:rsid w:val="00C22CF7"/>
    <w:rsid w:val="00C317C1"/>
    <w:rsid w:val="00C359F4"/>
    <w:rsid w:val="00C4012E"/>
    <w:rsid w:val="00C47948"/>
    <w:rsid w:val="00C5015E"/>
    <w:rsid w:val="00C519B9"/>
    <w:rsid w:val="00C5500C"/>
    <w:rsid w:val="00C65106"/>
    <w:rsid w:val="00C67B07"/>
    <w:rsid w:val="00C72825"/>
    <w:rsid w:val="00C73891"/>
    <w:rsid w:val="00C77497"/>
    <w:rsid w:val="00C82AF6"/>
    <w:rsid w:val="00C843D3"/>
    <w:rsid w:val="00C931B5"/>
    <w:rsid w:val="00C93618"/>
    <w:rsid w:val="00C95610"/>
    <w:rsid w:val="00C95C06"/>
    <w:rsid w:val="00CA0904"/>
    <w:rsid w:val="00CA3BD0"/>
    <w:rsid w:val="00CB453A"/>
    <w:rsid w:val="00CB55A6"/>
    <w:rsid w:val="00CC3B9F"/>
    <w:rsid w:val="00CC41E4"/>
    <w:rsid w:val="00CC7C8B"/>
    <w:rsid w:val="00CD211C"/>
    <w:rsid w:val="00D017B6"/>
    <w:rsid w:val="00D03FCD"/>
    <w:rsid w:val="00D17488"/>
    <w:rsid w:val="00D17714"/>
    <w:rsid w:val="00D21603"/>
    <w:rsid w:val="00D30CC7"/>
    <w:rsid w:val="00D34DFC"/>
    <w:rsid w:val="00D37307"/>
    <w:rsid w:val="00D41995"/>
    <w:rsid w:val="00D42CA2"/>
    <w:rsid w:val="00D51BF1"/>
    <w:rsid w:val="00D5629D"/>
    <w:rsid w:val="00D57D79"/>
    <w:rsid w:val="00D60983"/>
    <w:rsid w:val="00D74259"/>
    <w:rsid w:val="00D9760E"/>
    <w:rsid w:val="00DA774E"/>
    <w:rsid w:val="00DB2D11"/>
    <w:rsid w:val="00DB7EBA"/>
    <w:rsid w:val="00DC0E7D"/>
    <w:rsid w:val="00DC21C2"/>
    <w:rsid w:val="00DC7A54"/>
    <w:rsid w:val="00DD207D"/>
    <w:rsid w:val="00DD5D87"/>
    <w:rsid w:val="00DE0206"/>
    <w:rsid w:val="00DE3716"/>
    <w:rsid w:val="00DE7308"/>
    <w:rsid w:val="00DF2E6A"/>
    <w:rsid w:val="00DF5B3A"/>
    <w:rsid w:val="00DF7AC5"/>
    <w:rsid w:val="00E15547"/>
    <w:rsid w:val="00E17A65"/>
    <w:rsid w:val="00E23EBF"/>
    <w:rsid w:val="00E252AF"/>
    <w:rsid w:val="00E338CC"/>
    <w:rsid w:val="00E34E28"/>
    <w:rsid w:val="00E5379B"/>
    <w:rsid w:val="00E5384C"/>
    <w:rsid w:val="00E64D57"/>
    <w:rsid w:val="00E65268"/>
    <w:rsid w:val="00E80D93"/>
    <w:rsid w:val="00E84B3F"/>
    <w:rsid w:val="00E85DB0"/>
    <w:rsid w:val="00E86C62"/>
    <w:rsid w:val="00E90AFB"/>
    <w:rsid w:val="00E91D73"/>
    <w:rsid w:val="00E94C0D"/>
    <w:rsid w:val="00E94C49"/>
    <w:rsid w:val="00E954F1"/>
    <w:rsid w:val="00E95593"/>
    <w:rsid w:val="00E97BA4"/>
    <w:rsid w:val="00EA360F"/>
    <w:rsid w:val="00EA474A"/>
    <w:rsid w:val="00EA5EF7"/>
    <w:rsid w:val="00EB42AC"/>
    <w:rsid w:val="00ED43CE"/>
    <w:rsid w:val="00ED4B93"/>
    <w:rsid w:val="00ED78FD"/>
    <w:rsid w:val="00EE124C"/>
    <w:rsid w:val="00EE6263"/>
    <w:rsid w:val="00EF0D23"/>
    <w:rsid w:val="00F03508"/>
    <w:rsid w:val="00F0359B"/>
    <w:rsid w:val="00F05CD3"/>
    <w:rsid w:val="00F0776F"/>
    <w:rsid w:val="00F10091"/>
    <w:rsid w:val="00F10347"/>
    <w:rsid w:val="00F11A1E"/>
    <w:rsid w:val="00F11ADD"/>
    <w:rsid w:val="00F11E95"/>
    <w:rsid w:val="00F12912"/>
    <w:rsid w:val="00F15503"/>
    <w:rsid w:val="00F30641"/>
    <w:rsid w:val="00F31EA8"/>
    <w:rsid w:val="00F329F4"/>
    <w:rsid w:val="00F36BF9"/>
    <w:rsid w:val="00F4053B"/>
    <w:rsid w:val="00F46272"/>
    <w:rsid w:val="00F47693"/>
    <w:rsid w:val="00F65DF9"/>
    <w:rsid w:val="00F714D7"/>
    <w:rsid w:val="00F73CE2"/>
    <w:rsid w:val="00F74523"/>
    <w:rsid w:val="00F7478C"/>
    <w:rsid w:val="00F776B2"/>
    <w:rsid w:val="00F81EAC"/>
    <w:rsid w:val="00F8306A"/>
    <w:rsid w:val="00F83E30"/>
    <w:rsid w:val="00F83F5B"/>
    <w:rsid w:val="00F873B1"/>
    <w:rsid w:val="00F9293E"/>
    <w:rsid w:val="00FA099F"/>
    <w:rsid w:val="00FB24DF"/>
    <w:rsid w:val="00FC097A"/>
    <w:rsid w:val="00FC0C22"/>
    <w:rsid w:val="00FC0DC7"/>
    <w:rsid w:val="00FD0669"/>
    <w:rsid w:val="00FE18A6"/>
    <w:rsid w:val="00FE4AFC"/>
    <w:rsid w:val="00FE569D"/>
    <w:rsid w:val="00FF1479"/>
    <w:rsid w:val="00FF14EE"/>
    <w:rsid w:val="00FF2092"/>
    <w:rsid w:val="00FF4081"/>
    <w:rsid w:val="02157499"/>
    <w:rsid w:val="03AA4983"/>
    <w:rsid w:val="04C609C8"/>
    <w:rsid w:val="081C2BD3"/>
    <w:rsid w:val="0B796FFB"/>
    <w:rsid w:val="0D40503E"/>
    <w:rsid w:val="133850F6"/>
    <w:rsid w:val="15B913EC"/>
    <w:rsid w:val="17AA569F"/>
    <w:rsid w:val="17C27715"/>
    <w:rsid w:val="18C33745"/>
    <w:rsid w:val="1BF3662A"/>
    <w:rsid w:val="1D0E0D07"/>
    <w:rsid w:val="1D547061"/>
    <w:rsid w:val="23522407"/>
    <w:rsid w:val="292C2C40"/>
    <w:rsid w:val="2AF672CF"/>
    <w:rsid w:val="2C462DCF"/>
    <w:rsid w:val="2DC95898"/>
    <w:rsid w:val="2F5A7DDB"/>
    <w:rsid w:val="31F24F2D"/>
    <w:rsid w:val="33B10B20"/>
    <w:rsid w:val="37F039D3"/>
    <w:rsid w:val="384C4937"/>
    <w:rsid w:val="3B18527C"/>
    <w:rsid w:val="3F6842E5"/>
    <w:rsid w:val="4093314D"/>
    <w:rsid w:val="4AF27FDB"/>
    <w:rsid w:val="4ED10F83"/>
    <w:rsid w:val="52154DB7"/>
    <w:rsid w:val="521B775A"/>
    <w:rsid w:val="53427C04"/>
    <w:rsid w:val="54372316"/>
    <w:rsid w:val="574B7E86"/>
    <w:rsid w:val="5A987435"/>
    <w:rsid w:val="5E512226"/>
    <w:rsid w:val="5E7E012D"/>
    <w:rsid w:val="63927568"/>
    <w:rsid w:val="68012F0F"/>
    <w:rsid w:val="6F22257A"/>
    <w:rsid w:val="70235743"/>
    <w:rsid w:val="74381A66"/>
    <w:rsid w:val="7DC47A9D"/>
    <w:rsid w:val="7E12571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2"/>
    <w:qFormat/>
    <w:uiPriority w:val="0"/>
    <w:pPr>
      <w:spacing w:line="360" w:lineRule="auto"/>
    </w:pPr>
    <w:rPr>
      <w:spacing w:val="8"/>
      <w:sz w:val="24"/>
    </w:rPr>
  </w:style>
  <w:style w:type="paragraph" w:styleId="3">
    <w:name w:val="Balloon Text"/>
    <w:basedOn w:val="1"/>
    <w:link w:val="13"/>
    <w:semiHidden/>
    <w:unhideWhenUsed/>
    <w:uiPriority w:val="99"/>
    <w:rPr>
      <w:sz w:val="18"/>
      <w:szCs w:val="18"/>
    </w:rPr>
  </w:style>
  <w:style w:type="paragraph" w:styleId="4">
    <w:name w:val="footer"/>
    <w:basedOn w:val="1"/>
    <w:link w:val="11"/>
    <w:unhideWhenUsed/>
    <w:qFormat/>
    <w:uiPriority w:val="0"/>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 w:type="character" w:customStyle="1" w:styleId="10">
    <w:name w:val="页眉 字符"/>
    <w:basedOn w:val="8"/>
    <w:link w:val="5"/>
    <w:qFormat/>
    <w:uiPriority w:val="99"/>
    <w:rPr>
      <w:sz w:val="18"/>
      <w:szCs w:val="18"/>
    </w:rPr>
  </w:style>
  <w:style w:type="character" w:customStyle="1" w:styleId="11">
    <w:name w:val="页脚 字符"/>
    <w:basedOn w:val="8"/>
    <w:link w:val="4"/>
    <w:uiPriority w:val="0"/>
    <w:rPr>
      <w:sz w:val="18"/>
      <w:szCs w:val="18"/>
    </w:rPr>
  </w:style>
  <w:style w:type="character" w:customStyle="1" w:styleId="12">
    <w:name w:val="正文文本 字符"/>
    <w:basedOn w:val="8"/>
    <w:link w:val="2"/>
    <w:uiPriority w:val="0"/>
    <w:rPr>
      <w:rFonts w:ascii="Times New Roman" w:hAnsi="Times New Roman" w:eastAsia="宋体" w:cs="Times New Roman"/>
      <w:spacing w:val="8"/>
      <w:sz w:val="24"/>
      <w:szCs w:val="20"/>
    </w:rPr>
  </w:style>
  <w:style w:type="character" w:customStyle="1" w:styleId="13">
    <w:name w:val="批注框文本 字符"/>
    <w:basedOn w:val="8"/>
    <w:link w:val="3"/>
    <w:semiHidden/>
    <w:qFormat/>
    <w:uiPriority w:val="99"/>
    <w:rPr>
      <w:rFonts w:ascii="Times New Roman" w:hAnsi="Times New Roman" w:eastAsia="宋体" w:cs="Times New Roman"/>
      <w:sz w:val="18"/>
      <w:szCs w:val="18"/>
    </w:rPr>
  </w:style>
  <w:style w:type="paragraph" w:styleId="14">
    <w:name w:val="List Paragraph"/>
    <w:basedOn w:val="1"/>
    <w:qFormat/>
    <w:uiPriority w:val="34"/>
    <w:pPr>
      <w:ind w:firstLine="420" w:firstLineChars="200"/>
    </w:pPr>
  </w:style>
  <w:style w:type="paragraph" w:customStyle="1" w:styleId="15">
    <w:name w:val="页眉与页脚"/>
    <w:qFormat/>
    <w:uiPriority w:val="0"/>
    <w:pPr>
      <w:framePr w:wrap="around" w:vAnchor="margin" w:hAnchor="text" w:y="1"/>
      <w:tabs>
        <w:tab w:val="right" w:pos="9020"/>
      </w:tabs>
    </w:pPr>
    <w:rPr>
      <w:rFonts w:ascii="Helvetica Neue" w:hAnsi="Helvetica Neue" w:eastAsia="Arial Unicode MS" w:cs="Arial Unicode MS"/>
      <w:color w:val="000000"/>
      <w:kern w:val="0"/>
      <w:sz w:val="24"/>
      <w:szCs w:val="24"/>
      <w:lang w:val="en-US" w:eastAsia="zh-CN" w:bidi="ar-SA"/>
    </w:rPr>
  </w:style>
  <w:style w:type="paragraph" w:customStyle="1" w:styleId="16">
    <w:name w:val="正文 A"/>
    <w:uiPriority w:val="0"/>
    <w:pPr>
      <w:framePr w:wrap="around" w:vAnchor="margin" w:hAnchor="text" w:y="1"/>
      <w:widowControl w:val="0"/>
      <w:jc w:val="both"/>
    </w:pPr>
    <w:rPr>
      <w:rFonts w:ascii="Calibri" w:hAnsi="Calibri" w:eastAsia="Calibri" w:cs="Calibri"/>
      <w:color w:val="000000"/>
      <w:kern w:val="2"/>
      <w:sz w:val="21"/>
      <w:szCs w:val="21"/>
      <w:u w:color="000000"/>
      <w:lang w:val="en-US" w:eastAsia="zh-CN" w:bidi="ar-SA"/>
    </w:rPr>
  </w:style>
  <w:style w:type="paragraph" w:customStyle="1" w:styleId="17">
    <w:name w:val="列出段落1"/>
    <w:qFormat/>
    <w:uiPriority w:val="0"/>
    <w:pPr>
      <w:framePr w:wrap="around" w:vAnchor="margin" w:hAnchor="text" w:y="1"/>
      <w:widowControl w:val="0"/>
      <w:ind w:firstLine="42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8">
    <w:name w:val="正文文本1"/>
    <w:qFormat/>
    <w:uiPriority w:val="0"/>
    <w:pPr>
      <w:framePr w:wrap="around" w:vAnchor="margin" w:hAnchor="text" w:y="1"/>
      <w:widowControl w:val="0"/>
      <w:spacing w:line="360" w:lineRule="auto"/>
      <w:jc w:val="both"/>
    </w:pPr>
    <w:rPr>
      <w:rFonts w:hint="eastAsia" w:ascii="Arial Unicode MS" w:hAnsi="Arial Unicode MS" w:eastAsia="Arial Unicode MS" w:cs="Arial Unicode MS"/>
      <w:color w:val="000000"/>
      <w:spacing w:val="8"/>
      <w:kern w:val="2"/>
      <w:sz w:val="24"/>
      <w:szCs w:val="24"/>
      <w:u w:color="00000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1203</Words>
  <Characters>1409</Characters>
  <Lines>36</Lines>
  <Paragraphs>10</Paragraphs>
  <TotalTime>2</TotalTime>
  <ScaleCrop>false</ScaleCrop>
  <LinksUpToDate>false</LinksUpToDate>
  <CharactersWithSpaces>1502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2023-05-28T01:56:00Z</dcterms:created>
  <dc:creator>user</dc:creator>
  <cp:lastModifiedBy>付亮</cp:lastModifiedBy>
  <cp:lastPrinted>2023-04-25T03:03:00Z</cp:lastPrinted>
  <dcterms:modified xsi:type="dcterms:W3CDTF">2025-02-14T07:33:08Z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eyJoZGlkIjoiZTZhZjNkZDJlNGNjYTE3NWQwMTVkOGZkY2NmNjU4OWEiLCJ1c2VySWQiOiIyMDkyMjY1MzMifQ==</vt:lpwstr>
  </property>
  <property fmtid="{D5CDD505-2E9C-101B-9397-08002B2CF9AE}" pid="3" name="KSOProductBuildVer">
    <vt:lpwstr>2052-12.1.0.19302</vt:lpwstr>
  </property>
  <property fmtid="{D5CDD505-2E9C-101B-9397-08002B2CF9AE}" pid="4" name="ICV">
    <vt:lpwstr>8C7773D11E354F25A5F3E0CA23281A45_13</vt:lpwstr>
  </property>
</Properties>
</file>