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45FA9">
      <w:pPr>
        <w:pStyle w:val="3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F81BD" w:sz="8" w:space="4"/>
          <w:right w:val="none" w:color="auto" w:sz="0" w:space="0"/>
        </w:pBdr>
        <w:bidi w:val="0"/>
        <w:spacing w:before="0" w:beforeAutospacing="0" w:after="300" w:afterAutospacing="0" w:line="12" w:lineRule="atLeast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40"/>
          <w:szCs w:val="40"/>
          <w:u w:val="none"/>
          <w:bdr w:val="none" w:color="auto" w:sz="0" w:space="0"/>
          <w:vertAlign w:val="baseline"/>
        </w:rPr>
        <w:t>Bu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auto"/>
          <w:sz w:val="40"/>
          <w:szCs w:val="40"/>
          <w:u w:val="none"/>
          <w:bdr w:val="none" w:color="auto" w:sz="0" w:space="0"/>
          <w:vertAlign w:val="baseline"/>
        </w:rPr>
        <w:t>siness Summary Report: Predictive Insights for Collections Strategy</w:t>
      </w:r>
    </w:p>
    <w:p w14:paraId="5551E4AA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1. Summary of Predictive Insights</w:t>
      </w:r>
    </w:p>
    <w:p w14:paraId="6AE5BD2C">
      <w:pPr>
        <w:pStyle w:val="33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Based on the EDA (Task 1) and the predictive modeling plan (Task 2), the following insights were observed: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- Customers under 30 years old with two or more missed payments and credit utilization above 50% show significantly higher risk of delinquency.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- High debt-to-income ratio (&gt; 0.5) consistently correlates with late or missed payments.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- Customers with short account tenure (&lt; 12 months) tend to have weaker repayment behavior.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Key Insights Summary Table:</w:t>
      </w:r>
    </w:p>
    <w:tbl>
      <w:tblPr>
        <w:tblW w:w="0" w:type="auto"/>
        <w:tblInd w:w="-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3"/>
        <w:gridCol w:w="2001"/>
        <w:gridCol w:w="2017"/>
        <w:gridCol w:w="2354"/>
      </w:tblGrid>
      <w:tr w14:paraId="676C0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2E98C2B5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Key Insight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06C7BBB7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Customer Segment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2A72276B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Influencing Variables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6296201A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Potential Impact</w:t>
            </w:r>
          </w:p>
        </w:tc>
      </w:tr>
      <w:tr w14:paraId="5995C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16AE6D6F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Customers with high credit utilization and frequent missed payments are at highest risk of delinquency.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6AD77196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Under 30 years old, 2+ missed payments, high credit utilization (&gt; 50%)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24FA7F39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Missed Payments, Credit Utilization, Age, Debt-to-Income Ratio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3E8EDFEF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4" w:lineRule="atLeas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auto"/>
                <w:sz w:val="24"/>
                <w:szCs w:val="24"/>
                <w:u w:val="none"/>
                <w:bdr w:val="none" w:color="auto" w:sz="0" w:space="0"/>
                <w:vertAlign w:val="baseline"/>
              </w:rPr>
              <w:t>Targeted outreach could reduce 30-day delinquency rates by over 10% in this segment.</w:t>
            </w:r>
          </w:p>
        </w:tc>
      </w:tr>
    </w:tbl>
    <w:p w14:paraId="2E424FD0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2. Recommendation Framework</w:t>
      </w:r>
    </w:p>
    <w:p w14:paraId="2AED6A90">
      <w:pPr>
        <w:pStyle w:val="33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Restated Insight: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Customers under 30 with 2+ missed payments and credit utilization above 50% are at significantly high risk of delinquency.</w:t>
      </w:r>
    </w:p>
    <w:p w14:paraId="151A1635">
      <w:pPr>
        <w:pStyle w:val="33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Proposed Recommendation: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Launch a 6-week SMS outreach campaign targeting these customers to reduce 30-day delinquency by at least 10%.</w:t>
      </w:r>
    </w:p>
    <w:p w14:paraId="4316ED4F">
      <w:pPr>
        <w:pStyle w:val="33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  Specific: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Target customers under 30 with 2+ missed payments and high credit utilization.</w:t>
      </w:r>
    </w:p>
    <w:p w14:paraId="10024201">
      <w:pPr>
        <w:pStyle w:val="33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  Measurable: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Track reduction in 30-day delinquency; goal is a 10% decrease.</w:t>
      </w:r>
    </w:p>
    <w:p w14:paraId="2BC8C022">
      <w:pPr>
        <w:pStyle w:val="33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  Actionable: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Use existing SMS infrastructure for outreach.</w:t>
      </w:r>
    </w:p>
    <w:p w14:paraId="50E962F3">
      <w:pPr>
        <w:pStyle w:val="33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  Relevant: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Aligns with Geldium’s goal to lower delinquency and improve repayment behavior.</w:t>
      </w:r>
    </w:p>
    <w:p w14:paraId="4259D910">
      <w:pPr>
        <w:pStyle w:val="33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  Time-bound: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Campaign will run for 6 weeks.</w:t>
      </w:r>
    </w:p>
    <w:p w14:paraId="45BB00EF">
      <w:pPr>
        <w:pStyle w:val="33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Justification and Business Rationale: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This targeted campaign is simple, cost-effective, and data-backed. It directly reaches a high-risk segment with an intervention that is easy to scale. By focusing on this group, Geldium can achieve significant impact in reducing overall delinquency while maintaining a positive customer experience.</w:t>
      </w:r>
    </w:p>
    <w:p w14:paraId="56286216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3. Ethical and Responsible AI Considerations</w:t>
      </w:r>
    </w:p>
    <w:p w14:paraId="7E4A6799">
      <w:pPr>
        <w:pStyle w:val="33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- Potential Bias: The model may under-represent or misclassify certain demographic groups if historical data is skewed (e.g., income or location-based bias). Fairness checks are necessary.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- Explainability: Logistic regression provides interpretable coefficients, which makes it easy to explain to business stakeholders how risk is determined.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- Responsible Decision-Making: Model outputs are reviewed by humans before action. The SMS campaign is supportive, not punitive.</w:t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Cambria" w:cs="Times New Roman"/>
          <w:i w:val="0"/>
          <w:iCs w:val="0"/>
          <w:color w:val="auto"/>
          <w:sz w:val="24"/>
          <w:szCs w:val="24"/>
          <w:u w:val="none"/>
          <w:vertAlign w:val="baseline"/>
        </w:rPr>
        <w:t>- Other Ethical Principles: Transparency is maintained through explainable features. Privacy is ensured by using anonymized data. Ongoing monitoring ensures the model adapts to changing customer behavior.</w:t>
      </w:r>
    </w:p>
    <w:p w14:paraId="33EC1793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8F6B2B"/>
    <w:rsid w:val="00A537D1"/>
    <w:rsid w:val="00AA1D8D"/>
    <w:rsid w:val="00B47730"/>
    <w:rsid w:val="00CB0664"/>
    <w:rsid w:val="00FC693F"/>
    <w:rsid w:val="14E31122"/>
    <w:rsid w:val="1EC31FBE"/>
    <w:rsid w:val="5D8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6A6A6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DDDDD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A6A6A6" w:themeColor="accent1" w:themeShade="BF"/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868686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DDDDD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2B2B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69696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808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F5F5F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D4D4D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EEE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A6A6A6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DDDDD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DDDDD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B2B2B2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B2B2B2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1662</Characters>
  <Lines>13</Lines>
  <Paragraphs>3</Paragraphs>
  <TotalTime>9</TotalTime>
  <ScaleCrop>false</ScaleCrop>
  <LinksUpToDate>false</LinksUpToDate>
  <CharactersWithSpaces>1950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nseng</cp:lastModifiedBy>
  <dcterms:modified xsi:type="dcterms:W3CDTF">2025-07-16T19:35:13Z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D9B9625F45A54852985381780511B2F2_13</vt:lpwstr>
  </property>
</Properties>
</file>