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二号泵房设备巡检作业指导书</w:t>
      </w:r>
    </w:p>
    <w:p>
      <w:pPr/>
      <w:r>
        <w:t xml:space="preserve">文件编号：SC-OPS-017　版本：C/2　生效日期：2026 年 9 月 1 日　适用范围：城东水厂二号取水泵房</w:t>
      </w:r>
    </w:p>
    <w:p>
      <w:pPr>
        <w:pStyle w:val="Heading1"/>
      </w:pPr>
      <w:r>
        <w:t xml:space="preserve">1　目的与适用范围</w:t>
      </w:r>
    </w:p>
    <w:p>
      <w:pPr/>
      <w:r>
        <w:t xml:space="preserve">本指导书规定二号取水泵房日常巡检、周检和月度检查的项目、方法、判定标准与记录要求，用于保证取水泵组、配电和附属设施连续稳定运行。适用于当班运行人员和设备维护班组。</w:t>
      </w:r>
    </w:p>
    <w:p>
      <w:pPr>
        <w:pStyle w:val="Heading1"/>
      </w:pPr>
      <w:r>
        <w:t xml:space="preserve">2　职责</w:t>
      </w:r>
    </w:p>
    <w:p>
      <w:pPr>
        <w:pStyle w:val="ListParagraph"/>
        <w:numPr>
          <w:ilvl w:val="0"/>
          <w:numId w:val="1"/>
        </w:numPr>
      </w:pPr>
      <w:r>
        <w:t xml:space="preserve">当班运行人员：按本指导书完成每 2 小时一次的日常巡检，填写巡检记录并及时报告异常。</w:t>
      </w:r>
    </w:p>
    <w:p>
      <w:pPr>
        <w:pStyle w:val="ListParagraph"/>
        <w:numPr>
          <w:ilvl w:val="0"/>
          <w:numId w:val="1"/>
        </w:numPr>
      </w:pPr>
      <w:r>
        <w:t xml:space="preserve">设备维护班组：负责周检、月检及缺陷处理，在 24 小时内反馈处理结果。</w:t>
      </w:r>
    </w:p>
    <w:p>
      <w:pPr>
        <w:pStyle w:val="ListParagraph"/>
        <w:numPr>
          <w:ilvl w:val="0"/>
          <w:numId w:val="1"/>
        </w:numPr>
      </w:pPr>
      <w:r>
        <w:t xml:space="preserve">运行主管：每周抽查巡检记录不少于 3 份，组织对重复缺陷进行原因分析。</w:t>
      </w:r>
    </w:p>
    <w:p>
      <w:pPr>
        <w:pStyle w:val="Heading1"/>
      </w:pPr>
      <w:r>
        <w:t xml:space="preserve">3　安全要求</w:t>
      </w:r>
    </w:p>
    <w:p>
      <w:pPr/>
      <w:r>
        <w:t xml:space="preserve">进入泵房前确认通风设备运行，地下泵坑作业前检测氧气和硫化氢浓度。巡检过程中不得触碰旋转部件，不得跨越防护栏；发现电气设备冒烟、异响或漏电时立即按下紧急停机按钮并报告值班调度。</w:t>
      </w:r>
    </w:p>
    <w:p>
      <w:pPr>
        <w:pStyle w:val="Heading1"/>
      </w:pPr>
      <w:r>
        <w:t xml:space="preserve">4　巡检流程</w:t>
      </w:r>
    </w:p>
    <w:p>
      <w:pPr>
        <w:pStyle w:val="ListParagraph"/>
        <w:numPr>
          <w:ilvl w:val="0"/>
          <w:numId w:val="2"/>
        </w:numPr>
      </w:pPr>
      <w:r>
        <w:t xml:space="preserve">到达泵房后在门禁终端签到，领取红外测温仪和巡检终端。</w:t>
      </w:r>
    </w:p>
    <w:p>
      <w:pPr>
        <w:pStyle w:val="ListParagraph"/>
        <w:numPr>
          <w:ilvl w:val="0"/>
          <w:numId w:val="2"/>
        </w:numPr>
      </w:pPr>
      <w:r>
        <w:t xml:space="preserve">按“配电室—泵组—真空系统—排水坑—起重设备”的固定路线巡视，不得跳项。</w:t>
      </w:r>
    </w:p>
    <w:p>
      <w:pPr>
        <w:pStyle w:val="ListParagraph"/>
        <w:numPr>
          <w:ilvl w:val="0"/>
          <w:numId w:val="2"/>
        </w:numPr>
      </w:pPr>
      <w:r>
        <w:t xml:space="preserve">逐台记录水泵出口压力、电机电流、轴承温度和振动值，与上次记录比较。</w:t>
      </w:r>
    </w:p>
    <w:p>
      <w:pPr>
        <w:pStyle w:val="ListParagraph"/>
        <w:numPr>
          <w:ilvl w:val="0"/>
          <w:numId w:val="2"/>
        </w:numPr>
      </w:pPr>
      <w:r>
        <w:t xml:space="preserve">对超出判定标准的项目拍照上传，并在终端中选择缺陷等级。</w:t>
      </w:r>
    </w:p>
    <w:p>
      <w:pPr>
        <w:pStyle w:val="ListParagraph"/>
        <w:numPr>
          <w:ilvl w:val="0"/>
          <w:numId w:val="2"/>
        </w:numPr>
      </w:pPr>
      <w:r>
        <w:t xml:space="preserve">巡检结束后核对记录完整性，在交接班会上报告当班缺陷。</w:t>
      </w:r>
    </w:p>
    <w:p>
      <w:pPr>
        <w:pStyle w:val="Heading2"/>
      </w:pPr>
      <w:r>
        <w:t xml:space="preserve">4.1　检查项目与判定标准</w:t>
      </w:r>
    </w:p>
    <w:p>
      <w:pPr/>
      <w:r>
        <w:t xml:space="preserve">表 1 列出泵组日常巡检的主要项目。判定标准依据设备制造商说明书和近三年运行统计确定，如设备更换须同步修订。</w:t>
      </w:r>
    </w:p>
    <w:p>
      <w:pPr>
        <w:pStyle w:val="Caption"/>
      </w:pPr>
      <w:r>
        <w:t xml:space="preserve">表 1　泵组日常巡检项目</w:t>
      </w:r>
    </w:p>
    <w:tbl>
      <w:tblPr>
        <w:tblStyle w:val="TableGrid"/>
        <w:tblW w:w="0" w:type="auto"/>
      </w:tblPr>
      <w:tblGrid>
        <w:gridCol w:w="1600"/>
        <w:gridCol w:w="2200"/>
        <w:gridCol w:w="2600"/>
        <w:gridCol w:w="1800"/>
      </w:tblGrid>
      <w:tr>
        <w:trPr>
          <w:tblHeader/>
        </w:trPr>
        <w:tc>
          <w:tcPr>
            <w:tcW w:w="1600" w:type="dxa"/>
          </w:tcPr>
          <w:p>
            <w:pPr/>
            <w:r>
              <w:rPr>
                <w:b/>
              </w:rPr>
              <w:t xml:space="preserve">部位</w:t>
            </w:r>
          </w:p>
        </w:tc>
        <w:tc>
          <w:tcPr>
            <w:tcW w:w="2200" w:type="dxa"/>
          </w:tcPr>
          <w:p>
            <w:pPr/>
            <w:r>
              <w:rPr>
                <w:b/>
              </w:rPr>
              <w:t xml:space="preserve">检查项目</w:t>
            </w:r>
          </w:p>
        </w:tc>
        <w:tc>
          <w:tcPr>
            <w:tcW w:w="2600" w:type="dxa"/>
          </w:tcPr>
          <w:p>
            <w:pPr/>
            <w:r>
              <w:rPr>
                <w:b/>
              </w:rPr>
              <w:t xml:space="preserve">判定标准</w:t>
            </w:r>
          </w:p>
        </w:tc>
        <w:tc>
          <w:tcPr>
            <w:tcW w:w="1800" w:type="dxa"/>
          </w:tcPr>
          <w:p>
            <w:pPr/>
            <w:r>
              <w:rPr>
                <w:b/>
              </w:rPr>
              <w:t xml:space="preserve">检查方法</w:t>
            </w:r>
          </w:p>
        </w:tc>
      </w:tr>
      <w:tr>
        <w:tc>
          <w:tcPr>
            <w:tcW w:w="1600" w:type="dxa"/>
            <w:vMerge w:val="restart"/>
          </w:tcPr>
          <w:p>
            <w:pPr/>
            <w:r>
              <w:t xml:space="preserve">电机</w:t>
            </w:r>
          </w:p>
        </w:tc>
        <w:tc>
          <w:tcPr>
            <w:tcW w:w="2200" w:type="dxa"/>
          </w:tcPr>
          <w:p>
            <w:pPr/>
            <w:r>
              <w:t xml:space="preserve">运行电流</w:t>
            </w:r>
          </w:p>
        </w:tc>
        <w:tc>
          <w:tcPr>
            <w:tcW w:w="2600" w:type="dxa"/>
          </w:tcPr>
          <w:p>
            <w:pPr/>
            <w:r>
              <w:t xml:space="preserve">不超过额定电流 186 A</w:t>
            </w:r>
          </w:p>
        </w:tc>
        <w:tc>
          <w:tcPr>
            <w:tcW w:w="1800" w:type="dxa"/>
          </w:tcPr>
          <w:p>
            <w:pPr/>
            <w:r>
              <w:t xml:space="preserve">配电屏读数</w:t>
            </w:r>
          </w:p>
        </w:tc>
      </w:tr>
      <w:tr>
        <w:tc>
          <w:tcPr>
            <w:tcW w:w="1600" w:type="dxa"/>
            <w:vMerge/>
          </w:tcPr>
          <w:p>
            <w:pPr/>
            <w:r>
              <w:t xml:space="preserve"/>
            </w:r>
          </w:p>
        </w:tc>
        <w:tc>
          <w:tcPr>
            <w:tcW w:w="2200" w:type="dxa"/>
          </w:tcPr>
          <w:p>
            <w:pPr/>
            <w:r>
              <w:t xml:space="preserve">轴承温度</w:t>
            </w:r>
          </w:p>
        </w:tc>
        <w:tc>
          <w:tcPr>
            <w:tcW w:w="2600" w:type="dxa"/>
          </w:tcPr>
          <w:p>
            <w:pPr/>
            <w:r>
              <w:t xml:space="preserve">≤ 75 ℃，温升 ≤ 40 K</w:t>
            </w:r>
          </w:p>
        </w:tc>
        <w:tc>
          <w:tcPr>
            <w:tcW w:w="1800" w:type="dxa"/>
          </w:tcPr>
          <w:p>
            <w:pPr/>
            <w:r>
              <w:t xml:space="preserve">红外测温</w:t>
            </w:r>
          </w:p>
        </w:tc>
      </w:tr>
      <w:tr>
        <w:tc>
          <w:tcPr>
            <w:tcW w:w="1600" w:type="dxa"/>
            <w:vMerge/>
          </w:tcPr>
          <w:p>
            <w:pPr/>
            <w:r>
              <w:t xml:space="preserve"/>
            </w:r>
          </w:p>
        </w:tc>
        <w:tc>
          <w:tcPr>
            <w:tcW w:w="2200" w:type="dxa"/>
          </w:tcPr>
          <w:p>
            <w:pPr/>
            <w:r>
              <w:t xml:space="preserve">振动速度</w:t>
            </w:r>
          </w:p>
        </w:tc>
        <w:tc>
          <w:tcPr>
            <w:tcW w:w="2600" w:type="dxa"/>
          </w:tcPr>
          <w:p>
            <w:pPr/>
            <w:r>
              <w:t xml:space="preserve">≤ 4.5 mm/s</w:t>
            </w:r>
          </w:p>
        </w:tc>
        <w:tc>
          <w:tcPr>
            <w:tcW w:w="1800" w:type="dxa"/>
          </w:tcPr>
          <w:p>
            <w:pPr/>
            <w:r>
              <w:t xml:space="preserve">便携测振仪</w:t>
            </w:r>
          </w:p>
        </w:tc>
      </w:tr>
      <w:tr>
        <w:tc>
          <w:tcPr>
            <w:tcW w:w="1600" w:type="dxa"/>
            <w:vMerge w:val="restart"/>
          </w:tcPr>
          <w:p>
            <w:pPr/>
            <w:r>
              <w:t xml:space="preserve">水泵</w:t>
            </w:r>
          </w:p>
        </w:tc>
        <w:tc>
          <w:tcPr>
            <w:tcW w:w="2200" w:type="dxa"/>
          </w:tcPr>
          <w:p>
            <w:pPr/>
            <w:r>
              <w:t xml:space="preserve">出口压力</w:t>
            </w:r>
          </w:p>
        </w:tc>
        <w:tc>
          <w:tcPr>
            <w:tcW w:w="2600" w:type="dxa"/>
          </w:tcPr>
          <w:p>
            <w:pPr/>
            <w:r>
              <w:t xml:space="preserve">0.32～0.38 MPa</w:t>
            </w:r>
          </w:p>
        </w:tc>
        <w:tc>
          <w:tcPr>
            <w:tcW w:w="1800" w:type="dxa"/>
          </w:tcPr>
          <w:p>
            <w:pPr/>
            <w:r>
              <w:t xml:space="preserve">就地压力表</w:t>
            </w:r>
          </w:p>
        </w:tc>
      </w:tr>
      <w:tr>
        <w:tc>
          <w:tcPr>
            <w:tcW w:w="1600" w:type="dxa"/>
            <w:vMerge/>
          </w:tcPr>
          <w:p>
            <w:pPr/>
            <w:r>
              <w:t xml:space="preserve"/>
            </w:r>
          </w:p>
        </w:tc>
        <w:tc>
          <w:tcPr>
            <w:tcW w:w="2200" w:type="dxa"/>
          </w:tcPr>
          <w:p>
            <w:pPr/>
            <w:r>
              <w:t xml:space="preserve">机械密封泄漏</w:t>
            </w:r>
          </w:p>
        </w:tc>
        <w:tc>
          <w:tcPr>
            <w:tcW w:w="2600" w:type="dxa"/>
          </w:tcPr>
          <w:p>
            <w:pPr/>
            <w:r>
              <w:t xml:space="preserve">每分钟不超过 10 滴</w:t>
            </w:r>
          </w:p>
        </w:tc>
        <w:tc>
          <w:tcPr>
            <w:tcW w:w="1800" w:type="dxa"/>
          </w:tcPr>
          <w:p>
            <w:pPr/>
            <w:r>
              <w:t xml:space="preserve">目视计数</w:t>
            </w:r>
          </w:p>
        </w:tc>
      </w:tr>
      <w:tr>
        <w:tc>
          <w:tcPr>
            <w:tcW w:w="1600" w:type="dxa"/>
          </w:tcPr>
          <w:p>
            <w:pPr/>
            <w:r>
              <w:t xml:space="preserve">真空系统</w:t>
            </w:r>
          </w:p>
        </w:tc>
        <w:tc>
          <w:tcPr>
            <w:tcW w:w="2200" w:type="dxa"/>
          </w:tcPr>
          <w:p>
            <w:pPr/>
            <w:r>
              <w:t xml:space="preserve">真空度</w:t>
            </w:r>
          </w:p>
        </w:tc>
        <w:tc>
          <w:tcPr>
            <w:tcW w:w="2600" w:type="dxa"/>
          </w:tcPr>
          <w:p>
            <w:pPr/>
            <w:r>
              <w:t xml:space="preserve">−0.06 MPa 以下</w:t>
            </w:r>
          </w:p>
        </w:tc>
        <w:tc>
          <w:tcPr>
            <w:tcW w:w="1800" w:type="dxa"/>
          </w:tcPr>
          <w:p>
            <w:pPr/>
            <w:r>
              <w:t xml:space="preserve">真空表</w:t>
            </w:r>
          </w:p>
        </w:tc>
      </w:tr>
      <w:tr>
        <w:tc>
          <w:tcPr>
            <w:tcW w:w="1600" w:type="dxa"/>
          </w:tcPr>
          <w:p>
            <w:pPr/>
            <w:r>
              <w:t xml:space="preserve">排水坑</w:t>
            </w:r>
          </w:p>
        </w:tc>
        <w:tc>
          <w:tcPr>
            <w:tcW w:w="2200" w:type="dxa"/>
          </w:tcPr>
          <w:p>
            <w:pPr/>
            <w:r>
              <w:t xml:space="preserve">液位与排水泵自启</w:t>
            </w:r>
          </w:p>
        </w:tc>
        <w:tc>
          <w:tcPr>
            <w:tcW w:w="4400" w:type="dxa"/>
            <w:gridSpan w:val="2"/>
          </w:tcPr>
          <w:p>
            <w:pPr/>
            <w:r>
              <w:t xml:space="preserve">液位低于报警线，浮球动作灵活</w:t>
            </w:r>
          </w:p>
        </w:tc>
      </w:tr>
    </w:tbl>
    <w:p>
      <w:pPr>
        <w:pStyle w:val="Heading2"/>
      </w:pPr>
      <w:r>
        <w:t xml:space="preserve">4.2　缺陷分级</w:t>
      </w:r>
    </w:p>
    <w:p>
      <w:pPr/>
      <w:r>
        <w:t xml:space="preserve">缺陷按对供水安全的影响分为三级，处理时限从发现时起计算。</w:t>
      </w:r>
    </w:p>
    <w:p>
      <w:pPr>
        <w:pStyle w:val="Caption"/>
      </w:pPr>
      <w:r>
        <w:t xml:space="preserve">表 2　缺陷等级与处理时限</w:t>
      </w:r>
    </w:p>
    <w:tbl>
      <w:tblPr>
        <w:tblStyle w:val="TableGrid"/>
        <w:tblW w:w="0" w:type="auto"/>
      </w:tblPr>
      <w:tblGrid>
        <w:gridCol w:w="1500"/>
        <w:gridCol w:w="4200"/>
        <w:gridCol w:w="2500"/>
      </w:tblGrid>
      <w:tr>
        <w:trPr>
          <w:tblHeader/>
        </w:trPr>
        <w:tc>
          <w:tcPr>
            <w:tcW w:w="1500" w:type="dxa"/>
          </w:tcPr>
          <w:p>
            <w:pPr/>
            <w:r>
              <w:rPr>
                <w:b/>
              </w:rPr>
              <w:t xml:space="preserve">等级</w:t>
            </w:r>
          </w:p>
        </w:tc>
        <w:tc>
          <w:tcPr>
            <w:tcW w:w="4200" w:type="dxa"/>
          </w:tcPr>
          <w:p>
            <w:pPr/>
            <w:r>
              <w:rPr>
                <w:b/>
              </w:rPr>
              <w:t xml:space="preserve">典型情形</w:t>
            </w:r>
          </w:p>
        </w:tc>
        <w:tc>
          <w:tcPr>
            <w:tcW w:w="2500" w:type="dxa"/>
          </w:tcPr>
          <w:p>
            <w:pPr/>
            <w:r>
              <w:rPr>
                <w:b/>
              </w:rPr>
              <w:t xml:space="preserve">处理时限</w:t>
            </w:r>
          </w:p>
        </w:tc>
      </w:tr>
      <w:tr>
        <w:tc>
          <w:tcPr>
            <w:tcW w:w="1500" w:type="dxa"/>
          </w:tcPr>
          <w:p>
            <w:pPr/>
            <w:r>
              <w:t xml:space="preserve">一级</w:t>
            </w:r>
          </w:p>
        </w:tc>
        <w:tc>
          <w:tcPr>
            <w:tcW w:w="4200" w:type="dxa"/>
          </w:tcPr>
          <w:p>
            <w:pPr/>
            <w:r>
              <w:t xml:space="preserve">可能导致停泵或减产的缺陷，如轴承温度超过 85 ℃、电缆接头发热</w:t>
            </w:r>
          </w:p>
        </w:tc>
        <w:tc>
          <w:tcPr>
            <w:tcW w:w="2500" w:type="dxa"/>
          </w:tcPr>
          <w:p>
            <w:pPr/>
            <w:r>
              <w:t xml:space="preserve">立即处理，2 小时内恢复或切换备用泵</w:t>
            </w:r>
          </w:p>
        </w:tc>
      </w:tr>
      <w:tr>
        <w:tc>
          <w:tcPr>
            <w:tcW w:w="1500" w:type="dxa"/>
          </w:tcPr>
          <w:p>
            <w:pPr/>
            <w:r>
              <w:t xml:space="preserve">二级</w:t>
            </w:r>
          </w:p>
        </w:tc>
        <w:tc>
          <w:tcPr>
            <w:tcW w:w="4200" w:type="dxa"/>
          </w:tcPr>
          <w:p>
            <w:pPr/>
            <w:r>
              <w:t xml:space="preserve">影响设备寿命但暂不影响运行，如密封泄漏超标、振动值接近上限</w:t>
            </w:r>
          </w:p>
        </w:tc>
        <w:tc>
          <w:tcPr>
            <w:tcW w:w="2500" w:type="dxa"/>
          </w:tcPr>
          <w:p>
            <w:pPr/>
            <w:r>
              <w:t xml:space="preserve">24 小时内处理</w:t>
            </w:r>
          </w:p>
        </w:tc>
      </w:tr>
      <w:tr>
        <w:tc>
          <w:tcPr>
            <w:tcW w:w="1500" w:type="dxa"/>
          </w:tcPr>
          <w:p>
            <w:pPr/>
            <w:r>
              <w:t xml:space="preserve">三级</w:t>
            </w:r>
          </w:p>
        </w:tc>
        <w:tc>
          <w:tcPr>
            <w:tcW w:w="4200" w:type="dxa"/>
          </w:tcPr>
          <w:p>
            <w:pPr/>
            <w:r>
              <w:t xml:space="preserve">外观、标识、照明等一般问题</w:t>
            </w:r>
          </w:p>
        </w:tc>
        <w:tc>
          <w:tcPr>
            <w:tcW w:w="2500" w:type="dxa"/>
          </w:tcPr>
          <w:p>
            <w:pPr/>
            <w:r>
              <w:t xml:space="preserve">7 天内处理</w:t>
            </w:r>
          </w:p>
        </w:tc>
      </w:tr>
    </w:tbl>
    <w:p>
      <w:pPr>
        <w:pStyle w:val="Heading1"/>
      </w:pPr>
      <w:r>
        <w:t xml:space="preserve">5　记录与归档</w:t>
      </w:r>
    </w:p>
    <w:p>
      <w:pPr/>
      <w:r>
        <w:t xml:space="preserve">巡检记录以电子方式保存于设备管理系统，保存期限不少于三年。纸质应急记录在系统恢复后 24 小时内补录。月末由运行主管导出缺陷统计，提交设备管理部。</w:t>
      </w:r>
    </w:p>
    <w:p>
      <w:pPr>
        <w:pStyle w:val="ListParagraph"/>
        <w:numPr>
          <w:ilvl w:val="0"/>
          <w:numId w:val="1"/>
        </w:numPr>
      </w:pPr>
      <w:r>
        <w:t xml:space="preserve">日常巡检记录：每班 1 份，系统自动归档。</w:t>
      </w:r>
    </w:p>
    <w:p>
      <w:pPr>
        <w:pStyle w:val="ListParagraph"/>
        <w:numPr>
          <w:ilvl w:val="0"/>
          <w:numId w:val="1"/>
        </w:numPr>
      </w:pPr>
      <w:r>
        <w:t xml:space="preserve">缺陷处理单：按缺陷编号归档，附处理前后照片。</w:t>
      </w:r>
    </w:p>
    <w:p>
      <w:pPr>
        <w:pStyle w:val="ListParagraph"/>
        <w:numPr>
          <w:ilvl w:val="0"/>
          <w:numId w:val="1"/>
        </w:numPr>
      </w:pPr>
      <w:r>
        <w:t xml:space="preserve">月度检查报告：每月 5 日前完成。</w:t>
      </w:r>
    </w:p>
    <w:p>
      <w:pPr>
        <w:pStyle w:val="Heading1"/>
      </w:pPr>
      <w:r>
        <w:t xml:space="preserve">6　附则</w:t>
      </w:r>
    </w:p>
    <w:p>
      <w:pPr/>
      <w:r>
        <w:t xml:space="preserve">本指导书由设备管理部负责解释，自发布之日起执行，原 SC-OPS-017 C/1 版同时废止。本文件为演示用原创资料。</w:t>
      </w:r>
    </w:p>
    <w:sectPr>
      <w:headerReference w:type="default" r:id="rIdH"/>
      <w:footerReference w:type="default" r:id="rIdF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t xml:space="preserve">受控文件，打印后不受控</w:t>
    </w:r>
  </w:p>
</w:ftr>
</file>

<file path=word/header1.xml><?xml version="1.0" encoding="utf-8"?>
<w:hdr xmlns:w="http://schemas.openxmlformats.org/wordprocessingml/2006/main">
  <w:p>
    <w:pPr>
      <w:pStyle w:val="Header"/>
    </w:pPr>
    <w:r>
      <w:t xml:space="preserve">城东水厂 · 作业指导书 SC-OPS-017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eastAsia="SimSun" w:hAnsi="Calibri"/>
        <w:sz w:val="21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keepNext/>
      <w:spacing w:before="240" w:after="120"/>
    </w:pPr>
    <w:rPr>
      <w:b/>
      <w:sz w:val="40"/>
    </w:rPr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0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6"/>
    </w:rPr>
  </w:style>
  <w:style w:type="paragraph" w:styleId="Caption">
    <w:name w:val="caption"/>
    <w:basedOn w:val="Normal"/>
    <w:next w:val="Normal"/>
    <w:qFormat/>
    <w:pPr>
      <w:keepNext/>
      <w:spacing w:before="240" w:after="120"/>
    </w:pPr>
    <w:rPr>
      <w:b/>
      <w:sz w:val="19"/>
    </w:rPr>
  </w:style>
  <w:style w:type="paragraph" w:styleId="ListParagraph">
    <w:name w:val="List Paragraph"/>
    <w:basedOn w:val="Normal"/>
    <w:pPr>
      <w:ind w:left="720"/>
    </w:pPr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numbering" Target="numbering.xml"/><Relationship Id="rIdH" Type="http://schemas.openxmlformats.org/officeDocument/2006/relationships/header" Target="header1.xml"/><Relationship Id="rIdF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二号泵房设备巡检作业指导书</dc:title>
  <dc:creator>设备管理部</dc:creator>
  <dcterms:created xsi:type="dcterms:W3CDTF">2026-08-20T09:00:00Z</dcterms:created>
</cp:coreProperties>
</file>