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A8119">
      <w:pPr>
        <w:rPr>
          <w:rFonts w:hint="eastAsia"/>
          <w:lang w:val="en-US" w:eastAsia="zh-CN"/>
        </w:rPr>
      </w:pPr>
    </w:p>
    <w:p w14:paraId="5AD542D9">
      <w:pPr>
        <w:rPr>
          <w:rFonts w:hint="eastAsia"/>
          <w:lang w:val="en-US" w:eastAsia="zh-CN"/>
        </w:rPr>
      </w:pPr>
    </w:p>
    <w:p w14:paraId="1EF486E0">
      <w:pPr>
        <w:rPr>
          <w:rFonts w:hint="eastAsia"/>
          <w:lang w:val="en-US" w:eastAsia="zh-CN"/>
        </w:rPr>
      </w:pPr>
    </w:p>
    <w:p w14:paraId="48B6514D">
      <w:pPr>
        <w:rPr>
          <w:rFonts w:hint="eastAsia"/>
          <w:lang w:val="en-US" w:eastAsia="zh-CN"/>
        </w:rPr>
      </w:pPr>
    </w:p>
    <w:p w14:paraId="0E5E3B5E">
      <w:pPr>
        <w:rPr>
          <w:rFonts w:hint="eastAsia"/>
          <w:lang w:val="en-US" w:eastAsia="zh-CN"/>
        </w:rPr>
      </w:pPr>
    </w:p>
    <w:p w14:paraId="5AA03AA2">
      <w:pPr>
        <w:rPr>
          <w:rFonts w:hint="eastAsia"/>
          <w:lang w:val="en-US" w:eastAsia="zh-CN"/>
        </w:rPr>
      </w:pPr>
    </w:p>
    <w:p w14:paraId="1C465481">
      <w:pPr>
        <w:rPr>
          <w:rFonts w:hint="eastAsia"/>
          <w:lang w:val="en-US" w:eastAsia="zh-CN"/>
        </w:rPr>
      </w:pPr>
    </w:p>
    <w:p w14:paraId="2A69DAD6">
      <w:pPr>
        <w:rPr>
          <w:rFonts w:hint="eastAsia"/>
          <w:lang w:val="en-US" w:eastAsia="zh-CN"/>
        </w:rPr>
      </w:pPr>
    </w:p>
    <w:p w14:paraId="72AB0A8A">
      <w:pPr>
        <w:jc w:val="center"/>
        <w:rPr>
          <w:rFonts w:hint="eastAsia"/>
          <w:sz w:val="52"/>
          <w:szCs w:val="52"/>
          <w:lang w:val="en-US" w:eastAsia="zh-CN"/>
        </w:rPr>
      </w:pPr>
      <w:r>
        <w:rPr>
          <w:rFonts w:hint="eastAsia"/>
          <w:sz w:val="52"/>
          <w:szCs w:val="52"/>
          <w:lang w:val="en-US" w:eastAsia="zh-CN"/>
        </w:rPr>
        <w:t>北汽自主品牌APP共享共建项目</w:t>
      </w:r>
    </w:p>
    <w:p w14:paraId="43C612E7">
      <w:pPr>
        <w:rPr>
          <w:rFonts w:hint="eastAsia"/>
          <w:lang w:val="en-US" w:eastAsia="zh-CN"/>
        </w:rPr>
      </w:pPr>
    </w:p>
    <w:p w14:paraId="7FBA85EC">
      <w:pPr>
        <w:jc w:val="center"/>
        <w:rPr>
          <w:rFonts w:hint="eastAsia"/>
          <w:sz w:val="48"/>
          <w:szCs w:val="48"/>
          <w:lang w:val="en-US" w:eastAsia="zh-CN"/>
        </w:rPr>
      </w:pPr>
      <w:r>
        <w:rPr>
          <w:rFonts w:hint="eastAsia"/>
          <w:sz w:val="48"/>
          <w:szCs w:val="48"/>
          <w:lang w:val="en-US" w:eastAsia="zh-CN"/>
        </w:rPr>
        <w:t>APP服务模块-产品需求说明书</w:t>
      </w:r>
    </w:p>
    <w:p w14:paraId="787AAEED">
      <w:pPr>
        <w:jc w:val="center"/>
        <w:rPr>
          <w:rFonts w:hint="eastAsia"/>
          <w:sz w:val="32"/>
          <w:szCs w:val="32"/>
          <w:lang w:val="en-US" w:eastAsia="zh-CN"/>
        </w:rPr>
      </w:pPr>
      <w:r>
        <w:rPr>
          <w:rFonts w:hint="eastAsia"/>
          <w:sz w:val="32"/>
          <w:szCs w:val="32"/>
          <w:lang w:val="en-US" w:eastAsia="zh-CN"/>
        </w:rPr>
        <w:t>（版本号：V1.0）</w:t>
      </w:r>
    </w:p>
    <w:p w14:paraId="05BDFF8F">
      <w:pPr>
        <w:rPr>
          <w:rFonts w:hint="eastAsia"/>
          <w:lang w:val="en-US" w:eastAsia="zh-CN"/>
        </w:rPr>
      </w:pPr>
    </w:p>
    <w:p w14:paraId="5D712ED9">
      <w:pPr>
        <w:rPr>
          <w:rFonts w:hint="eastAsia"/>
          <w:lang w:val="en-US" w:eastAsia="zh-CN"/>
        </w:rPr>
      </w:pPr>
    </w:p>
    <w:p w14:paraId="648BFB0E">
      <w:pPr>
        <w:rPr>
          <w:rFonts w:hint="eastAsia"/>
          <w:lang w:val="en-US" w:eastAsia="zh-CN"/>
        </w:rPr>
      </w:pPr>
    </w:p>
    <w:p w14:paraId="2658ABCA">
      <w:pPr>
        <w:rPr>
          <w:rFonts w:hint="eastAsia"/>
          <w:lang w:val="en-US" w:eastAsia="zh-CN"/>
        </w:rPr>
      </w:pPr>
    </w:p>
    <w:p w14:paraId="324E374A">
      <w:pPr>
        <w:rPr>
          <w:rFonts w:hint="eastAsia"/>
          <w:lang w:val="en-US" w:eastAsia="zh-CN"/>
        </w:rPr>
      </w:pPr>
    </w:p>
    <w:p w14:paraId="6A8FAE67">
      <w:pPr>
        <w:rPr>
          <w:rFonts w:hint="eastAsia"/>
          <w:lang w:val="en-US" w:eastAsia="zh-CN"/>
        </w:rPr>
      </w:pPr>
    </w:p>
    <w:p w14:paraId="32C44BB4">
      <w:pPr>
        <w:rPr>
          <w:rFonts w:hint="eastAsia"/>
          <w:lang w:val="en-US" w:eastAsia="zh-CN"/>
        </w:rPr>
      </w:pPr>
    </w:p>
    <w:p w14:paraId="36E61567">
      <w:pPr>
        <w:jc w:val="center"/>
        <w:rPr>
          <w:rFonts w:hint="default"/>
          <w:sz w:val="32"/>
          <w:szCs w:val="32"/>
          <w:lang w:val="en-US" w:eastAsia="zh-CN"/>
        </w:rPr>
      </w:pPr>
      <w:r>
        <w:rPr>
          <w:rFonts w:hint="eastAsia"/>
          <w:sz w:val="32"/>
          <w:szCs w:val="32"/>
          <w:lang w:val="en-US" w:eastAsia="zh-CN"/>
        </w:rPr>
        <w:t>编制：翌擎-张军</w:t>
      </w:r>
    </w:p>
    <w:p w14:paraId="0D1B9BA7">
      <w:pPr>
        <w:jc w:val="center"/>
        <w:rPr>
          <w:rFonts w:hint="default"/>
          <w:sz w:val="32"/>
          <w:szCs w:val="32"/>
          <w:lang w:val="en-US" w:eastAsia="zh-CN"/>
        </w:rPr>
      </w:pPr>
      <w:r>
        <w:rPr>
          <w:rFonts w:hint="eastAsia"/>
          <w:sz w:val="32"/>
          <w:szCs w:val="32"/>
          <w:lang w:val="en-US" w:eastAsia="zh-CN"/>
        </w:rPr>
        <w:t>审批：XX公司-XXX</w:t>
      </w:r>
    </w:p>
    <w:p w14:paraId="414ABD6C">
      <w:pPr>
        <w:jc w:val="center"/>
        <w:rPr>
          <w:rFonts w:hint="eastAsia"/>
          <w:sz w:val="32"/>
          <w:szCs w:val="32"/>
          <w:lang w:val="en-US" w:eastAsia="zh-CN"/>
        </w:rPr>
      </w:pPr>
      <w:r>
        <w:rPr>
          <w:rFonts w:hint="eastAsia"/>
          <w:sz w:val="32"/>
          <w:szCs w:val="32"/>
          <w:lang w:val="en-US" w:eastAsia="zh-CN"/>
        </w:rPr>
        <w:t>会签：北京汽车OA审批流</w:t>
      </w:r>
    </w:p>
    <w:p w14:paraId="5BA0BB45">
      <w:pPr>
        <w:jc w:val="center"/>
        <w:rPr>
          <w:rFonts w:hint="eastAsia"/>
          <w:sz w:val="32"/>
          <w:szCs w:val="32"/>
          <w:lang w:val="en-US" w:eastAsia="zh-CN"/>
        </w:rPr>
      </w:pPr>
    </w:p>
    <w:p w14:paraId="5B65CCA6">
      <w:pPr>
        <w:jc w:val="center"/>
        <w:rPr>
          <w:rFonts w:hint="eastAsia"/>
          <w:sz w:val="32"/>
          <w:szCs w:val="32"/>
          <w:lang w:val="en-US" w:eastAsia="zh-CN"/>
        </w:rPr>
      </w:pPr>
    </w:p>
    <w:p w14:paraId="3D82B6B9">
      <w:pPr>
        <w:jc w:val="center"/>
        <w:rPr>
          <w:rFonts w:hint="eastAsia"/>
          <w:sz w:val="32"/>
          <w:szCs w:val="32"/>
          <w:lang w:val="en-US" w:eastAsia="zh-CN"/>
        </w:rPr>
      </w:pPr>
    </w:p>
    <w:p w14:paraId="63D3921D">
      <w:pPr>
        <w:jc w:val="center"/>
        <w:rPr>
          <w:rFonts w:hint="eastAsia"/>
          <w:sz w:val="32"/>
          <w:szCs w:val="32"/>
          <w:lang w:val="en-US" w:eastAsia="zh-CN"/>
        </w:rPr>
      </w:pPr>
    </w:p>
    <w:p w14:paraId="13A3D6A3">
      <w:pPr>
        <w:jc w:val="center"/>
        <w:rPr>
          <w:rFonts w:hint="eastAsia"/>
          <w:sz w:val="32"/>
          <w:szCs w:val="32"/>
          <w:lang w:val="en-US" w:eastAsia="zh-CN"/>
        </w:rPr>
      </w:pPr>
    </w:p>
    <w:p w14:paraId="775AC47B">
      <w:pPr>
        <w:jc w:val="right"/>
        <w:rPr>
          <w:rFonts w:hint="default"/>
          <w:sz w:val="32"/>
          <w:szCs w:val="32"/>
          <w:lang w:val="en-US" w:eastAsia="zh-CN"/>
        </w:rPr>
        <w:sectPr>
          <w:footerReference r:id="rId5" w:type="default"/>
          <w:pgSz w:w="11906" w:h="16838"/>
          <w:pgMar w:top="1440" w:right="1800" w:bottom="1440" w:left="1800" w:header="851" w:footer="992" w:gutter="0"/>
          <w:cols w:space="425" w:num="1"/>
          <w:docGrid w:type="lines" w:linePitch="312" w:charSpace="0"/>
        </w:sectPr>
      </w:pPr>
      <w:r>
        <w:rPr>
          <w:rFonts w:hint="eastAsia"/>
          <w:sz w:val="32"/>
          <w:szCs w:val="32"/>
          <w:lang w:val="en-US" w:eastAsia="zh-CN"/>
        </w:rPr>
        <w:t>日期：2026年01月25日</w:t>
      </w:r>
    </w:p>
    <w:p w14:paraId="460687C7">
      <w:pPr>
        <w:jc w:val="center"/>
        <w:rPr>
          <w:rFonts w:hint="eastAsia"/>
          <w:b/>
          <w:bCs/>
          <w:sz w:val="32"/>
          <w:szCs w:val="32"/>
          <w:lang w:val="en-US" w:eastAsia="zh-CN"/>
        </w:rPr>
      </w:pPr>
      <w:r>
        <w:rPr>
          <w:rFonts w:hint="eastAsia"/>
          <w:b/>
          <w:bCs/>
          <w:sz w:val="32"/>
          <w:szCs w:val="32"/>
          <w:lang w:val="en-US" w:eastAsia="zh-CN"/>
        </w:rPr>
        <w:t>历史版本记录</w:t>
      </w:r>
    </w:p>
    <w:tbl>
      <w:tblPr>
        <w:tblStyle w:val="31"/>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1381"/>
        <w:gridCol w:w="1390"/>
        <w:gridCol w:w="4359"/>
      </w:tblGrid>
      <w:tr w14:paraId="3D81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89" w:type="dxa"/>
            <w:vAlign w:val="center"/>
          </w:tcPr>
          <w:p w14:paraId="2E224D98">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版本</w:t>
            </w:r>
          </w:p>
        </w:tc>
        <w:tc>
          <w:tcPr>
            <w:tcW w:w="1381" w:type="dxa"/>
            <w:vAlign w:val="center"/>
          </w:tcPr>
          <w:p w14:paraId="5DA547AB">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日期</w:t>
            </w:r>
          </w:p>
        </w:tc>
        <w:tc>
          <w:tcPr>
            <w:tcW w:w="1390" w:type="dxa"/>
            <w:vAlign w:val="center"/>
          </w:tcPr>
          <w:p w14:paraId="396F1536">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作者</w:t>
            </w:r>
          </w:p>
        </w:tc>
        <w:tc>
          <w:tcPr>
            <w:tcW w:w="4359" w:type="dxa"/>
            <w:vAlign w:val="center"/>
          </w:tcPr>
          <w:p w14:paraId="187EAD89">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bCs/>
                <w:vertAlign w:val="baseline"/>
                <w:lang w:val="en-US" w:eastAsia="zh-CN"/>
              </w:rPr>
            </w:pPr>
            <w:r>
              <w:rPr>
                <w:rFonts w:hint="eastAsia" w:asciiTheme="minorEastAsia" w:hAnsiTheme="minorEastAsia" w:eastAsiaTheme="minorEastAsia" w:cstheme="minorEastAsia"/>
                <w:b/>
                <w:bCs/>
                <w:vertAlign w:val="baseline"/>
                <w:lang w:val="en-US" w:eastAsia="zh-CN"/>
              </w:rPr>
              <w:t>修订描述</w:t>
            </w:r>
          </w:p>
        </w:tc>
      </w:tr>
      <w:tr w14:paraId="12E6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9" w:type="dxa"/>
            <w:vAlign w:val="center"/>
          </w:tcPr>
          <w:p w14:paraId="5911892B">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1381" w:type="dxa"/>
            <w:vAlign w:val="center"/>
          </w:tcPr>
          <w:p w14:paraId="3D7D8327">
            <w:pPr>
              <w:bidi w:val="0"/>
              <w:snapToGrid w:val="0"/>
              <w:spacing w:line="240" w:lineRule="auto"/>
              <w:ind w:left="0" w:leftChars="0" w:right="0" w:rightChars="0" w:firstLine="0" w:firstLineChars="0"/>
              <w:jc w:val="center"/>
              <w:rPr>
                <w:rFonts w:hint="default" w:asciiTheme="minorEastAsia" w:hAnsiTheme="minorEastAsia" w:eastAsiaTheme="minorEastAsia" w:cstheme="minorEastAsia"/>
                <w:sz w:val="21"/>
                <w:szCs w:val="21"/>
                <w:lang w:val="en-US" w:eastAsia="zh-CN"/>
              </w:rPr>
            </w:pPr>
            <w:r>
              <w:rPr>
                <w:rFonts w:hint="eastAsia" w:asciiTheme="minorEastAsia" w:hAnsiTheme="minorEastAsia" w:cstheme="minorEastAsia"/>
                <w:sz w:val="21"/>
                <w:szCs w:val="21"/>
                <w:lang w:val="en-US" w:eastAsia="zh-CN"/>
              </w:rPr>
              <w:t>2026.1.25</w:t>
            </w:r>
          </w:p>
        </w:tc>
        <w:tc>
          <w:tcPr>
            <w:tcW w:w="1390" w:type="dxa"/>
            <w:vAlign w:val="center"/>
          </w:tcPr>
          <w:p w14:paraId="433C9530">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Zhangjun</w:t>
            </w:r>
          </w:p>
        </w:tc>
        <w:tc>
          <w:tcPr>
            <w:tcW w:w="4359" w:type="dxa"/>
            <w:vAlign w:val="center"/>
          </w:tcPr>
          <w:p w14:paraId="3F66A61B">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初始版本</w:t>
            </w:r>
          </w:p>
        </w:tc>
      </w:tr>
      <w:tr w14:paraId="4607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9" w:type="dxa"/>
            <w:vAlign w:val="center"/>
          </w:tcPr>
          <w:p w14:paraId="44F67BE4">
            <w:pPr>
              <w:snapToGrid w:val="0"/>
              <w:spacing w:after="0" w:afterLines="0" w:line="240" w:lineRule="auto"/>
              <w:ind w:left="0" w:leftChars="0" w:right="0" w:rightChars="0" w:firstLine="0" w:firstLineChars="0"/>
              <w:jc w:val="center"/>
              <w:rPr>
                <w:rFonts w:hint="default" w:asciiTheme="minorEastAsia" w:hAnsiTheme="minorEastAsia" w:eastAsiaTheme="minorEastAsia" w:cstheme="minorEastAsia"/>
                <w:b/>
                <w:bCs/>
                <w:color w:val="auto"/>
                <w:sz w:val="21"/>
                <w:szCs w:val="21"/>
                <w:vertAlign w:val="baseline"/>
                <w:lang w:val="en-US" w:eastAsia="zh-CN"/>
              </w:rPr>
            </w:pPr>
          </w:p>
        </w:tc>
        <w:tc>
          <w:tcPr>
            <w:tcW w:w="1381" w:type="dxa"/>
            <w:vAlign w:val="center"/>
          </w:tcPr>
          <w:p w14:paraId="54D07F57">
            <w:pPr>
              <w:snapToGrid w:val="0"/>
              <w:spacing w:after="0" w:afterLines="0" w:line="240" w:lineRule="auto"/>
              <w:ind w:left="0" w:leftChars="0" w:right="0" w:rightChars="0" w:firstLine="0" w:firstLineChars="0"/>
              <w:jc w:val="center"/>
              <w:rPr>
                <w:rFonts w:hint="default" w:asciiTheme="minorEastAsia" w:hAnsiTheme="minorEastAsia" w:eastAsiaTheme="minorEastAsia" w:cstheme="minorEastAsia"/>
                <w:b w:val="0"/>
                <w:bCs w:val="0"/>
                <w:color w:val="auto"/>
                <w:sz w:val="21"/>
                <w:szCs w:val="21"/>
                <w:vertAlign w:val="baseline"/>
                <w:lang w:val="en-US" w:eastAsia="zh-CN"/>
              </w:rPr>
            </w:pPr>
          </w:p>
        </w:tc>
        <w:tc>
          <w:tcPr>
            <w:tcW w:w="1390" w:type="dxa"/>
            <w:vAlign w:val="center"/>
          </w:tcPr>
          <w:p w14:paraId="76127742">
            <w:pPr>
              <w:snapToGrid w:val="0"/>
              <w:spacing w:line="240" w:lineRule="auto"/>
              <w:ind w:left="0" w:leftChars="0" w:right="0" w:rightChars="0" w:firstLine="0" w:firstLineChars="0"/>
              <w:jc w:val="center"/>
              <w:rPr>
                <w:rFonts w:hint="default" w:asciiTheme="minorEastAsia" w:hAnsiTheme="minorEastAsia" w:eastAsiaTheme="minorEastAsia" w:cstheme="minorEastAsia"/>
                <w:color w:val="auto"/>
                <w:sz w:val="21"/>
                <w:szCs w:val="21"/>
                <w:vertAlign w:val="baseline"/>
                <w:lang w:val="en-US" w:eastAsia="zh-CN"/>
              </w:rPr>
            </w:pPr>
          </w:p>
        </w:tc>
        <w:tc>
          <w:tcPr>
            <w:tcW w:w="4359" w:type="dxa"/>
            <w:vAlign w:val="center"/>
          </w:tcPr>
          <w:p w14:paraId="14C6D4D3">
            <w:pPr>
              <w:widowControl w:val="0"/>
              <w:numPr>
                <w:ilvl w:val="0"/>
                <w:numId w:val="0"/>
              </w:numPr>
              <w:adjustRightInd w:val="0"/>
              <w:snapToGrid w:val="0"/>
              <w:spacing w:after="20" w:afterLines="20" w:line="240" w:lineRule="auto"/>
              <w:ind w:leftChars="0" w:right="0" w:rightChars="0"/>
              <w:jc w:val="left"/>
              <w:rPr>
                <w:rFonts w:hint="default" w:asciiTheme="minorEastAsia" w:hAnsiTheme="minorEastAsia" w:cstheme="minorEastAsia"/>
                <w:color w:val="auto"/>
                <w:sz w:val="21"/>
                <w:szCs w:val="21"/>
                <w:vertAlign w:val="baseline"/>
                <w:lang w:val="en-US" w:eastAsia="zh-CN"/>
              </w:rPr>
            </w:pPr>
          </w:p>
        </w:tc>
      </w:tr>
      <w:tr w14:paraId="4639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89" w:type="dxa"/>
            <w:vAlign w:val="center"/>
          </w:tcPr>
          <w:p w14:paraId="3DD5BEA0">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bCs/>
                <w:color w:val="0000FF"/>
                <w:vertAlign w:val="baseline"/>
                <w:lang w:val="en-US" w:eastAsia="zh-CN"/>
              </w:rPr>
            </w:pPr>
          </w:p>
        </w:tc>
        <w:tc>
          <w:tcPr>
            <w:tcW w:w="1381" w:type="dxa"/>
            <w:vAlign w:val="center"/>
          </w:tcPr>
          <w:p w14:paraId="2BB05D36">
            <w:pPr>
              <w:snapToGrid w:val="0"/>
              <w:spacing w:after="0" w:afterLines="0" w:line="240" w:lineRule="auto"/>
              <w:ind w:left="0" w:leftChars="0" w:right="0" w:rightChars="0" w:firstLine="0" w:firstLineChars="0"/>
              <w:jc w:val="center"/>
              <w:rPr>
                <w:rFonts w:hint="eastAsia" w:asciiTheme="minorEastAsia" w:hAnsiTheme="minorEastAsia" w:eastAsiaTheme="minorEastAsia" w:cstheme="minorEastAsia"/>
                <w:b w:val="0"/>
                <w:bCs w:val="0"/>
                <w:color w:val="0000FF"/>
                <w:vertAlign w:val="baseline"/>
                <w:lang w:val="en-US" w:eastAsia="zh-CN"/>
              </w:rPr>
            </w:pPr>
          </w:p>
        </w:tc>
        <w:tc>
          <w:tcPr>
            <w:tcW w:w="1390" w:type="dxa"/>
            <w:vAlign w:val="center"/>
          </w:tcPr>
          <w:p w14:paraId="1CED374B">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0000FF"/>
                <w:vertAlign w:val="baseline"/>
                <w:lang w:val="en-US" w:eastAsia="zh-CN"/>
              </w:rPr>
            </w:pPr>
          </w:p>
        </w:tc>
        <w:tc>
          <w:tcPr>
            <w:tcW w:w="4359" w:type="dxa"/>
            <w:vAlign w:val="center"/>
          </w:tcPr>
          <w:p w14:paraId="6E67CBDA">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0000FF"/>
                <w:vertAlign w:val="baseline"/>
                <w:lang w:val="en-US" w:eastAsia="zh-CN"/>
              </w:rPr>
            </w:pPr>
          </w:p>
        </w:tc>
      </w:tr>
    </w:tbl>
    <w:p w14:paraId="316CDFA0">
      <w:pPr>
        <w:jc w:val="center"/>
        <w:rPr>
          <w:rFonts w:hint="default"/>
          <w:sz w:val="32"/>
          <w:szCs w:val="32"/>
          <w:lang w:val="en-US" w:eastAsia="zh-CN"/>
        </w:rPr>
      </w:pPr>
    </w:p>
    <w:p w14:paraId="50020DEA">
      <w:pPr>
        <w:jc w:val="center"/>
        <w:rPr>
          <w:rFonts w:hint="default"/>
          <w:sz w:val="32"/>
          <w:szCs w:val="32"/>
          <w:lang w:val="en-US" w:eastAsia="zh-CN"/>
        </w:rPr>
        <w:sectPr>
          <w:pgSz w:w="11906" w:h="16838"/>
          <w:pgMar w:top="1440" w:right="1800" w:bottom="1440" w:left="1800" w:header="851" w:footer="992" w:gutter="0"/>
          <w:cols w:space="425" w:num="1"/>
          <w:docGrid w:type="lines" w:linePitch="312" w:charSpace="0"/>
        </w:sectPr>
      </w:pPr>
      <w:bookmarkStart w:id="10" w:name="_GoBack"/>
      <w:bookmarkEnd w:id="10"/>
    </w:p>
    <w:sdt>
      <w:sdtPr>
        <w:rPr>
          <w:rFonts w:ascii="宋体" w:hAnsi="宋体" w:eastAsia="宋体" w:cstheme="minorBidi"/>
          <w:kern w:val="2"/>
          <w:sz w:val="21"/>
          <w:szCs w:val="24"/>
          <w:lang w:val="en-US" w:eastAsia="zh-CN" w:bidi="ar-SA"/>
        </w:rPr>
        <w:id w:val="147473323"/>
        <w15:color w:val="DBDBDB"/>
        <w:docPartObj>
          <w:docPartGallery w:val="Table of Contents"/>
          <w:docPartUnique/>
        </w:docPartObj>
      </w:sdtPr>
      <w:sdtEndPr>
        <w:rPr>
          <w:rFonts w:hint="default" w:asciiTheme="minorAscii" w:hAnsiTheme="minorAscii" w:eastAsiaTheme="minorEastAsia" w:cstheme="minorBidi"/>
          <w:kern w:val="2"/>
          <w:sz w:val="24"/>
          <w:szCs w:val="32"/>
          <w:lang w:val="en-US" w:eastAsia="zh-CN" w:bidi="ar-SA"/>
        </w:rPr>
      </w:sdtEndPr>
      <w:sdtContent>
        <w:p w14:paraId="128450A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AF0BCAB">
          <w:pPr>
            <w:pStyle w:val="22"/>
            <w:tabs>
              <w:tab w:val="right" w:leader="dot" w:pos="8306"/>
            </w:tabs>
          </w:pPr>
          <w:r>
            <w:rPr>
              <w:rFonts w:hint="default" w:asciiTheme="minorAscii" w:hAnsiTheme="minorAscii" w:eastAsiaTheme="minorEastAsia" w:cstheme="minorBidi"/>
              <w:kern w:val="2"/>
              <w:sz w:val="24"/>
              <w:szCs w:val="32"/>
              <w:lang w:val="en-US" w:eastAsia="zh-CN" w:bidi="ar-SA"/>
            </w:rPr>
            <w:fldChar w:fldCharType="begin"/>
          </w:r>
          <w:r>
            <w:rPr>
              <w:rFonts w:hint="default" w:asciiTheme="minorAscii" w:hAnsiTheme="minorAscii" w:eastAsiaTheme="minorEastAsia" w:cstheme="minorBidi"/>
              <w:kern w:val="2"/>
              <w:sz w:val="24"/>
              <w:szCs w:val="32"/>
              <w:lang w:val="en-US" w:eastAsia="zh-CN" w:bidi="ar-SA"/>
            </w:rPr>
            <w:instrText xml:space="preserve">TOC \o "1-3" \h \u </w:instrText>
          </w:r>
          <w:r>
            <w:rPr>
              <w:rFonts w:hint="default" w:asciiTheme="minorAscii" w:hAnsiTheme="minorAscii" w:eastAsiaTheme="minorEastAsia" w:cstheme="minorBidi"/>
              <w:kern w:val="2"/>
              <w:sz w:val="24"/>
              <w:szCs w:val="32"/>
              <w:lang w:val="en-US" w:eastAsia="zh-CN" w:bidi="ar-SA"/>
            </w:rPr>
            <w:fldChar w:fldCharType="separate"/>
          </w: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_Toc21619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一、 APP服务</w:t>
          </w:r>
          <w:r>
            <w:tab/>
          </w:r>
          <w:r>
            <w:fldChar w:fldCharType="begin"/>
          </w:r>
          <w:r>
            <w:instrText xml:space="preserve"> PAGEREF _Toc21619 \h </w:instrText>
          </w:r>
          <w:r>
            <w:fldChar w:fldCharType="separate"/>
          </w:r>
          <w:r>
            <w:t>4</w:t>
          </w:r>
          <w:r>
            <w:fldChar w:fldCharType="end"/>
          </w:r>
          <w:r>
            <w:rPr>
              <w:rFonts w:hint="default" w:asciiTheme="minorAscii" w:hAnsiTheme="minorAscii" w:eastAsiaTheme="minorEastAsia" w:cstheme="minorBidi"/>
              <w:kern w:val="2"/>
              <w:szCs w:val="32"/>
              <w:lang w:val="en-US" w:eastAsia="zh-CN" w:bidi="ar-SA"/>
            </w:rPr>
            <w:fldChar w:fldCharType="end"/>
          </w:r>
        </w:p>
        <w:p w14:paraId="3AEEC07C">
          <w:pPr>
            <w:pStyle w:val="2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_Toc17708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1.1需求描述</w:t>
          </w:r>
          <w:r>
            <w:tab/>
          </w:r>
          <w:r>
            <w:fldChar w:fldCharType="begin"/>
          </w:r>
          <w:r>
            <w:instrText xml:space="preserve"> PAGEREF _Toc17708 \h </w:instrText>
          </w:r>
          <w:r>
            <w:fldChar w:fldCharType="separate"/>
          </w:r>
          <w:r>
            <w:t>4</w:t>
          </w:r>
          <w:r>
            <w:fldChar w:fldCharType="end"/>
          </w:r>
          <w:r>
            <w:rPr>
              <w:rFonts w:hint="default" w:asciiTheme="minorAscii" w:hAnsiTheme="minorAscii" w:eastAsiaTheme="minorEastAsia" w:cstheme="minorBidi"/>
              <w:kern w:val="2"/>
              <w:szCs w:val="32"/>
              <w:lang w:val="en-US" w:eastAsia="zh-CN" w:bidi="ar-SA"/>
            </w:rPr>
            <w:fldChar w:fldCharType="end"/>
          </w:r>
        </w:p>
        <w:p w14:paraId="5B539A66">
          <w:pPr>
            <w:pStyle w:val="2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_Toc18086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1.2功能清单</w:t>
          </w:r>
          <w:r>
            <w:tab/>
          </w:r>
          <w:r>
            <w:fldChar w:fldCharType="begin"/>
          </w:r>
          <w:r>
            <w:instrText xml:space="preserve"> PAGEREF _Toc18086 \h </w:instrText>
          </w:r>
          <w:r>
            <w:fldChar w:fldCharType="separate"/>
          </w:r>
          <w:r>
            <w:t>4</w:t>
          </w:r>
          <w:r>
            <w:fldChar w:fldCharType="end"/>
          </w:r>
          <w:r>
            <w:rPr>
              <w:rFonts w:hint="default" w:asciiTheme="minorAscii" w:hAnsiTheme="minorAscii" w:eastAsiaTheme="minorEastAsia" w:cstheme="minorBidi"/>
              <w:kern w:val="2"/>
              <w:szCs w:val="32"/>
              <w:lang w:val="en-US" w:eastAsia="zh-CN" w:bidi="ar-SA"/>
            </w:rPr>
            <w:fldChar w:fldCharType="end"/>
          </w:r>
        </w:p>
        <w:p w14:paraId="1E3364E1">
          <w:pPr>
            <w:pStyle w:val="2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_Toc30393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1.3业务流程图</w:t>
          </w:r>
          <w:r>
            <w:tab/>
          </w:r>
          <w:r>
            <w:fldChar w:fldCharType="begin"/>
          </w:r>
          <w:r>
            <w:instrText xml:space="preserve"> PAGEREF _Toc30393 \h </w:instrText>
          </w:r>
          <w:r>
            <w:fldChar w:fldCharType="separate"/>
          </w:r>
          <w:r>
            <w:t>5</w:t>
          </w:r>
          <w:r>
            <w:fldChar w:fldCharType="end"/>
          </w:r>
          <w:r>
            <w:rPr>
              <w:rFonts w:hint="default" w:asciiTheme="minorAscii" w:hAnsiTheme="minorAscii" w:eastAsiaTheme="minorEastAsia" w:cstheme="minorBidi"/>
              <w:kern w:val="2"/>
              <w:szCs w:val="32"/>
              <w:lang w:val="en-US" w:eastAsia="zh-CN" w:bidi="ar-SA"/>
            </w:rPr>
            <w:fldChar w:fldCharType="end"/>
          </w:r>
        </w:p>
        <w:p w14:paraId="2B4E0080">
          <w:pPr>
            <w:pStyle w:val="2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_Toc31406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1.4业务规则说明</w:t>
          </w:r>
          <w:r>
            <w:tab/>
          </w:r>
          <w:r>
            <w:fldChar w:fldCharType="begin"/>
          </w:r>
          <w:r>
            <w:instrText xml:space="preserve"> PAGEREF _Toc31406 \h </w:instrText>
          </w:r>
          <w:r>
            <w:fldChar w:fldCharType="separate"/>
          </w:r>
          <w:r>
            <w:t>5</w:t>
          </w:r>
          <w:r>
            <w:fldChar w:fldCharType="end"/>
          </w:r>
          <w:r>
            <w:rPr>
              <w:rFonts w:hint="default" w:asciiTheme="minorAscii" w:hAnsiTheme="minorAscii" w:eastAsiaTheme="minorEastAsia" w:cstheme="minorBidi"/>
              <w:kern w:val="2"/>
              <w:szCs w:val="32"/>
              <w:lang w:val="en-US" w:eastAsia="zh-CN" w:bidi="ar-SA"/>
            </w:rPr>
            <w:fldChar w:fldCharType="end"/>
          </w:r>
        </w:p>
        <w:p w14:paraId="49DB2604">
          <w:pPr>
            <w:pStyle w:val="1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_Toc23860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1.4.1车主服务</w:t>
          </w:r>
          <w:r>
            <w:tab/>
          </w:r>
          <w:r>
            <w:fldChar w:fldCharType="begin"/>
          </w:r>
          <w:r>
            <w:instrText xml:space="preserve"> PAGEREF _Toc23860 \h </w:instrText>
          </w:r>
          <w:r>
            <w:fldChar w:fldCharType="separate"/>
          </w:r>
          <w:r>
            <w:t>6</w:t>
          </w:r>
          <w:r>
            <w:fldChar w:fldCharType="end"/>
          </w:r>
          <w:r>
            <w:rPr>
              <w:rFonts w:hint="default" w:asciiTheme="minorAscii" w:hAnsiTheme="minorAscii" w:eastAsiaTheme="minorEastAsia" w:cstheme="minorBidi"/>
              <w:kern w:val="2"/>
              <w:szCs w:val="32"/>
              <w:lang w:val="en-US" w:eastAsia="zh-CN" w:bidi="ar-SA"/>
            </w:rPr>
            <w:fldChar w:fldCharType="end"/>
          </w:r>
        </w:p>
        <w:p w14:paraId="0B40F58A">
          <w:pPr>
            <w:pStyle w:val="1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_Toc10656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1.4.2服务网点</w:t>
          </w:r>
          <w:r>
            <w:tab/>
          </w:r>
          <w:r>
            <w:fldChar w:fldCharType="begin"/>
          </w:r>
          <w:r>
            <w:instrText xml:space="preserve"> PAGEREF _Toc10656 \h </w:instrText>
          </w:r>
          <w:r>
            <w:fldChar w:fldCharType="separate"/>
          </w:r>
          <w:r>
            <w:t>10</w:t>
          </w:r>
          <w:r>
            <w:fldChar w:fldCharType="end"/>
          </w:r>
          <w:r>
            <w:rPr>
              <w:rFonts w:hint="default" w:asciiTheme="minorAscii" w:hAnsiTheme="minorAscii" w:eastAsiaTheme="minorEastAsia" w:cstheme="minorBidi"/>
              <w:kern w:val="2"/>
              <w:szCs w:val="32"/>
              <w:lang w:val="en-US" w:eastAsia="zh-CN" w:bidi="ar-SA"/>
            </w:rPr>
            <w:fldChar w:fldCharType="end"/>
          </w:r>
        </w:p>
        <w:p w14:paraId="47758206">
          <w:pPr>
            <w:pStyle w:val="1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_Toc27345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1.4.3 充电服务</w:t>
          </w:r>
          <w:r>
            <w:tab/>
          </w:r>
          <w:r>
            <w:fldChar w:fldCharType="begin"/>
          </w:r>
          <w:r>
            <w:instrText xml:space="preserve"> PAGEREF _Toc27345 \h </w:instrText>
          </w:r>
          <w:r>
            <w:fldChar w:fldCharType="separate"/>
          </w:r>
          <w:r>
            <w:t>11</w:t>
          </w:r>
          <w:r>
            <w:fldChar w:fldCharType="end"/>
          </w:r>
          <w:r>
            <w:rPr>
              <w:rFonts w:hint="default" w:asciiTheme="minorAscii" w:hAnsiTheme="minorAscii" w:eastAsiaTheme="minorEastAsia" w:cstheme="minorBidi"/>
              <w:kern w:val="2"/>
              <w:szCs w:val="32"/>
              <w:lang w:val="en-US" w:eastAsia="zh-CN" w:bidi="ar-SA"/>
            </w:rPr>
            <w:fldChar w:fldCharType="end"/>
          </w:r>
        </w:p>
        <w:p w14:paraId="58459062">
          <w:pPr>
            <w:pStyle w:val="1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_Toc27787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1.4.4 购车服务</w:t>
          </w:r>
          <w:r>
            <w:tab/>
          </w:r>
          <w:r>
            <w:fldChar w:fldCharType="begin"/>
          </w:r>
          <w:r>
            <w:instrText xml:space="preserve"> PAGEREF _Toc27787 \h </w:instrText>
          </w:r>
          <w:r>
            <w:fldChar w:fldCharType="separate"/>
          </w:r>
          <w:r>
            <w:t>11</w:t>
          </w:r>
          <w:r>
            <w:fldChar w:fldCharType="end"/>
          </w:r>
          <w:r>
            <w:rPr>
              <w:rFonts w:hint="default" w:asciiTheme="minorAscii" w:hAnsiTheme="minorAscii" w:eastAsiaTheme="minorEastAsia" w:cstheme="minorBidi"/>
              <w:kern w:val="2"/>
              <w:szCs w:val="32"/>
              <w:lang w:val="en-US" w:eastAsia="zh-CN" w:bidi="ar-SA"/>
            </w:rPr>
            <w:fldChar w:fldCharType="end"/>
          </w:r>
        </w:p>
        <w:p w14:paraId="256BE3C8">
          <w:pPr>
            <w:pStyle w:val="25"/>
            <w:tabs>
              <w:tab w:val="right" w:leader="dot" w:pos="8306"/>
            </w:tabs>
          </w:pPr>
          <w:r>
            <w:rPr>
              <w:rFonts w:hint="default" w:asciiTheme="minorAscii" w:hAnsiTheme="minorAscii" w:eastAsiaTheme="minorEastAsia" w:cstheme="minorBidi"/>
              <w:kern w:val="2"/>
              <w:szCs w:val="32"/>
              <w:lang w:val="en-US" w:eastAsia="zh-CN" w:bidi="ar-SA"/>
            </w:rPr>
            <w:fldChar w:fldCharType="begin"/>
          </w:r>
          <w:r>
            <w:rPr>
              <w:rFonts w:hint="default" w:asciiTheme="minorAscii" w:hAnsiTheme="minorAscii" w:eastAsiaTheme="minorEastAsia" w:cstheme="minorBidi"/>
              <w:kern w:val="2"/>
              <w:szCs w:val="32"/>
              <w:lang w:val="en-US" w:eastAsia="zh-CN" w:bidi="ar-SA"/>
            </w:rPr>
            <w:instrText xml:space="preserve"> HYPERLINK \l _Toc11624 </w:instrText>
          </w:r>
          <w:r>
            <w:rPr>
              <w:rFonts w:hint="default" w:asciiTheme="minorAscii" w:hAnsiTheme="minorAscii" w:eastAsiaTheme="minorEastAsia" w:cstheme="minorBidi"/>
              <w:kern w:val="2"/>
              <w:szCs w:val="32"/>
              <w:lang w:val="en-US" w:eastAsia="zh-CN" w:bidi="ar-SA"/>
            </w:rPr>
            <w:fldChar w:fldCharType="separate"/>
          </w:r>
          <w:r>
            <w:rPr>
              <w:rFonts w:hint="eastAsia"/>
              <w:lang w:val="en-US" w:eastAsia="zh-CN"/>
            </w:rPr>
            <w:t>1.5其他</w:t>
          </w:r>
          <w:r>
            <w:tab/>
          </w:r>
          <w:r>
            <w:fldChar w:fldCharType="begin"/>
          </w:r>
          <w:r>
            <w:instrText xml:space="preserve"> PAGEREF _Toc11624 \h </w:instrText>
          </w:r>
          <w:r>
            <w:fldChar w:fldCharType="separate"/>
          </w:r>
          <w:r>
            <w:t>22</w:t>
          </w:r>
          <w:r>
            <w:fldChar w:fldCharType="end"/>
          </w:r>
          <w:r>
            <w:rPr>
              <w:rFonts w:hint="default" w:asciiTheme="minorAscii" w:hAnsiTheme="minorAscii" w:eastAsiaTheme="minorEastAsia" w:cstheme="minorBidi"/>
              <w:kern w:val="2"/>
              <w:szCs w:val="32"/>
              <w:lang w:val="en-US" w:eastAsia="zh-CN" w:bidi="ar-SA"/>
            </w:rPr>
            <w:fldChar w:fldCharType="end"/>
          </w:r>
        </w:p>
        <w:p w14:paraId="303D719F">
          <w:pPr>
            <w:jc w:val="both"/>
            <w:rPr>
              <w:rFonts w:hint="default" w:asciiTheme="minorAscii" w:hAnsiTheme="minorAscii" w:eastAsiaTheme="minorEastAsia" w:cstheme="minorBidi"/>
              <w:kern w:val="2"/>
              <w:sz w:val="24"/>
              <w:szCs w:val="32"/>
              <w:lang w:val="en-US" w:eastAsia="zh-CN" w:bidi="ar-SA"/>
            </w:rPr>
          </w:pPr>
          <w:r>
            <w:rPr>
              <w:rFonts w:hint="default" w:asciiTheme="minorAscii" w:hAnsiTheme="minorAscii" w:eastAsiaTheme="minorEastAsia" w:cstheme="minorBidi"/>
              <w:kern w:val="2"/>
              <w:szCs w:val="32"/>
              <w:lang w:val="en-US" w:eastAsia="zh-CN" w:bidi="ar-SA"/>
            </w:rPr>
            <w:fldChar w:fldCharType="end"/>
          </w:r>
        </w:p>
      </w:sdtContent>
    </w:sdt>
    <w:p w14:paraId="60FDB8D4">
      <w:pPr>
        <w:jc w:val="both"/>
        <w:rPr>
          <w:rFonts w:hint="default" w:asciiTheme="minorAscii" w:hAnsiTheme="minorAscii" w:eastAsiaTheme="minorEastAsia" w:cstheme="minorBidi"/>
          <w:kern w:val="2"/>
          <w:sz w:val="24"/>
          <w:szCs w:val="32"/>
          <w:lang w:val="en-US" w:eastAsia="zh-CN" w:bidi="ar-SA"/>
        </w:rPr>
        <w:sectPr>
          <w:pgSz w:w="11906" w:h="16838"/>
          <w:pgMar w:top="1440" w:right="1800" w:bottom="1440" w:left="1800" w:header="851" w:footer="992" w:gutter="0"/>
          <w:cols w:space="425" w:num="1"/>
          <w:docGrid w:type="lines" w:linePitch="312" w:charSpace="0"/>
        </w:sectPr>
      </w:pPr>
    </w:p>
    <w:p w14:paraId="51EEDE1C">
      <w:pPr>
        <w:pStyle w:val="2"/>
        <w:numPr>
          <w:ilvl w:val="0"/>
          <w:numId w:val="1"/>
        </w:numPr>
        <w:bidi w:val="0"/>
        <w:rPr>
          <w:rFonts w:hint="eastAsia"/>
          <w:lang w:val="en-US" w:eastAsia="zh-CN"/>
        </w:rPr>
      </w:pPr>
      <w:bookmarkStart w:id="0" w:name="_Toc21619"/>
      <w:r>
        <w:rPr>
          <w:rFonts w:hint="eastAsia"/>
          <w:lang w:val="en-US" w:eastAsia="zh-CN"/>
        </w:rPr>
        <w:t>APP服务</w:t>
      </w:r>
      <w:bookmarkEnd w:id="0"/>
    </w:p>
    <w:p w14:paraId="1745B6A3">
      <w:pPr>
        <w:pStyle w:val="3"/>
        <w:bidi w:val="0"/>
        <w:rPr>
          <w:rFonts w:hint="eastAsia"/>
          <w:lang w:val="en-US" w:eastAsia="zh-CN"/>
        </w:rPr>
      </w:pPr>
      <w:bookmarkStart w:id="1" w:name="_Toc17708"/>
      <w:r>
        <w:rPr>
          <w:rFonts w:hint="eastAsia"/>
          <w:lang w:val="en-US" w:eastAsia="zh-CN"/>
        </w:rPr>
        <w:t>1.1需求描述</w:t>
      </w:r>
      <w:bookmarkEnd w:id="1"/>
    </w:p>
    <w:p w14:paraId="3D3878E7">
      <w:pPr>
        <w:keepNext w:val="0"/>
        <w:keepLines w:val="0"/>
        <w:pageBreakBefore w:val="0"/>
        <w:widowControl w:val="0"/>
        <w:numPr>
          <w:ilvl w:val="0"/>
          <w:numId w:val="0"/>
        </w:numPr>
        <w:kinsoku/>
        <w:wordWrap/>
        <w:overflowPunct/>
        <w:topLinePunct w:val="0"/>
        <w:autoSpaceDE/>
        <w:autoSpaceDN/>
        <w:bidi w:val="0"/>
        <w:adjustRightInd w:val="0"/>
        <w:snapToGrid w:val="0"/>
        <w:spacing w:after="0" w:afterLines="0" w:line="360" w:lineRule="auto"/>
        <w:ind w:firstLine="420" w:firstLineChars="0"/>
        <w:textAlignment w:val="auto"/>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服务板块是为车主和非车主提供的一个功能入口集群功能，分为购车服务、车主服务和充电服务；</w:t>
      </w:r>
    </w:p>
    <w:p w14:paraId="0711243F">
      <w:pPr>
        <w:keepNext w:val="0"/>
        <w:keepLines w:val="0"/>
        <w:pageBreakBefore w:val="0"/>
        <w:widowControl w:val="0"/>
        <w:numPr>
          <w:ilvl w:val="0"/>
          <w:numId w:val="2"/>
        </w:numPr>
        <w:kinsoku/>
        <w:wordWrap/>
        <w:overflowPunct/>
        <w:topLinePunct w:val="0"/>
        <w:autoSpaceDE/>
        <w:autoSpaceDN/>
        <w:bidi w:val="0"/>
        <w:adjustRightInd w:val="0"/>
        <w:snapToGrid w:val="0"/>
        <w:spacing w:after="0" w:afterLines="0" w:line="360" w:lineRule="auto"/>
        <w:ind w:left="425" w:leftChars="0" w:hanging="425" w:firstLineChars="0"/>
        <w:textAlignment w:val="auto"/>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购车服务包含：展厅入口、用车手册、车辆手册、购车计算器（待定）、购车补贴、邀请购车功能；</w:t>
      </w:r>
    </w:p>
    <w:p w14:paraId="46AB3E91">
      <w:pPr>
        <w:keepNext w:val="0"/>
        <w:keepLines w:val="0"/>
        <w:pageBreakBefore w:val="0"/>
        <w:widowControl w:val="0"/>
        <w:numPr>
          <w:ilvl w:val="0"/>
          <w:numId w:val="2"/>
        </w:numPr>
        <w:kinsoku/>
        <w:wordWrap/>
        <w:overflowPunct/>
        <w:topLinePunct w:val="0"/>
        <w:autoSpaceDE/>
        <w:autoSpaceDN/>
        <w:bidi w:val="0"/>
        <w:adjustRightInd w:val="0"/>
        <w:snapToGrid w:val="0"/>
        <w:spacing w:after="0" w:afterLines="0" w:line="360" w:lineRule="auto"/>
        <w:ind w:left="425" w:leftChars="0" w:hanging="425" w:firstLineChars="0"/>
        <w:textAlignment w:val="auto"/>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车主服务：预约维保、救援服务、保养记录、流量查询、流量充值、质保手册、服务券查询（注：车主服务仅限于已绑定车辆的用户使用）；</w:t>
      </w:r>
    </w:p>
    <w:p w14:paraId="57592FCB">
      <w:pPr>
        <w:keepNext w:val="0"/>
        <w:keepLines w:val="0"/>
        <w:pageBreakBefore w:val="0"/>
        <w:widowControl w:val="0"/>
        <w:numPr>
          <w:ilvl w:val="0"/>
          <w:numId w:val="2"/>
        </w:numPr>
        <w:kinsoku/>
        <w:wordWrap/>
        <w:overflowPunct/>
        <w:topLinePunct w:val="0"/>
        <w:autoSpaceDE/>
        <w:autoSpaceDN/>
        <w:bidi w:val="0"/>
        <w:adjustRightInd w:val="0"/>
        <w:snapToGrid w:val="0"/>
        <w:spacing w:after="0" w:afterLines="0" w:line="360" w:lineRule="auto"/>
        <w:ind w:left="425" w:leftChars="0" w:hanging="425" w:firstLineChars="0"/>
        <w:textAlignment w:val="auto"/>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充电服务：查看附近充电桩、扫码充电、私桩管理。</w:t>
      </w:r>
    </w:p>
    <w:p w14:paraId="3E1AF08E">
      <w:pPr>
        <w:pStyle w:val="3"/>
        <w:bidi w:val="0"/>
        <w:rPr>
          <w:rFonts w:hint="eastAsia"/>
          <w:lang w:val="en-US" w:eastAsia="zh-CN"/>
        </w:rPr>
      </w:pPr>
      <w:bookmarkStart w:id="2" w:name="_Toc18086"/>
      <w:r>
        <w:rPr>
          <w:rFonts w:hint="eastAsia"/>
          <w:lang w:val="en-US" w:eastAsia="zh-CN"/>
        </w:rPr>
        <w:t>1.2功能清单</w:t>
      </w:r>
      <w:bookmarkEnd w:id="2"/>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1260"/>
        <w:gridCol w:w="1235"/>
        <w:gridCol w:w="4711"/>
      </w:tblGrid>
      <w:tr w14:paraId="6FCD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316" w:type="dxa"/>
            <w:vAlign w:val="center"/>
          </w:tcPr>
          <w:p w14:paraId="52EDDA0F">
            <w:pPr>
              <w:spacing w:after="0" w:afterLines="0" w:line="240" w:lineRule="auto"/>
              <w:jc w:val="both"/>
              <w:rPr>
                <w:rFonts w:hint="default"/>
                <w:b/>
                <w:bCs/>
                <w:vertAlign w:val="baseline"/>
                <w:lang w:val="en-US" w:eastAsia="zh-CN"/>
              </w:rPr>
            </w:pPr>
            <w:r>
              <w:rPr>
                <w:rFonts w:hint="eastAsia"/>
                <w:b/>
                <w:bCs/>
                <w:vertAlign w:val="baseline"/>
                <w:lang w:val="en-US" w:eastAsia="zh-CN"/>
              </w:rPr>
              <w:t>功能模块</w:t>
            </w:r>
          </w:p>
        </w:tc>
        <w:tc>
          <w:tcPr>
            <w:tcW w:w="1260" w:type="dxa"/>
            <w:vAlign w:val="center"/>
          </w:tcPr>
          <w:p w14:paraId="148B5922">
            <w:pPr>
              <w:spacing w:after="0" w:afterLines="0" w:line="240" w:lineRule="auto"/>
              <w:jc w:val="both"/>
              <w:rPr>
                <w:rFonts w:hint="default"/>
                <w:b/>
                <w:bCs/>
                <w:vertAlign w:val="baseline"/>
                <w:lang w:val="en-US" w:eastAsia="zh-CN"/>
              </w:rPr>
            </w:pPr>
            <w:r>
              <w:rPr>
                <w:rFonts w:hint="eastAsia"/>
                <w:b/>
                <w:bCs/>
                <w:vertAlign w:val="baseline"/>
                <w:lang w:val="en-US" w:eastAsia="zh-CN"/>
              </w:rPr>
              <w:t>一级模块</w:t>
            </w:r>
          </w:p>
        </w:tc>
        <w:tc>
          <w:tcPr>
            <w:tcW w:w="1235" w:type="dxa"/>
            <w:vAlign w:val="center"/>
          </w:tcPr>
          <w:p w14:paraId="397CAED5">
            <w:pPr>
              <w:spacing w:after="0" w:afterLines="0" w:line="240" w:lineRule="auto"/>
              <w:jc w:val="both"/>
              <w:rPr>
                <w:rFonts w:hint="default"/>
                <w:b/>
                <w:bCs/>
                <w:vertAlign w:val="baseline"/>
                <w:lang w:val="en-US" w:eastAsia="zh-CN"/>
              </w:rPr>
            </w:pPr>
            <w:r>
              <w:rPr>
                <w:rFonts w:hint="eastAsia"/>
                <w:b/>
                <w:bCs/>
                <w:vertAlign w:val="baseline"/>
                <w:lang w:val="en-US" w:eastAsia="zh-CN"/>
              </w:rPr>
              <w:t>二级模块</w:t>
            </w:r>
          </w:p>
        </w:tc>
        <w:tc>
          <w:tcPr>
            <w:tcW w:w="4711" w:type="dxa"/>
            <w:vAlign w:val="center"/>
          </w:tcPr>
          <w:p w14:paraId="2AA54F8F">
            <w:pPr>
              <w:spacing w:after="0" w:afterLines="0" w:line="240" w:lineRule="auto"/>
              <w:jc w:val="both"/>
              <w:rPr>
                <w:rFonts w:hint="default"/>
                <w:b/>
                <w:bCs/>
                <w:vertAlign w:val="baseline"/>
                <w:lang w:val="en-US" w:eastAsia="zh-CN"/>
              </w:rPr>
            </w:pPr>
            <w:r>
              <w:rPr>
                <w:rFonts w:hint="eastAsia"/>
                <w:b/>
                <w:bCs/>
                <w:vertAlign w:val="baseline"/>
                <w:lang w:val="en-US" w:eastAsia="zh-CN"/>
              </w:rPr>
              <w:t>功能描述</w:t>
            </w:r>
          </w:p>
        </w:tc>
      </w:tr>
      <w:tr w14:paraId="2E14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restart"/>
            <w:vAlign w:val="center"/>
          </w:tcPr>
          <w:p w14:paraId="4A30F3BF">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APP服务模块</w:t>
            </w:r>
          </w:p>
        </w:tc>
        <w:tc>
          <w:tcPr>
            <w:tcW w:w="1260" w:type="dxa"/>
            <w:vMerge w:val="restart"/>
            <w:vAlign w:val="center"/>
          </w:tcPr>
          <w:p w14:paraId="1B6B718A">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购车服务</w:t>
            </w:r>
          </w:p>
        </w:tc>
        <w:tc>
          <w:tcPr>
            <w:tcW w:w="1235" w:type="dxa"/>
            <w:vAlign w:val="center"/>
          </w:tcPr>
          <w:p w14:paraId="5A7B52FE">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展厅入口</w:t>
            </w:r>
          </w:p>
        </w:tc>
        <w:tc>
          <w:tcPr>
            <w:tcW w:w="4711" w:type="dxa"/>
            <w:vAlign w:val="center"/>
          </w:tcPr>
          <w:p w14:paraId="1ABA7091">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可跳转到车型展厅页面，通过展厅查看已上架的车型、预定车辆、预约试驾</w:t>
            </w:r>
          </w:p>
        </w:tc>
      </w:tr>
      <w:tr w14:paraId="0A88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4C77D3B1">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0CB5E840">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1419788D">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用车手册</w:t>
            </w:r>
          </w:p>
        </w:tc>
        <w:tc>
          <w:tcPr>
            <w:tcW w:w="4711" w:type="dxa"/>
            <w:vAlign w:val="center"/>
          </w:tcPr>
          <w:p w14:paraId="1E48D357">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查看通过运营系统已上传的车型“用车手册”</w:t>
            </w:r>
          </w:p>
        </w:tc>
      </w:tr>
      <w:tr w14:paraId="62822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604A0521">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60F0665E">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3D9E7815">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车辆手册</w:t>
            </w:r>
          </w:p>
        </w:tc>
        <w:tc>
          <w:tcPr>
            <w:tcW w:w="4711" w:type="dxa"/>
            <w:vAlign w:val="center"/>
          </w:tcPr>
          <w:p w14:paraId="0804DDEF">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查看通过运营系统已上传的车型“车辆手册”</w:t>
            </w:r>
          </w:p>
        </w:tc>
      </w:tr>
      <w:tr w14:paraId="02DA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757F0730">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643447F4">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7C7EFD04">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购车计算器</w:t>
            </w:r>
          </w:p>
        </w:tc>
        <w:tc>
          <w:tcPr>
            <w:tcW w:w="4711" w:type="dxa"/>
            <w:vAlign w:val="center"/>
          </w:tcPr>
          <w:p w14:paraId="2631A9EA">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FF0000"/>
                <w:sz w:val="21"/>
                <w:szCs w:val="21"/>
                <w:vertAlign w:val="baseline"/>
                <w:lang w:val="en-US" w:eastAsia="zh-CN"/>
              </w:rPr>
              <w:t>需求待定</w:t>
            </w:r>
          </w:p>
        </w:tc>
      </w:tr>
      <w:tr w14:paraId="7387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0EA47FDA">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1228D19A">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35EA62CA">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购车补贴</w:t>
            </w:r>
          </w:p>
        </w:tc>
        <w:tc>
          <w:tcPr>
            <w:tcW w:w="4711" w:type="dxa"/>
            <w:vAlign w:val="center"/>
          </w:tcPr>
          <w:p w14:paraId="62390B5A">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购车补贴包含置换补贴申领、报废补贴申领、增购补贴申领，可通过APP提交补贴申请</w:t>
            </w:r>
          </w:p>
        </w:tc>
      </w:tr>
      <w:tr w14:paraId="56F0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1AB23CAC">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38B92E83">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29E0024E">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邀请购车</w:t>
            </w:r>
          </w:p>
        </w:tc>
        <w:tc>
          <w:tcPr>
            <w:tcW w:w="4711" w:type="dxa"/>
            <w:vAlign w:val="center"/>
          </w:tcPr>
          <w:p w14:paraId="529494B2">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推荐（邀请）其他账号通过线上预订车辆，邀请成功后可查看邀请记录以及被邀请人购车进度</w:t>
            </w:r>
          </w:p>
        </w:tc>
      </w:tr>
      <w:tr w14:paraId="682E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4D2C6F72">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Align w:val="center"/>
          </w:tcPr>
          <w:p w14:paraId="3BF4636A">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资源位</w:t>
            </w:r>
          </w:p>
        </w:tc>
        <w:tc>
          <w:tcPr>
            <w:tcW w:w="1235" w:type="dxa"/>
            <w:vAlign w:val="center"/>
          </w:tcPr>
          <w:p w14:paraId="5A8AE376">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w:t>
            </w:r>
          </w:p>
        </w:tc>
        <w:tc>
          <w:tcPr>
            <w:tcW w:w="4711" w:type="dxa"/>
            <w:vAlign w:val="center"/>
          </w:tcPr>
          <w:p w14:paraId="413BFAE0">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预留“火山”资源位</w:t>
            </w:r>
          </w:p>
        </w:tc>
      </w:tr>
      <w:tr w14:paraId="72A5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37F74292">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Align w:val="center"/>
          </w:tcPr>
          <w:p w14:paraId="610942A0">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服务网点</w:t>
            </w:r>
          </w:p>
        </w:tc>
        <w:tc>
          <w:tcPr>
            <w:tcW w:w="1235" w:type="dxa"/>
            <w:vAlign w:val="center"/>
          </w:tcPr>
          <w:p w14:paraId="2B5CF977">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w:t>
            </w:r>
          </w:p>
        </w:tc>
        <w:tc>
          <w:tcPr>
            <w:tcW w:w="4711" w:type="dxa"/>
            <w:vAlign w:val="center"/>
          </w:tcPr>
          <w:p w14:paraId="7074391E">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展示距离最近的服务网点（经销商/服务站），可通过地图的样式查看附近服务网点</w:t>
            </w:r>
          </w:p>
        </w:tc>
      </w:tr>
      <w:tr w14:paraId="3DEC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307BD76A">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restart"/>
            <w:vAlign w:val="center"/>
          </w:tcPr>
          <w:p w14:paraId="773C9A5A">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车主服务</w:t>
            </w:r>
          </w:p>
        </w:tc>
        <w:tc>
          <w:tcPr>
            <w:tcW w:w="1235" w:type="dxa"/>
            <w:vAlign w:val="center"/>
          </w:tcPr>
          <w:p w14:paraId="75EDC3BC">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车辆信息</w:t>
            </w:r>
          </w:p>
        </w:tc>
        <w:tc>
          <w:tcPr>
            <w:tcW w:w="4711" w:type="dxa"/>
            <w:vAlign w:val="center"/>
          </w:tcPr>
          <w:p w14:paraId="47174835">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展示已绑定的车辆信息，若绑定多辆车可切换车辆</w:t>
            </w:r>
          </w:p>
        </w:tc>
      </w:tr>
      <w:tr w14:paraId="1C13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61ED2E52">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69674814">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6B58EA06">
            <w:pPr>
              <w:jc w:val="both"/>
              <w:rPr>
                <w:rFonts w:hint="eastAsia"/>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预约维保</w:t>
            </w:r>
          </w:p>
        </w:tc>
        <w:tc>
          <w:tcPr>
            <w:tcW w:w="4711" w:type="dxa"/>
            <w:vAlign w:val="center"/>
          </w:tcPr>
          <w:p w14:paraId="550E5210">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通过APP提交“维修”或者“保养”工单，并可通过预约记录查看已提交的工单状态</w:t>
            </w:r>
          </w:p>
        </w:tc>
      </w:tr>
      <w:tr w14:paraId="0FC6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438BEADC">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30780C04">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29FBDB59">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救援服务</w:t>
            </w:r>
          </w:p>
        </w:tc>
        <w:tc>
          <w:tcPr>
            <w:tcW w:w="4711" w:type="dxa"/>
            <w:vAlign w:val="center"/>
          </w:tcPr>
          <w:p w14:paraId="7B2B1736">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通过固定400电话或者在线客服请求救援服务</w:t>
            </w:r>
          </w:p>
        </w:tc>
      </w:tr>
      <w:tr w14:paraId="11B2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07A34B51">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3A71E232">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27C2462B">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保养记录</w:t>
            </w:r>
          </w:p>
        </w:tc>
        <w:tc>
          <w:tcPr>
            <w:tcW w:w="4711" w:type="dxa"/>
            <w:vAlign w:val="center"/>
          </w:tcPr>
          <w:p w14:paraId="130BF7F7">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通过车辆和电话查询车辆的保养记录信息（对接CMS）</w:t>
            </w:r>
          </w:p>
        </w:tc>
      </w:tr>
      <w:tr w14:paraId="7C4B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6428B292">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151A13A5">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1A8DD32D">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流量查询</w:t>
            </w:r>
          </w:p>
        </w:tc>
        <w:tc>
          <w:tcPr>
            <w:tcW w:w="4711" w:type="dxa"/>
            <w:vAlign w:val="center"/>
          </w:tcPr>
          <w:p w14:paraId="1207230D">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查询当前车辆的流量信息（</w:t>
            </w:r>
            <w:r>
              <w:rPr>
                <w:rFonts w:hint="eastAsia"/>
                <w:color w:val="000000" w:themeColor="text1"/>
                <w:sz w:val="21"/>
                <w:szCs w:val="21"/>
                <w:highlight w:val="yellow"/>
                <w:vertAlign w:val="baseline"/>
                <w:lang w:val="en-US" w:eastAsia="zh-CN"/>
                <w14:textFill>
                  <w14:solidFill>
                    <w14:schemeClr w14:val="tx1"/>
                  </w14:solidFill>
                </w14:textFill>
              </w:rPr>
              <w:t>其他供应商提供</w:t>
            </w:r>
            <w:r>
              <w:rPr>
                <w:rFonts w:hint="eastAsia"/>
                <w:color w:val="000000" w:themeColor="text1"/>
                <w:sz w:val="21"/>
                <w:szCs w:val="21"/>
                <w:vertAlign w:val="baseline"/>
                <w:lang w:val="en-US" w:eastAsia="zh-CN"/>
                <w14:textFill>
                  <w14:solidFill>
                    <w14:schemeClr w14:val="tx1"/>
                  </w14:solidFill>
                </w14:textFill>
              </w:rPr>
              <w:t>）</w:t>
            </w:r>
          </w:p>
        </w:tc>
      </w:tr>
      <w:tr w14:paraId="01B65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1EC6D398">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4704D40C">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126E20CB">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流量充值</w:t>
            </w:r>
          </w:p>
        </w:tc>
        <w:tc>
          <w:tcPr>
            <w:tcW w:w="4711" w:type="dxa"/>
            <w:vAlign w:val="center"/>
          </w:tcPr>
          <w:p w14:paraId="2F9381CD">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为当前车辆充值流量（</w:t>
            </w:r>
            <w:r>
              <w:rPr>
                <w:rFonts w:hint="eastAsia"/>
                <w:color w:val="000000" w:themeColor="text1"/>
                <w:sz w:val="21"/>
                <w:szCs w:val="21"/>
                <w:highlight w:val="yellow"/>
                <w:vertAlign w:val="baseline"/>
                <w:lang w:val="en-US" w:eastAsia="zh-CN"/>
                <w14:textFill>
                  <w14:solidFill>
                    <w14:schemeClr w14:val="tx1"/>
                  </w14:solidFill>
                </w14:textFill>
              </w:rPr>
              <w:t>其他供应商提供</w:t>
            </w:r>
            <w:r>
              <w:rPr>
                <w:rFonts w:hint="eastAsia"/>
                <w:color w:val="000000" w:themeColor="text1"/>
                <w:sz w:val="21"/>
                <w:szCs w:val="21"/>
                <w:vertAlign w:val="baseline"/>
                <w:lang w:val="en-US" w:eastAsia="zh-CN"/>
                <w14:textFill>
                  <w14:solidFill>
                    <w14:schemeClr w14:val="tx1"/>
                  </w14:solidFill>
                </w14:textFill>
              </w:rPr>
              <w:t>）</w:t>
            </w:r>
          </w:p>
        </w:tc>
      </w:tr>
      <w:tr w14:paraId="1E09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23034F61">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193FAA51">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5887749F">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质保手册</w:t>
            </w:r>
          </w:p>
        </w:tc>
        <w:tc>
          <w:tcPr>
            <w:tcW w:w="4711" w:type="dxa"/>
            <w:vAlign w:val="center"/>
          </w:tcPr>
          <w:p w14:paraId="25E9359D">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查看当前绑定车辆对应车型的电子版“质保手册”</w:t>
            </w:r>
          </w:p>
        </w:tc>
      </w:tr>
      <w:tr w14:paraId="1F6E6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4C4320DA">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74E6B922">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53EABA3F">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服务券查询</w:t>
            </w:r>
          </w:p>
        </w:tc>
        <w:tc>
          <w:tcPr>
            <w:tcW w:w="4711" w:type="dxa"/>
            <w:vAlign w:val="center"/>
          </w:tcPr>
          <w:p w14:paraId="7DD36349">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跳转个人中心-我的卡券-自营卡券页面查看当前账号已获得的服务卡券</w:t>
            </w:r>
          </w:p>
        </w:tc>
      </w:tr>
      <w:tr w14:paraId="2C609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5E5276AC">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restart"/>
            <w:vAlign w:val="center"/>
          </w:tcPr>
          <w:p w14:paraId="35EA085B">
            <w:pPr>
              <w:spacing w:after="0" w:afterLines="0" w:line="240" w:lineRule="auto"/>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充电服务</w:t>
            </w:r>
          </w:p>
        </w:tc>
        <w:tc>
          <w:tcPr>
            <w:tcW w:w="1235" w:type="dxa"/>
            <w:vAlign w:val="center"/>
          </w:tcPr>
          <w:p w14:paraId="4CF71202">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查看附近充电桩</w:t>
            </w:r>
          </w:p>
        </w:tc>
        <w:tc>
          <w:tcPr>
            <w:tcW w:w="4711" w:type="dxa"/>
            <w:vAlign w:val="center"/>
          </w:tcPr>
          <w:p w14:paraId="1A7B190A">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查看当前定位附近充电桩位置（</w:t>
            </w:r>
            <w:r>
              <w:rPr>
                <w:rFonts w:hint="eastAsia"/>
                <w:color w:val="000000" w:themeColor="text1"/>
                <w:sz w:val="21"/>
                <w:szCs w:val="21"/>
                <w:highlight w:val="yellow"/>
                <w:vertAlign w:val="baseline"/>
                <w:lang w:val="en-US" w:eastAsia="zh-CN"/>
                <w14:textFill>
                  <w14:solidFill>
                    <w14:schemeClr w14:val="tx1"/>
                  </w14:solidFill>
                </w14:textFill>
              </w:rPr>
              <w:t>由其他供应商提供</w:t>
            </w:r>
            <w:r>
              <w:rPr>
                <w:rFonts w:hint="eastAsia"/>
                <w:color w:val="000000" w:themeColor="text1"/>
                <w:sz w:val="21"/>
                <w:szCs w:val="21"/>
                <w:vertAlign w:val="baseline"/>
                <w:lang w:val="en-US" w:eastAsia="zh-CN"/>
                <w14:textFill>
                  <w14:solidFill>
                    <w14:schemeClr w14:val="tx1"/>
                  </w14:solidFill>
                </w14:textFill>
              </w:rPr>
              <w:t>）</w:t>
            </w:r>
          </w:p>
        </w:tc>
      </w:tr>
      <w:tr w14:paraId="2968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5BC36453">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0A008825">
            <w:pPr>
              <w:spacing w:after="0" w:afterLines="0" w:line="240" w:lineRule="auto"/>
              <w:jc w:val="both"/>
              <w:rPr>
                <w:rFonts w:hint="eastAsia"/>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3AA27D6F">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扫码充电</w:t>
            </w:r>
          </w:p>
        </w:tc>
        <w:tc>
          <w:tcPr>
            <w:tcW w:w="4711" w:type="dxa"/>
            <w:vAlign w:val="center"/>
          </w:tcPr>
          <w:p w14:paraId="482B7E10">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调用设备扫码功能，扫码成功后进入充电页面（</w:t>
            </w:r>
            <w:r>
              <w:rPr>
                <w:rFonts w:hint="eastAsia"/>
                <w:color w:val="000000" w:themeColor="text1"/>
                <w:sz w:val="21"/>
                <w:szCs w:val="21"/>
                <w:highlight w:val="yellow"/>
                <w:vertAlign w:val="baseline"/>
                <w:lang w:val="en-US" w:eastAsia="zh-CN"/>
                <w14:textFill>
                  <w14:solidFill>
                    <w14:schemeClr w14:val="tx1"/>
                  </w14:solidFill>
                </w14:textFill>
              </w:rPr>
              <w:t>由其他供应商提供</w:t>
            </w:r>
            <w:r>
              <w:rPr>
                <w:rFonts w:hint="eastAsia"/>
                <w:color w:val="000000" w:themeColor="text1"/>
                <w:sz w:val="21"/>
                <w:szCs w:val="21"/>
                <w:vertAlign w:val="baseline"/>
                <w:lang w:val="en-US" w:eastAsia="zh-CN"/>
                <w14:textFill>
                  <w14:solidFill>
                    <w14:schemeClr w14:val="tx1"/>
                  </w14:solidFill>
                </w14:textFill>
              </w:rPr>
              <w:t>）</w:t>
            </w:r>
          </w:p>
        </w:tc>
      </w:tr>
      <w:tr w14:paraId="79F8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6" w:type="dxa"/>
            <w:vMerge w:val="continue"/>
            <w:vAlign w:val="center"/>
          </w:tcPr>
          <w:p w14:paraId="64592914">
            <w:pPr>
              <w:spacing w:after="0" w:afterLines="0" w:line="240" w:lineRule="auto"/>
              <w:jc w:val="both"/>
              <w:rPr>
                <w:rFonts w:hint="default"/>
                <w:b/>
                <w:bCs/>
                <w:color w:val="000000" w:themeColor="text1"/>
                <w:sz w:val="21"/>
                <w:szCs w:val="21"/>
                <w:vertAlign w:val="baseline"/>
                <w:lang w:val="en-US" w:eastAsia="zh-CN"/>
                <w14:textFill>
                  <w14:solidFill>
                    <w14:schemeClr w14:val="tx1"/>
                  </w14:solidFill>
                </w14:textFill>
              </w:rPr>
            </w:pPr>
          </w:p>
        </w:tc>
        <w:tc>
          <w:tcPr>
            <w:tcW w:w="1260" w:type="dxa"/>
            <w:vMerge w:val="continue"/>
            <w:vAlign w:val="center"/>
          </w:tcPr>
          <w:p w14:paraId="59E80E90">
            <w:pPr>
              <w:spacing w:after="0" w:afterLines="0" w:line="240" w:lineRule="auto"/>
              <w:jc w:val="both"/>
              <w:rPr>
                <w:rFonts w:hint="eastAsia"/>
                <w:b w:val="0"/>
                <w:bCs w:val="0"/>
                <w:color w:val="000000" w:themeColor="text1"/>
                <w:sz w:val="21"/>
                <w:szCs w:val="21"/>
                <w:vertAlign w:val="baseline"/>
                <w:lang w:val="en-US" w:eastAsia="zh-CN"/>
                <w14:textFill>
                  <w14:solidFill>
                    <w14:schemeClr w14:val="tx1"/>
                  </w14:solidFill>
                </w14:textFill>
              </w:rPr>
            </w:pPr>
          </w:p>
        </w:tc>
        <w:tc>
          <w:tcPr>
            <w:tcW w:w="1235" w:type="dxa"/>
            <w:vAlign w:val="center"/>
          </w:tcPr>
          <w:p w14:paraId="68DB9FC6">
            <w:pPr>
              <w:jc w:val="both"/>
              <w:rPr>
                <w:rFonts w:hint="default"/>
                <w:b w:val="0"/>
                <w:bCs w:val="0"/>
                <w:color w:val="000000" w:themeColor="text1"/>
                <w:sz w:val="21"/>
                <w:szCs w:val="21"/>
                <w:vertAlign w:val="baseline"/>
                <w:lang w:val="en-US" w:eastAsia="zh-CN"/>
                <w14:textFill>
                  <w14:solidFill>
                    <w14:schemeClr w14:val="tx1"/>
                  </w14:solidFill>
                </w14:textFill>
              </w:rPr>
            </w:pPr>
            <w:r>
              <w:rPr>
                <w:rFonts w:hint="eastAsia"/>
                <w:b w:val="0"/>
                <w:bCs w:val="0"/>
                <w:color w:val="000000" w:themeColor="text1"/>
                <w:sz w:val="21"/>
                <w:szCs w:val="21"/>
                <w:vertAlign w:val="baseline"/>
                <w:lang w:val="en-US" w:eastAsia="zh-CN"/>
                <w14:textFill>
                  <w14:solidFill>
                    <w14:schemeClr w14:val="tx1"/>
                  </w14:solidFill>
                </w14:textFill>
              </w:rPr>
              <w:t>私桩管理</w:t>
            </w:r>
          </w:p>
        </w:tc>
        <w:tc>
          <w:tcPr>
            <w:tcW w:w="4711" w:type="dxa"/>
            <w:vAlign w:val="center"/>
          </w:tcPr>
          <w:p w14:paraId="4174BF1B">
            <w:pPr>
              <w:jc w:val="both"/>
              <w:rPr>
                <w:rFonts w:hint="default"/>
                <w:color w:val="000000" w:themeColor="text1"/>
                <w:sz w:val="21"/>
                <w:szCs w:val="21"/>
                <w:vertAlign w:val="baseline"/>
                <w:lang w:val="en-US" w:eastAsia="zh-CN"/>
                <w14:textFill>
                  <w14:solidFill>
                    <w14:schemeClr w14:val="tx1"/>
                  </w14:solidFill>
                </w14:textFill>
              </w:rPr>
            </w:pPr>
            <w:r>
              <w:rPr>
                <w:rFonts w:hint="eastAsia"/>
                <w:color w:val="000000" w:themeColor="text1"/>
                <w:sz w:val="21"/>
                <w:szCs w:val="21"/>
                <w:vertAlign w:val="baseline"/>
                <w:lang w:val="en-US" w:eastAsia="zh-CN"/>
                <w14:textFill>
                  <w14:solidFill>
                    <w14:schemeClr w14:val="tx1"/>
                  </w14:solidFill>
                </w14:textFill>
              </w:rPr>
              <w:t>进入个人私桩管理页面（</w:t>
            </w:r>
            <w:r>
              <w:rPr>
                <w:rFonts w:hint="eastAsia"/>
                <w:color w:val="000000" w:themeColor="text1"/>
                <w:sz w:val="21"/>
                <w:szCs w:val="21"/>
                <w:highlight w:val="yellow"/>
                <w:vertAlign w:val="baseline"/>
                <w:lang w:val="en-US" w:eastAsia="zh-CN"/>
                <w14:textFill>
                  <w14:solidFill>
                    <w14:schemeClr w14:val="tx1"/>
                  </w14:solidFill>
                </w14:textFill>
              </w:rPr>
              <w:t>由其他供应商提供</w:t>
            </w:r>
            <w:r>
              <w:rPr>
                <w:rFonts w:hint="eastAsia"/>
                <w:color w:val="000000" w:themeColor="text1"/>
                <w:sz w:val="21"/>
                <w:szCs w:val="21"/>
                <w:vertAlign w:val="baseline"/>
                <w:lang w:val="en-US" w:eastAsia="zh-CN"/>
                <w14:textFill>
                  <w14:solidFill>
                    <w14:schemeClr w14:val="tx1"/>
                  </w14:solidFill>
                </w14:textFill>
              </w:rPr>
              <w:t>）</w:t>
            </w:r>
          </w:p>
        </w:tc>
      </w:tr>
    </w:tbl>
    <w:p w14:paraId="4DBA2CDD">
      <w:pPr>
        <w:pStyle w:val="3"/>
        <w:bidi w:val="0"/>
        <w:rPr>
          <w:rFonts w:hint="eastAsia"/>
          <w:lang w:val="en-US" w:eastAsia="zh-CN"/>
        </w:rPr>
      </w:pPr>
      <w:bookmarkStart w:id="3" w:name="_Toc30393"/>
      <w:r>
        <w:rPr>
          <w:rFonts w:hint="eastAsia"/>
          <w:lang w:val="en-US" w:eastAsia="zh-CN"/>
        </w:rPr>
        <w:t>1.3业务流程图</w:t>
      </w:r>
      <w:bookmarkEnd w:id="3"/>
    </w:p>
    <w:p w14:paraId="060F4231">
      <w:pPr>
        <w:rPr>
          <w:rFonts w:hint="eastAsia"/>
          <w:color w:val="0000FF"/>
          <w:lang w:val="en-US" w:eastAsia="zh-CN"/>
        </w:rPr>
      </w:pPr>
      <w:r>
        <w:rPr>
          <w:rFonts w:hint="eastAsia"/>
          <w:color w:val="0000FF"/>
          <w:lang w:val="en-US" w:eastAsia="zh-CN"/>
        </w:rPr>
        <w:object>
          <v:shape id="_x0000_i1025" o:spt="75" type="#_x0000_t75" style="height:194.45pt;width:414.95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p>
    <w:p w14:paraId="1890382D">
      <w:pPr>
        <w:pStyle w:val="3"/>
        <w:bidi w:val="0"/>
        <w:rPr>
          <w:rFonts w:hint="default"/>
          <w:lang w:val="en-US" w:eastAsia="zh-CN"/>
        </w:rPr>
      </w:pPr>
      <w:bookmarkStart w:id="4" w:name="_Toc31406"/>
      <w:r>
        <w:rPr>
          <w:rFonts w:hint="eastAsia"/>
          <w:lang w:val="en-US" w:eastAsia="zh-CN"/>
        </w:rPr>
        <w:t>1.4业务规则说明</w:t>
      </w:r>
      <w:bookmarkEnd w:id="4"/>
    </w:p>
    <w:p w14:paraId="7FCD307B">
      <w:pPr>
        <w:numPr>
          <w:ilvl w:val="0"/>
          <w:numId w:val="3"/>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用户进入服务页面时需先判断用户是否绑定车辆；</w:t>
      </w:r>
    </w:p>
    <w:p w14:paraId="0D9D4AA3">
      <w:pPr>
        <w:numPr>
          <w:ilvl w:val="1"/>
          <w:numId w:val="3"/>
        </w:numPr>
        <w:ind w:left="1260" w:leftChars="0" w:hanging="420"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已绑定车辆：显示绑定车辆默认车辆信息，显示模块顺序为车主服务→资源位→服务网点→充电服务→购车服务；</w:t>
      </w:r>
    </w:p>
    <w:p w14:paraId="2FAA20A9">
      <w:pPr>
        <w:numPr>
          <w:ilvl w:val="1"/>
          <w:numId w:val="3"/>
        </w:numPr>
        <w:ind w:left="1260" w:leftChars="0" w:hanging="420"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未绑定车辆：显示模块顺序为购车服务→资源位→服务网点→车主服务→充电服务，车辆信息展示处占位显示。</w:t>
      </w:r>
    </w:p>
    <w:p w14:paraId="6F842D33">
      <w:pPr>
        <w:numPr>
          <w:ilvl w:val="0"/>
          <w:numId w:val="3"/>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highlight w:val="yellow"/>
          <w:lang w:val="en-US" w:eastAsia="zh-CN"/>
          <w14:textFill>
            <w14:solidFill>
              <w14:schemeClr w14:val="tx1"/>
            </w14:solidFill>
          </w14:textFill>
        </w:rPr>
        <w:t>绑车信息需通过接口调用“车联网服务系统”查询用户绑车信息，“车联网服务系统”需根据账号返回用户绑车信息（车型图、车型名称、车辆VIN、车牌号、剩余保养里程、剩余保养时间以及是否为默认车辆</w:t>
      </w:r>
      <w:r>
        <w:rPr>
          <w:rFonts w:hint="eastAsia"/>
          <w:color w:val="000000" w:themeColor="text1"/>
          <w:sz w:val="21"/>
          <w:szCs w:val="21"/>
          <w:lang w:val="en-US" w:eastAsia="zh-CN"/>
          <w14:textFill>
            <w14:solidFill>
              <w14:schemeClr w14:val="tx1"/>
            </w14:solidFill>
          </w14:textFill>
        </w:rPr>
        <w:t>）；</w:t>
      </w:r>
    </w:p>
    <w:p w14:paraId="76CB7E85">
      <w:pPr>
        <w:numPr>
          <w:ilvl w:val="0"/>
          <w:numId w:val="3"/>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资源位集成“火山”资源位，根据火山返回的内容进行展示与跳转；</w:t>
      </w:r>
    </w:p>
    <w:p w14:paraId="453FF87A">
      <w:pPr>
        <w:numPr>
          <w:ilvl w:val="0"/>
          <w:numId w:val="3"/>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highlight w:val="yellow"/>
          <w:lang w:val="en-US" w:eastAsia="zh-CN"/>
          <w14:textFill>
            <w14:solidFill>
              <w14:schemeClr w14:val="tx1"/>
            </w14:solidFill>
          </w14:textFill>
        </w:rPr>
        <w:t>车主服务中“流量查询”“流量充值”由“车联车控供应商”提供页面及功能</w:t>
      </w:r>
      <w:r>
        <w:rPr>
          <w:rFonts w:hint="eastAsia"/>
          <w:color w:val="000000" w:themeColor="text1"/>
          <w:sz w:val="21"/>
          <w:szCs w:val="21"/>
          <w:lang w:val="en-US" w:eastAsia="zh-CN"/>
          <w14:textFill>
            <w14:solidFill>
              <w14:schemeClr w14:val="tx1"/>
            </w14:solidFill>
          </w14:textFill>
        </w:rPr>
        <w:t>；</w:t>
      </w:r>
    </w:p>
    <w:p w14:paraId="31BF42BC">
      <w:pPr>
        <w:numPr>
          <w:ilvl w:val="0"/>
          <w:numId w:val="3"/>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highlight w:val="yellow"/>
          <w:lang w:val="en-US" w:eastAsia="zh-CN"/>
          <w14:textFill>
            <w14:solidFill>
              <w14:schemeClr w14:val="tx1"/>
            </w14:solidFill>
          </w14:textFill>
        </w:rPr>
        <w:t>充电服务由“充电供应商”提供页面及服务</w:t>
      </w:r>
      <w:r>
        <w:rPr>
          <w:rFonts w:hint="eastAsia"/>
          <w:color w:val="000000" w:themeColor="text1"/>
          <w:sz w:val="21"/>
          <w:szCs w:val="21"/>
          <w:lang w:val="en-US" w:eastAsia="zh-CN"/>
          <w14:textFill>
            <w14:solidFill>
              <w14:schemeClr w14:val="tx1"/>
            </w14:solidFill>
          </w14:textFill>
        </w:rPr>
        <w:t>。</w:t>
      </w:r>
    </w:p>
    <w:p w14:paraId="3508D7E6">
      <w:pPr>
        <w:pStyle w:val="4"/>
        <w:bidi w:val="0"/>
        <w:rPr>
          <w:rFonts w:hint="default"/>
          <w:lang w:val="en-US" w:eastAsia="zh-CN"/>
        </w:rPr>
      </w:pPr>
      <w:bookmarkStart w:id="5" w:name="_Toc23860"/>
      <w:r>
        <w:drawing>
          <wp:anchor distT="0" distB="0" distL="114935" distR="114935" simplePos="0" relativeHeight="251661312" behindDoc="1" locked="0" layoutInCell="1" allowOverlap="1">
            <wp:simplePos x="0" y="0"/>
            <wp:positionH relativeFrom="column">
              <wp:posOffset>2077085</wp:posOffset>
            </wp:positionH>
            <wp:positionV relativeFrom="paragraph">
              <wp:posOffset>22860</wp:posOffset>
            </wp:positionV>
            <wp:extent cx="3221355" cy="8860155"/>
            <wp:effectExtent l="0" t="0" r="6350" b="2540"/>
            <wp:wrapTight wrapText="left">
              <wp:wrapPolygon>
                <wp:start x="0" y="0"/>
                <wp:lineTo x="0" y="21396"/>
                <wp:lineTo x="21353" y="21396"/>
                <wp:lineTo x="21353" y="0"/>
                <wp:lineTo x="0" y="0"/>
              </wp:wrapPolygon>
            </wp:wrapTight>
            <wp:docPr id="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pic:cNvPicPr>
                      <a:picLocks noChangeAspect="1"/>
                    </pic:cNvPicPr>
                  </pic:nvPicPr>
                  <pic:blipFill>
                    <a:blip r:embed="rId9"/>
                    <a:stretch>
                      <a:fillRect/>
                    </a:stretch>
                  </pic:blipFill>
                  <pic:spPr>
                    <a:xfrm>
                      <a:off x="0" y="0"/>
                      <a:ext cx="3221355" cy="8860155"/>
                    </a:xfrm>
                    <a:prstGeom prst="rect">
                      <a:avLst/>
                    </a:prstGeom>
                    <a:noFill/>
                    <a:ln>
                      <a:noFill/>
                    </a:ln>
                  </pic:spPr>
                </pic:pic>
              </a:graphicData>
            </a:graphic>
          </wp:anchor>
        </w:drawing>
      </w:r>
      <w:r>
        <w:rPr>
          <w:rFonts w:hint="eastAsia"/>
          <w:lang w:val="en-US" w:eastAsia="zh-CN"/>
        </w:rPr>
        <w:t>1.4.1车主服务</w:t>
      </w:r>
      <w:bookmarkEnd w:id="5"/>
    </w:p>
    <w:p w14:paraId="76674083">
      <w:pPr>
        <w:ind w:firstLine="420" w:firstLineChars="0"/>
        <w:rPr>
          <w:rFonts w:hint="eastAsia"/>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车主服务是为车主提供的服务能力，包含预约维保、救援服务、预约维保、流量查询、流量充值、质保手册、服务券查询。</w:t>
      </w:r>
    </w:p>
    <w:p w14:paraId="70B9B709">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点击【切换车辆】弹出当前账号绑定的车辆列表，可选择车辆进行切换，切换车辆后根据切换的车辆显示对应车辆信息（</w:t>
      </w:r>
      <w:r>
        <w:rPr>
          <w:rFonts w:hint="eastAsia"/>
          <w:color w:val="000000" w:themeColor="text1"/>
          <w:sz w:val="21"/>
          <w:szCs w:val="21"/>
          <w:highlight w:val="yellow"/>
          <w:lang w:val="en-US" w:eastAsia="zh-CN"/>
          <w14:textFill>
            <w14:solidFill>
              <w14:schemeClr w14:val="tx1"/>
            </w14:solidFill>
          </w14:textFill>
        </w:rPr>
        <w:t>注：若当前账号只绑定了一台车则不显示“切换车辆”按钮</w:t>
      </w:r>
      <w:r>
        <w:rPr>
          <w:rFonts w:hint="eastAsia"/>
          <w:color w:val="000000" w:themeColor="text1"/>
          <w:sz w:val="21"/>
          <w:szCs w:val="21"/>
          <w:lang w:val="en-US" w:eastAsia="zh-CN"/>
          <w14:textFill>
            <w14:solidFill>
              <w14:schemeClr w14:val="tx1"/>
            </w14:solidFill>
          </w14:textFill>
        </w:rPr>
        <w:t>）；</w:t>
      </w:r>
    </w:p>
    <w:p w14:paraId="0A5BF8B9">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点击【预约维保】进入预约维保页面；</w:t>
      </w:r>
    </w:p>
    <w:p w14:paraId="49770F6F">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点击【救援服务】弹出救援服务页面；</w:t>
      </w:r>
    </w:p>
    <w:p w14:paraId="6F5515BC">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点击【维保记录】进入维保记录查询页面；</w:t>
      </w:r>
    </w:p>
    <w:p w14:paraId="621FD390">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点击【流量查询】进入流量查询页面；</w:t>
      </w:r>
    </w:p>
    <w:p w14:paraId="2D109388">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点击【流量充值】进入流量充值页面；</w:t>
      </w:r>
    </w:p>
    <w:p w14:paraId="175CAA13">
      <w:pPr>
        <w:numPr>
          <w:ilvl w:val="0"/>
          <w:numId w:val="4"/>
        </w:numPr>
        <w:ind w:left="845" w:leftChars="0" w:hanging="425"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点击【质保手册】根据当前车辆车型获取车型的质保手册，根据配置内容进入质保手册电子版页面；</w:t>
      </w:r>
    </w:p>
    <w:p w14:paraId="417B3983">
      <w:pPr>
        <w:numPr>
          <w:ilvl w:val="0"/>
          <w:numId w:val="4"/>
        </w:numPr>
        <w:ind w:left="845" w:leftChars="0" w:hanging="425" w:firstLineChars="0"/>
        <w:rPr>
          <w:rFonts w:hint="default"/>
          <w:color w:val="000000" w:themeColor="text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点击【服务券查询】跳转个人中心-我的卡券“自营卡券”页面。</w:t>
      </w:r>
    </w:p>
    <w:p w14:paraId="0252DDFD">
      <w:pPr>
        <w:widowControl w:val="0"/>
        <w:numPr>
          <w:ilvl w:val="0"/>
          <w:numId w:val="0"/>
        </w:numPr>
        <w:adjustRightInd w:val="0"/>
        <w:snapToGrid w:val="0"/>
        <w:spacing w:after="20" w:afterLines="20" w:line="288" w:lineRule="auto"/>
        <w:jc w:val="both"/>
        <w:rPr>
          <w:rFonts w:hint="default"/>
          <w:color w:val="000000" w:themeColor="text1"/>
          <w:lang w:val="en-US" w:eastAsia="zh-CN"/>
          <w14:textFill>
            <w14:solidFill>
              <w14:schemeClr w14:val="tx1"/>
            </w14:solidFill>
          </w14:textFill>
        </w:rPr>
      </w:pPr>
    </w:p>
    <w:p w14:paraId="072D1EFA">
      <w:pPr>
        <w:pStyle w:val="5"/>
        <w:bidi w:val="0"/>
        <w:rPr>
          <w:rFonts w:hint="default"/>
          <w:lang w:val="en-US" w:eastAsia="zh-CN"/>
        </w:rPr>
      </w:pPr>
      <w:r>
        <w:rPr>
          <w:rFonts w:hint="eastAsia"/>
          <w:lang w:val="en-US" w:eastAsia="zh-CN"/>
        </w:rPr>
        <w:t>1.4.1.1预约维保</w:t>
      </w:r>
    </w:p>
    <w:p w14:paraId="5059C6ED">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29E150CE">
      <w:pPr>
        <w:widowControl w:val="0"/>
        <w:numPr>
          <w:ilvl w:val="0"/>
          <w:numId w:val="0"/>
        </w:numPr>
        <w:adjustRightInd w:val="0"/>
        <w:snapToGrid w:val="0"/>
        <w:spacing w:after="20" w:afterLines="20" w:line="288" w:lineRule="auto"/>
        <w:ind w:firstLine="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用户可通过预约维保提交预约保养工单和预约维修工单，提交成功后，数据将同步给“销冠”系统，预约工单成功后可通过个人中心“我的订单-预约维保记录”查看工单当前状态以及预约历史记录。</w:t>
      </w:r>
    </w:p>
    <w:p w14:paraId="479AA0C1">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业务流程图</w:t>
      </w:r>
    </w:p>
    <w:p w14:paraId="7405FBA2">
      <w:pPr>
        <w:widowControl w:val="0"/>
        <w:numPr>
          <w:ilvl w:val="0"/>
          <w:numId w:val="0"/>
        </w:numPr>
        <w:adjustRightInd w:val="0"/>
        <w:snapToGrid w:val="0"/>
        <w:spacing w:after="20" w:afterLines="20" w:line="288" w:lineRule="auto"/>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object>
          <v:shape id="_x0000_i1026" o:spt="75" type="#_x0000_t75" style="height:178.55pt;width:414.75pt;" o:ole="t" filled="f" o:preferrelative="t" stroked="f" coordsize="21600,21600">
            <v:path/>
            <v:fill on="f" focussize="0,0"/>
            <v:stroke on="f"/>
            <v:imagedata r:id="rId11" o:title=""/>
            <o:lock v:ext="edit" aspectratio="f"/>
            <w10:wrap type="none"/>
            <w10:anchorlock/>
          </v:shape>
          <o:OLEObject Type="Embed" ProgID="Visio.Drawing.15" ShapeID="_x0000_i1026" DrawAspect="Content" ObjectID="_1468075726" r:id="rId10">
            <o:LockedField>false</o:LockedField>
          </o:OLEObject>
        </w:object>
      </w:r>
    </w:p>
    <w:p w14:paraId="2D11D09B">
      <w:pPr>
        <w:widowControl w:val="0"/>
        <w:numPr>
          <w:ilvl w:val="0"/>
          <w:numId w:val="0"/>
        </w:numPr>
        <w:adjustRightInd w:val="0"/>
        <w:snapToGrid w:val="0"/>
        <w:spacing w:after="20" w:afterLines="20" w:line="288" w:lineRule="auto"/>
        <w:jc w:val="both"/>
        <w:rPr>
          <w:rFonts w:hint="eastAsia"/>
          <w:b w:val="0"/>
          <w:bCs w:val="0"/>
          <w:color w:val="000000" w:themeColor="text1"/>
          <w:sz w:val="21"/>
          <w:szCs w:val="21"/>
          <w:lang w:val="en-US" w:eastAsia="zh-CN"/>
          <w14:textFill>
            <w14:solidFill>
              <w14:schemeClr w14:val="tx1"/>
            </w14:solidFill>
          </w14:textFill>
        </w:rPr>
      </w:pPr>
    </w:p>
    <w:p w14:paraId="4B3D503F">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50F89FB7">
      <w:pPr>
        <w:widowControl w:val="0"/>
        <w:numPr>
          <w:ilvl w:val="0"/>
          <w:numId w:val="7"/>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服务首页点击【预约维保】需判断当前用户是否已绑定车辆：</w:t>
      </w:r>
    </w:p>
    <w:p w14:paraId="20C39FA9">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未绑定：toast提示“此功能仅供车主使用”</w:t>
      </w:r>
    </w:p>
    <w:p w14:paraId="7B40A4CD">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已绑定：进入预约维保页面并自动带入车辆信息；</w:t>
      </w:r>
    </w:p>
    <w:p w14:paraId="6994C5DE">
      <w:pPr>
        <w:widowControl w:val="0"/>
        <w:numPr>
          <w:ilvl w:val="0"/>
          <w:numId w:val="7"/>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预约维保：</w:t>
      </w:r>
    </w:p>
    <w:p w14:paraId="1D12DB4B">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车辆信息展示从服务页面带入的车辆信息，点击【切换车辆】弹出车辆选择弹窗，切花车辆后根据选择的车辆显示车辆数据（车辆数据包含：车型图、车型名称、VIN、车牌号、剩余保养里程、剩余保养时间）；（</w:t>
      </w:r>
      <w:r>
        <w:rPr>
          <w:rFonts w:hint="eastAsia"/>
          <w:color w:val="000000" w:themeColor="text1"/>
          <w:sz w:val="21"/>
          <w:szCs w:val="21"/>
          <w:highlight w:val="yellow"/>
          <w:lang w:val="en-US" w:eastAsia="zh-CN"/>
          <w14:textFill>
            <w14:solidFill>
              <w14:schemeClr w14:val="tx1"/>
            </w14:solidFill>
          </w14:textFill>
        </w:rPr>
        <w:t>注：若当前账号只绑定了一台车则不显示“切换车辆”按钮</w:t>
      </w:r>
      <w:r>
        <w:rPr>
          <w:rFonts w:hint="eastAsia"/>
          <w:b w:val="0"/>
          <w:bCs w:val="0"/>
          <w:color w:val="000000" w:themeColor="text1"/>
          <w:sz w:val="21"/>
          <w:szCs w:val="21"/>
          <w:lang w:val="en-US" w:eastAsia="zh-CN"/>
          <w14:textFill>
            <w14:solidFill>
              <w14:schemeClr w14:val="tx1"/>
            </w14:solidFill>
          </w14:textFill>
        </w:rPr>
        <w:t>）</w:t>
      </w:r>
    </w:p>
    <w:p w14:paraId="795FEE7C">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预约类型：保养、维修，单选，必选；</w:t>
      </w:r>
    </w:p>
    <w:p w14:paraId="26D449F7">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预约门店，点击跳转地图页面加载当前定位附近的服务站数据，支持通过城市和名称搜索服务站，选择服务站后回显服务站信息；</w:t>
      </w:r>
    </w:p>
    <w:p w14:paraId="6F99C0EA">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送修人姓名：默认为当前登录账号昵称，可手动修改，非必填，0-20字符；</w:t>
      </w:r>
    </w:p>
    <w:p w14:paraId="7209ABEB">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送修人电话：默认为当前登录账号绑定手机号，可手动修改，必填，11位手机号；</w:t>
      </w:r>
    </w:p>
    <w:p w14:paraId="0979891E">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到店时间：点击需判断是否已选择服务站；</w:t>
      </w:r>
    </w:p>
    <w:p w14:paraId="6ACCC2B2">
      <w:pPr>
        <w:widowControl w:val="0"/>
        <w:numPr>
          <w:ilvl w:val="2"/>
          <w:numId w:val="7"/>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未选择：toast提示“请先选择预约门店”；</w:t>
      </w:r>
    </w:p>
    <w:p w14:paraId="1BD543FA">
      <w:pPr>
        <w:widowControl w:val="0"/>
        <w:numPr>
          <w:ilvl w:val="2"/>
          <w:numId w:val="7"/>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已选择：</w:t>
      </w:r>
      <w:r>
        <w:rPr>
          <w:rFonts w:hint="eastAsia"/>
          <w:b w:val="0"/>
          <w:bCs w:val="0"/>
          <w:color w:val="000000" w:themeColor="text1"/>
          <w:sz w:val="21"/>
          <w:szCs w:val="21"/>
          <w:highlight w:val="yellow"/>
          <w:lang w:val="en-US" w:eastAsia="zh-CN"/>
          <w14:textFill>
            <w14:solidFill>
              <w14:schemeClr w14:val="tx1"/>
            </w14:solidFill>
          </w14:textFill>
        </w:rPr>
        <w:t>进入预约时间选择页面，可预约日期和可选择预约时段由“销冠”系统提供接口通过选择的预约门店获取并显示</w:t>
      </w:r>
      <w:r>
        <w:rPr>
          <w:rFonts w:hint="eastAsia"/>
          <w:b w:val="0"/>
          <w:bCs w:val="0"/>
          <w:color w:val="000000" w:themeColor="text1"/>
          <w:sz w:val="21"/>
          <w:szCs w:val="21"/>
          <w:lang w:val="en-US" w:eastAsia="zh-CN"/>
          <w14:textFill>
            <w14:solidFill>
              <w14:schemeClr w14:val="tx1"/>
            </w14:solidFill>
          </w14:textFill>
        </w:rPr>
        <w:t>；</w:t>
      </w:r>
    </w:p>
    <w:p w14:paraId="5FE8A9B0">
      <w:pPr>
        <w:widowControl w:val="0"/>
        <w:numPr>
          <w:ilvl w:val="0"/>
          <w:numId w:val="7"/>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预约维保页面点击【立即提交】；</w:t>
      </w:r>
    </w:p>
    <w:p w14:paraId="7D4B8052">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必填字段未填写完整toast提示“请完善预约信息”；</w:t>
      </w:r>
    </w:p>
    <w:p w14:paraId="33CD2476">
      <w:pPr>
        <w:widowControl w:val="0"/>
        <w:numPr>
          <w:ilvl w:val="1"/>
          <w:numId w:val="7"/>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已完善，弹出提交成功提示框“提交成功，感谢您的预约！请在约定时间驾车到店，您的爱车将获得专属保养/维修服务。”</w:t>
      </w:r>
    </w:p>
    <w:p w14:paraId="1F6EE1A3">
      <w:pPr>
        <w:widowControl w:val="0"/>
        <w:numPr>
          <w:ilvl w:val="2"/>
          <w:numId w:val="7"/>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点击【查看预约记录】跳转个人中心-我的订单-预约维保记录列表页面；</w:t>
      </w:r>
    </w:p>
    <w:p w14:paraId="7433C59D">
      <w:pPr>
        <w:widowControl w:val="0"/>
        <w:numPr>
          <w:ilvl w:val="2"/>
          <w:numId w:val="7"/>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点击【关闭】返回服务页面。</w:t>
      </w:r>
    </w:p>
    <w:p w14:paraId="2AF974D6">
      <w:pPr>
        <w:widowControl w:val="0"/>
        <w:numPr>
          <w:ilvl w:val="0"/>
          <w:numId w:val="0"/>
        </w:numPr>
        <w:adjustRightInd w:val="0"/>
        <w:snapToGrid w:val="0"/>
        <w:spacing w:after="20" w:afterLines="20" w:line="288" w:lineRule="auto"/>
        <w:jc w:val="center"/>
      </w:pPr>
      <w:r>
        <w:drawing>
          <wp:inline distT="0" distB="0" distL="114300" distR="114300">
            <wp:extent cx="4754880" cy="2580640"/>
            <wp:effectExtent l="0" t="0" r="5715" b="1016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12"/>
                    <a:stretch>
                      <a:fillRect/>
                    </a:stretch>
                  </pic:blipFill>
                  <pic:spPr>
                    <a:xfrm>
                      <a:off x="0" y="0"/>
                      <a:ext cx="4754880" cy="2580640"/>
                    </a:xfrm>
                    <a:prstGeom prst="rect">
                      <a:avLst/>
                    </a:prstGeom>
                    <a:noFill/>
                    <a:ln>
                      <a:noFill/>
                    </a:ln>
                  </pic:spPr>
                </pic:pic>
              </a:graphicData>
            </a:graphic>
          </wp:inline>
        </w:drawing>
      </w:r>
    </w:p>
    <w:p w14:paraId="43768BC7">
      <w:pPr>
        <w:widowControl w:val="0"/>
        <w:numPr>
          <w:ilvl w:val="0"/>
          <w:numId w:val="0"/>
        </w:numPr>
        <w:adjustRightInd w:val="0"/>
        <w:snapToGrid w:val="0"/>
        <w:spacing w:after="20" w:afterLines="20" w:line="288" w:lineRule="auto"/>
        <w:jc w:val="center"/>
        <w:rPr>
          <w:rFonts w:hint="eastAsia"/>
          <w:b w:val="0"/>
          <w:bCs w:val="0"/>
          <w:color w:val="000000" w:themeColor="text1"/>
          <w:sz w:val="21"/>
          <w:szCs w:val="21"/>
          <w:lang w:val="en-US" w:eastAsia="zh-CN"/>
          <w14:textFill>
            <w14:solidFill>
              <w14:schemeClr w14:val="tx1"/>
            </w14:solidFill>
          </w14:textFill>
        </w:rPr>
      </w:pPr>
      <w:r>
        <w:drawing>
          <wp:inline distT="0" distB="0" distL="114300" distR="114300">
            <wp:extent cx="4759325" cy="2570480"/>
            <wp:effectExtent l="0" t="0" r="1270" b="9525"/>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13"/>
                    <a:stretch>
                      <a:fillRect/>
                    </a:stretch>
                  </pic:blipFill>
                  <pic:spPr>
                    <a:xfrm>
                      <a:off x="0" y="0"/>
                      <a:ext cx="4759325" cy="2570480"/>
                    </a:xfrm>
                    <a:prstGeom prst="rect">
                      <a:avLst/>
                    </a:prstGeom>
                    <a:noFill/>
                    <a:ln>
                      <a:noFill/>
                    </a:ln>
                  </pic:spPr>
                </pic:pic>
              </a:graphicData>
            </a:graphic>
          </wp:inline>
        </w:drawing>
      </w:r>
    </w:p>
    <w:p w14:paraId="79FCB554">
      <w:pPr>
        <w:pStyle w:val="5"/>
        <w:bidi w:val="0"/>
        <w:rPr>
          <w:rFonts w:hint="default"/>
          <w:lang w:val="en-US" w:eastAsia="zh-CN"/>
        </w:rPr>
      </w:pPr>
      <w:r>
        <w:drawing>
          <wp:anchor distT="0" distB="0" distL="114935" distR="114935" simplePos="0" relativeHeight="251659264" behindDoc="1" locked="0" layoutInCell="1" allowOverlap="1">
            <wp:simplePos x="0" y="0"/>
            <wp:positionH relativeFrom="column">
              <wp:posOffset>4023360</wp:posOffset>
            </wp:positionH>
            <wp:positionV relativeFrom="paragraph">
              <wp:posOffset>318135</wp:posOffset>
            </wp:positionV>
            <wp:extent cx="1201420" cy="2698750"/>
            <wp:effectExtent l="0" t="0" r="29210" b="21590"/>
            <wp:wrapTight wrapText="left">
              <wp:wrapPolygon>
                <wp:start x="0" y="0"/>
                <wp:lineTo x="0" y="21341"/>
                <wp:lineTo x="21155" y="21341"/>
                <wp:lineTo x="21155" y="0"/>
                <wp:lineTo x="0" y="0"/>
              </wp:wrapPolygon>
            </wp:wrapTight>
            <wp:docPr id="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2"/>
                    <pic:cNvPicPr>
                      <a:picLocks noChangeAspect="1"/>
                    </pic:cNvPicPr>
                  </pic:nvPicPr>
                  <pic:blipFill>
                    <a:blip r:embed="rId14"/>
                    <a:stretch>
                      <a:fillRect/>
                    </a:stretch>
                  </pic:blipFill>
                  <pic:spPr>
                    <a:xfrm>
                      <a:off x="0" y="0"/>
                      <a:ext cx="1201420" cy="2698750"/>
                    </a:xfrm>
                    <a:prstGeom prst="rect">
                      <a:avLst/>
                    </a:prstGeom>
                    <a:noFill/>
                    <a:ln>
                      <a:noFill/>
                    </a:ln>
                  </pic:spPr>
                </pic:pic>
              </a:graphicData>
            </a:graphic>
          </wp:anchor>
        </w:drawing>
      </w:r>
      <w:r>
        <w:rPr>
          <w:rFonts w:hint="eastAsia"/>
          <w:lang w:val="en-US" w:eastAsia="zh-CN"/>
        </w:rPr>
        <w:t>1.4.1.2救援服务</w:t>
      </w:r>
    </w:p>
    <w:p w14:paraId="4F454105">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377D7332">
      <w:pPr>
        <w:ind w:firstLine="420"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用户可通过400电话或者在线客服申请车辆救援服务。</w:t>
      </w:r>
    </w:p>
    <w:p w14:paraId="734D7D36">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3EDF44DA">
      <w:pPr>
        <w:widowControl w:val="0"/>
        <w:numPr>
          <w:ilvl w:val="0"/>
          <w:numId w:val="8"/>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服务页面点击“救援服务”弹出救援选择项；</w:t>
      </w:r>
    </w:p>
    <w:p w14:paraId="7F1C519C">
      <w:pPr>
        <w:widowControl w:val="0"/>
        <w:numPr>
          <w:ilvl w:val="1"/>
          <w:numId w:val="8"/>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点击拨打400-810-8100，跳转至设备拨打电话页面拨打400电话；</w:t>
      </w:r>
    </w:p>
    <w:p w14:paraId="464FD9A0">
      <w:pPr>
        <w:widowControl w:val="0"/>
        <w:numPr>
          <w:ilvl w:val="1"/>
          <w:numId w:val="8"/>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点击“联系在线客服”则根据后端配置的在线客服跳转方式跳转（</w:t>
      </w:r>
      <w:r>
        <w:rPr>
          <w:rFonts w:hint="eastAsia"/>
          <w:b w:val="0"/>
          <w:bCs w:val="0"/>
          <w:i/>
          <w:iCs/>
          <w:color w:val="FF0000"/>
          <w:sz w:val="21"/>
          <w:szCs w:val="21"/>
          <w:highlight w:val="yellow"/>
          <w:lang w:val="en-US" w:eastAsia="zh-CN"/>
        </w:rPr>
        <w:t>注：在线客服对接方式待定</w:t>
      </w:r>
      <w:r>
        <w:rPr>
          <w:rFonts w:hint="eastAsia"/>
          <w:b w:val="0"/>
          <w:bCs w:val="0"/>
          <w:color w:val="000000" w:themeColor="text1"/>
          <w:sz w:val="21"/>
          <w:szCs w:val="21"/>
          <w:lang w:val="en-US" w:eastAsia="zh-CN"/>
          <w14:textFill>
            <w14:solidFill>
              <w14:schemeClr w14:val="tx1"/>
            </w14:solidFill>
          </w14:textFill>
        </w:rPr>
        <w:t>）</w:t>
      </w:r>
    </w:p>
    <w:p w14:paraId="0C761AA9">
      <w:pPr>
        <w:pStyle w:val="5"/>
        <w:bidi w:val="0"/>
        <w:rPr>
          <w:rFonts w:hint="default"/>
          <w:lang w:val="en-US" w:eastAsia="zh-CN"/>
        </w:rPr>
      </w:pPr>
      <w:r>
        <w:rPr>
          <w:rFonts w:hint="eastAsia"/>
          <w:lang w:val="en-US" w:eastAsia="zh-CN"/>
        </w:rPr>
        <w:t>1.4.1.3保养记录</w:t>
      </w:r>
    </w:p>
    <w:p w14:paraId="0EA20D10">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5656D2B9">
      <w:pPr>
        <w:widowControl w:val="0"/>
        <w:numPr>
          <w:ilvl w:val="0"/>
          <w:numId w:val="0"/>
        </w:numPr>
        <w:adjustRightInd w:val="0"/>
        <w:snapToGrid w:val="0"/>
        <w:spacing w:after="20" w:afterLines="20" w:line="288" w:lineRule="auto"/>
        <w:ind w:firstLine="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保养记录为用户通过下线预约的保养记录，用户可通过手机号和车辆VIN查询车辆的历史保养记录，记录包含首保和定保。</w:t>
      </w:r>
    </w:p>
    <w:p w14:paraId="75EFAE78">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业务流程</w:t>
      </w:r>
    </w:p>
    <w:p w14:paraId="1F3C01EB">
      <w:pPr>
        <w:widowControl w:val="0"/>
        <w:numPr>
          <w:ilvl w:val="0"/>
          <w:numId w:val="0"/>
        </w:numPr>
        <w:adjustRightInd w:val="0"/>
        <w:snapToGrid w:val="0"/>
        <w:spacing w:after="20" w:afterLines="20" w:line="288" w:lineRule="auto"/>
        <w:jc w:val="both"/>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object>
          <v:shape id="_x0000_i1027" o:spt="75" type="#_x0000_t75" style="height:294.55pt;width:415.15pt;" o:ole="t" filled="f" o:preferrelative="t" stroked="f" coordsize="21600,21600">
            <v:path/>
            <v:fill on="f" focussize="0,0"/>
            <v:stroke on="f"/>
            <v:imagedata r:id="rId16" o:title=""/>
            <o:lock v:ext="edit" aspectratio="f"/>
            <w10:wrap type="none"/>
            <w10:anchorlock/>
          </v:shape>
          <o:OLEObject Type="Embed" ProgID="Visio.Drawing.15" ShapeID="_x0000_i1027" DrawAspect="Content" ObjectID="_1468075727" r:id="rId15">
            <o:LockedField>false</o:LockedField>
          </o:OLEObject>
        </w:object>
      </w:r>
    </w:p>
    <w:p w14:paraId="412548EE">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2932ECBF">
      <w:pPr>
        <w:widowControl w:val="0"/>
        <w:numPr>
          <w:ilvl w:val="0"/>
          <w:numId w:val="9"/>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点击服务“保养记录”进入保养记录查询页面；</w:t>
      </w:r>
    </w:p>
    <w:p w14:paraId="456922E0">
      <w:pPr>
        <w:widowControl w:val="0"/>
        <w:numPr>
          <w:ilvl w:val="0"/>
          <w:numId w:val="9"/>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保养查询页面</w:t>
      </w:r>
    </w:p>
    <w:p w14:paraId="4522E0AC">
      <w:pPr>
        <w:widowControl w:val="0"/>
        <w:numPr>
          <w:ilvl w:val="1"/>
          <w:numId w:val="10"/>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车车辆信息展示从服务页面带入的车辆信息，点击【切换车辆】弹出车辆选择弹窗，切花车辆后根据选择的车辆显示车辆数据（车辆数据包含：车型图、车型名称、VIN、车牌号、剩余保养里程、剩余保养时间）；（</w:t>
      </w:r>
      <w:r>
        <w:rPr>
          <w:rFonts w:hint="eastAsia"/>
          <w:color w:val="000000" w:themeColor="text1"/>
          <w:sz w:val="21"/>
          <w:szCs w:val="21"/>
          <w:highlight w:val="yellow"/>
          <w:lang w:val="en-US" w:eastAsia="zh-CN"/>
          <w14:textFill>
            <w14:solidFill>
              <w14:schemeClr w14:val="tx1"/>
            </w14:solidFill>
          </w14:textFill>
        </w:rPr>
        <w:t>注：若当前账号只绑定了一台车则不显示“切换车辆”按钮</w:t>
      </w:r>
      <w:r>
        <w:rPr>
          <w:rFonts w:hint="eastAsia"/>
          <w:b w:val="0"/>
          <w:bCs w:val="0"/>
          <w:color w:val="000000" w:themeColor="text1"/>
          <w:sz w:val="21"/>
          <w:szCs w:val="21"/>
          <w:lang w:val="en-US" w:eastAsia="zh-CN"/>
          <w14:textFill>
            <w14:solidFill>
              <w14:schemeClr w14:val="tx1"/>
            </w14:solidFill>
          </w14:textFill>
        </w:rPr>
        <w:t>）</w:t>
      </w:r>
    </w:p>
    <w:p w14:paraId="4E515997">
      <w:pPr>
        <w:widowControl w:val="0"/>
        <w:numPr>
          <w:ilvl w:val="1"/>
          <w:numId w:val="10"/>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手机号：默认为当前登录账号，可手动修改，必填，11位手机号；</w:t>
      </w:r>
    </w:p>
    <w:p w14:paraId="34FA9D09">
      <w:pPr>
        <w:widowControl w:val="0"/>
        <w:numPr>
          <w:ilvl w:val="1"/>
          <w:numId w:val="10"/>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验证码：倒计时为60秒，验证码有效期为5分钟，五分钟内输入均有效；输入验证码后点击【立即查询】需校验验证码是否正确；</w:t>
      </w:r>
    </w:p>
    <w:p w14:paraId="2B7D96D4">
      <w:pPr>
        <w:widowControl w:val="0"/>
        <w:numPr>
          <w:ilvl w:val="2"/>
          <w:numId w:val="10"/>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正确，则根据手机号和车辆VIN查询车辆的保养记录（注：</w:t>
      </w:r>
      <w:r>
        <w:rPr>
          <w:rFonts w:hint="eastAsia"/>
          <w:b w:val="0"/>
          <w:bCs w:val="0"/>
          <w:color w:val="000000" w:themeColor="text1"/>
          <w:sz w:val="21"/>
          <w:szCs w:val="21"/>
          <w:highlight w:val="yellow"/>
          <w:lang w:val="en-US" w:eastAsia="zh-CN"/>
          <w14:textFill>
            <w14:solidFill>
              <w14:schemeClr w14:val="tx1"/>
            </w14:solidFill>
          </w14:textFill>
        </w:rPr>
        <w:t>手机号为保养工单的送修人手机</w:t>
      </w:r>
      <w:r>
        <w:rPr>
          <w:rFonts w:hint="eastAsia"/>
          <w:b w:val="0"/>
          <w:bCs w:val="0"/>
          <w:color w:val="000000" w:themeColor="text1"/>
          <w:sz w:val="21"/>
          <w:szCs w:val="21"/>
          <w:lang w:val="en-US" w:eastAsia="zh-CN"/>
          <w14:textFill>
            <w14:solidFill>
              <w14:schemeClr w14:val="tx1"/>
            </w14:solidFill>
          </w14:textFill>
        </w:rPr>
        <w:t>）；</w:t>
      </w:r>
    </w:p>
    <w:p w14:paraId="122ED1E5">
      <w:pPr>
        <w:widowControl w:val="0"/>
        <w:numPr>
          <w:ilvl w:val="2"/>
          <w:numId w:val="10"/>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不正确，toast提示“验证码不正确”。</w:t>
      </w:r>
    </w:p>
    <w:p w14:paraId="3606477C">
      <w:pPr>
        <w:widowControl w:val="0"/>
        <w:numPr>
          <w:ilvl w:val="0"/>
          <w:numId w:val="9"/>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保养记录列表点击【查看详情】进入当前工单详情页面。</w:t>
      </w:r>
    </w:p>
    <w:p w14:paraId="73889AC1">
      <w:pPr>
        <w:widowControl w:val="0"/>
        <w:numPr>
          <w:ilvl w:val="0"/>
          <w:numId w:val="0"/>
        </w:numPr>
        <w:adjustRightInd w:val="0"/>
        <w:snapToGrid w:val="0"/>
        <w:spacing w:after="20" w:afterLines="20" w:line="288" w:lineRule="auto"/>
        <w:jc w:val="both"/>
        <w:rPr>
          <w:rFonts w:hint="eastAsia"/>
          <w:b w:val="0"/>
          <w:bCs w:val="0"/>
          <w:color w:val="000000" w:themeColor="text1"/>
          <w:sz w:val="21"/>
          <w:szCs w:val="21"/>
          <w:lang w:val="en-US" w:eastAsia="zh-CN"/>
          <w14:textFill>
            <w14:solidFill>
              <w14:schemeClr w14:val="tx1"/>
            </w14:solidFill>
          </w14:textFill>
        </w:rPr>
      </w:pPr>
      <w:r>
        <w:drawing>
          <wp:inline distT="0" distB="0" distL="114300" distR="114300">
            <wp:extent cx="5273675" cy="2984500"/>
            <wp:effectExtent l="0" t="0" r="5080" b="571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7"/>
                    <a:stretch>
                      <a:fillRect/>
                    </a:stretch>
                  </pic:blipFill>
                  <pic:spPr>
                    <a:xfrm>
                      <a:off x="0" y="0"/>
                      <a:ext cx="5273675" cy="2984500"/>
                    </a:xfrm>
                    <a:prstGeom prst="rect">
                      <a:avLst/>
                    </a:prstGeom>
                    <a:noFill/>
                    <a:ln>
                      <a:noFill/>
                    </a:ln>
                  </pic:spPr>
                </pic:pic>
              </a:graphicData>
            </a:graphic>
          </wp:inline>
        </w:drawing>
      </w:r>
    </w:p>
    <w:p w14:paraId="2C980E00">
      <w:pPr>
        <w:pStyle w:val="5"/>
        <w:bidi w:val="0"/>
        <w:rPr>
          <w:rFonts w:hint="default"/>
          <w:lang w:val="en-US" w:eastAsia="zh-CN"/>
        </w:rPr>
      </w:pPr>
      <w:r>
        <w:drawing>
          <wp:anchor distT="0" distB="0" distL="114935" distR="114935" simplePos="0" relativeHeight="251660288" behindDoc="1" locked="0" layoutInCell="1" allowOverlap="1">
            <wp:simplePos x="0" y="0"/>
            <wp:positionH relativeFrom="column">
              <wp:posOffset>3969385</wp:posOffset>
            </wp:positionH>
            <wp:positionV relativeFrom="paragraph">
              <wp:posOffset>466090</wp:posOffset>
            </wp:positionV>
            <wp:extent cx="1292225" cy="2874645"/>
            <wp:effectExtent l="0" t="0" r="3175" b="7620"/>
            <wp:wrapTight wrapText="left">
              <wp:wrapPolygon>
                <wp:start x="0" y="0"/>
                <wp:lineTo x="0" y="21333"/>
                <wp:lineTo x="21292" y="21333"/>
                <wp:lineTo x="21292" y="0"/>
                <wp:lineTo x="0" y="0"/>
              </wp:wrapPolygon>
            </wp:wrapTight>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18"/>
                    <a:stretch>
                      <a:fillRect/>
                    </a:stretch>
                  </pic:blipFill>
                  <pic:spPr>
                    <a:xfrm>
                      <a:off x="0" y="0"/>
                      <a:ext cx="1292225" cy="2874645"/>
                    </a:xfrm>
                    <a:prstGeom prst="rect">
                      <a:avLst/>
                    </a:prstGeom>
                    <a:noFill/>
                    <a:ln>
                      <a:noFill/>
                    </a:ln>
                  </pic:spPr>
                </pic:pic>
              </a:graphicData>
            </a:graphic>
          </wp:anchor>
        </w:drawing>
      </w:r>
      <w:r>
        <w:rPr>
          <w:rFonts w:hint="eastAsia"/>
          <w:lang w:val="en-US" w:eastAsia="zh-CN"/>
        </w:rPr>
        <w:t>1.4.1.4质保手册</w:t>
      </w:r>
    </w:p>
    <w:p w14:paraId="2EE5832C">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28FDF158">
      <w:pPr>
        <w:widowControl w:val="0"/>
        <w:numPr>
          <w:ilvl w:val="0"/>
          <w:numId w:val="0"/>
        </w:numPr>
        <w:adjustRightInd w:val="0"/>
        <w:snapToGrid w:val="0"/>
        <w:spacing w:after="20" w:afterLines="20" w:line="288" w:lineRule="auto"/>
        <w:ind w:firstLine="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查看绑定车辆的电子版质保手册，质保手册通过运营管理系统配置，用户点击后根据用户当前选择车辆的车型加载对应的质保手册。</w:t>
      </w:r>
    </w:p>
    <w:p w14:paraId="468B2C95">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413F6D4F">
      <w:pPr>
        <w:widowControl w:val="0"/>
        <w:numPr>
          <w:ilvl w:val="0"/>
          <w:numId w:val="11"/>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点击服务页面“质保手册”根据当前车辆的车型获取车型的质保手册；</w:t>
      </w:r>
    </w:p>
    <w:p w14:paraId="7B6532EE">
      <w:pPr>
        <w:widowControl w:val="0"/>
        <w:numPr>
          <w:ilvl w:val="1"/>
          <w:numId w:val="11"/>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未获取到toast提示“车辆质保手册正在更新中”；</w:t>
      </w:r>
    </w:p>
    <w:p w14:paraId="47134F6B">
      <w:pPr>
        <w:widowControl w:val="0"/>
        <w:numPr>
          <w:ilvl w:val="1"/>
          <w:numId w:val="11"/>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获取成功，根据配置的内容进行跳转</w:t>
      </w:r>
    </w:p>
    <w:p w14:paraId="1A197E9E">
      <w:pPr>
        <w:widowControl w:val="0"/>
        <w:numPr>
          <w:ilvl w:val="2"/>
          <w:numId w:val="11"/>
        </w:numPr>
        <w:adjustRightInd w:val="0"/>
        <w:snapToGrid w:val="0"/>
        <w:spacing w:after="20" w:afterLines="20" w:line="288" w:lineRule="auto"/>
        <w:ind w:left="168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H5地址，在APP内部打开H5地址；</w:t>
      </w:r>
    </w:p>
    <w:p w14:paraId="217A80BA">
      <w:pPr>
        <w:widowControl w:val="0"/>
        <w:numPr>
          <w:ilvl w:val="2"/>
          <w:numId w:val="11"/>
        </w:numPr>
        <w:adjustRightInd w:val="0"/>
        <w:snapToGrid w:val="0"/>
        <w:spacing w:after="20" w:afterLines="20" w:line="288" w:lineRule="auto"/>
        <w:ind w:left="1680" w:leftChars="0" w:hanging="420" w:firstLineChars="0"/>
        <w:jc w:val="both"/>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PDF文件，在APP内打开pdf文件。</w:t>
      </w:r>
    </w:p>
    <w:p w14:paraId="12B26F67">
      <w:pPr>
        <w:pStyle w:val="4"/>
        <w:bidi w:val="0"/>
        <w:rPr>
          <w:rFonts w:hint="default"/>
          <w:color w:val="000000" w:themeColor="text1"/>
          <w:lang w:val="en-US" w:eastAsia="zh-CN"/>
          <w14:textFill>
            <w14:solidFill>
              <w14:schemeClr w14:val="tx1"/>
            </w14:solidFill>
          </w14:textFill>
        </w:rPr>
      </w:pPr>
      <w:bookmarkStart w:id="6" w:name="_Toc10656"/>
      <w:r>
        <w:rPr>
          <w:rFonts w:hint="eastAsia"/>
          <w:color w:val="000000" w:themeColor="text1"/>
          <w:lang w:val="en-US" w:eastAsia="zh-CN"/>
          <w14:textFill>
            <w14:solidFill>
              <w14:schemeClr w14:val="tx1"/>
            </w14:solidFill>
          </w14:textFill>
        </w:rPr>
        <w:t>1.4.2服务网点</w:t>
      </w:r>
      <w:bookmarkEnd w:id="6"/>
    </w:p>
    <w:p w14:paraId="0540D45D">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4D371105">
      <w:pPr>
        <w:widowControl w:val="0"/>
        <w:numPr>
          <w:ilvl w:val="0"/>
          <w:numId w:val="0"/>
        </w:numPr>
        <w:adjustRightInd w:val="0"/>
        <w:snapToGrid w:val="0"/>
        <w:spacing w:after="20" w:afterLines="20" w:line="288" w:lineRule="auto"/>
        <w:ind w:firstLine="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服务网点分为服务站、经销商，通过定位展示附近服务网点，并可以查看更多，通过地图的方式查看更多服务站分布，支持通过名称进行检索。</w:t>
      </w:r>
    </w:p>
    <w:p w14:paraId="5C07DD9C">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3D1117E1">
      <w:pPr>
        <w:widowControl w:val="0"/>
        <w:numPr>
          <w:ilvl w:val="0"/>
          <w:numId w:val="12"/>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服务页面根据当前定位展示距离最近的服务网点（经销商或者服务站），并通过定位获取附近经销商和服务站的分布，通过地图的方式进行展示（</w:t>
      </w:r>
      <w:r>
        <w:rPr>
          <w:rFonts w:hint="eastAsia"/>
          <w:b w:val="0"/>
          <w:bCs w:val="0"/>
          <w:color w:val="000000" w:themeColor="text1"/>
          <w:sz w:val="21"/>
          <w:szCs w:val="21"/>
          <w:highlight w:val="yellow"/>
          <w:lang w:val="en-US" w:eastAsia="zh-CN"/>
          <w14:textFill>
            <w14:solidFill>
              <w14:schemeClr w14:val="tx1"/>
            </w14:solidFill>
          </w14:textFill>
        </w:rPr>
        <w:t>地图不支持拖动</w:t>
      </w:r>
      <w:r>
        <w:rPr>
          <w:rFonts w:hint="eastAsia"/>
          <w:b w:val="0"/>
          <w:bCs w:val="0"/>
          <w:color w:val="000000" w:themeColor="text1"/>
          <w:sz w:val="21"/>
          <w:szCs w:val="21"/>
          <w:lang w:val="en-US" w:eastAsia="zh-CN"/>
          <w14:textFill>
            <w14:solidFill>
              <w14:schemeClr w14:val="tx1"/>
            </w14:solidFill>
          </w14:textFill>
        </w:rPr>
        <w:t>）；</w:t>
      </w:r>
    </w:p>
    <w:p w14:paraId="7E9A971D">
      <w:pPr>
        <w:widowControl w:val="0"/>
        <w:numPr>
          <w:ilvl w:val="0"/>
          <w:numId w:val="12"/>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点击地图区域进入服务网点页面，服务网点页面已地图的方式展示附近服务站和经销商；</w:t>
      </w:r>
    </w:p>
    <w:p w14:paraId="4E9068E5">
      <w:pPr>
        <w:widowControl w:val="0"/>
        <w:numPr>
          <w:ilvl w:val="0"/>
          <w:numId w:val="12"/>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地图交互：</w:t>
      </w:r>
    </w:p>
    <w:p w14:paraId="03AF8062">
      <w:pPr>
        <w:widowControl w:val="0"/>
        <w:numPr>
          <w:ilvl w:val="1"/>
          <w:numId w:val="12"/>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点击地图“经销”或者“服务站”icon则在列表中显示选中的经销商或者服务站；</w:t>
      </w:r>
    </w:p>
    <w:p w14:paraId="55B99CED">
      <w:pPr>
        <w:widowControl w:val="0"/>
        <w:numPr>
          <w:ilvl w:val="1"/>
          <w:numId w:val="12"/>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地图数据默认展示当前定位城市的所有服务站和经销商位置；</w:t>
      </w:r>
    </w:p>
    <w:p w14:paraId="695DFA16">
      <w:pPr>
        <w:widowControl w:val="0"/>
        <w:numPr>
          <w:ilvl w:val="1"/>
          <w:numId w:val="12"/>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highlight w:val="yellow"/>
          <w:lang w:val="en-US" w:eastAsia="zh-CN"/>
          <w14:textFill>
            <w14:solidFill>
              <w14:schemeClr w14:val="tx1"/>
            </w14:solidFill>
          </w14:textFill>
        </w:rPr>
        <w:t>拖动地图仅为拖动地图显示区域，不变更当前定位</w:t>
      </w:r>
      <w:r>
        <w:rPr>
          <w:rFonts w:hint="eastAsia"/>
          <w:b w:val="0"/>
          <w:bCs w:val="0"/>
          <w:color w:val="000000" w:themeColor="text1"/>
          <w:sz w:val="21"/>
          <w:szCs w:val="21"/>
          <w:lang w:val="en-US" w:eastAsia="zh-CN"/>
          <w14:textFill>
            <w14:solidFill>
              <w14:schemeClr w14:val="tx1"/>
            </w14:solidFill>
          </w14:textFill>
        </w:rPr>
        <w:t>。</w:t>
      </w:r>
    </w:p>
    <w:p w14:paraId="5BE4BF4A">
      <w:pPr>
        <w:widowControl w:val="0"/>
        <w:numPr>
          <w:ilvl w:val="0"/>
          <w:numId w:val="12"/>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点击搜索框，输入内容点击【搜索】则根据输入的内容检索经销商和服务站，检索结果在地图上显示搜索结果并在列表中显示搜索结果；</w:t>
      </w:r>
    </w:p>
    <w:p w14:paraId="22A6374E">
      <w:pPr>
        <w:widowControl w:val="0"/>
        <w:numPr>
          <w:ilvl w:val="0"/>
          <w:numId w:val="12"/>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点击“城市”进入城市选择列表，选择城市后返回地图页面并根据选择的城市显示服务站和经销商数据。</w:t>
      </w:r>
    </w:p>
    <w:p w14:paraId="385D9A55">
      <w:pPr>
        <w:widowControl w:val="0"/>
        <w:numPr>
          <w:ilvl w:val="0"/>
          <w:numId w:val="0"/>
        </w:numPr>
        <w:adjustRightInd w:val="0"/>
        <w:snapToGrid w:val="0"/>
        <w:spacing w:after="20" w:afterLines="20" w:line="288" w:lineRule="auto"/>
        <w:jc w:val="both"/>
      </w:pPr>
      <w:r>
        <w:drawing>
          <wp:inline distT="0" distB="0" distL="114300" distR="114300">
            <wp:extent cx="5273040" cy="1934210"/>
            <wp:effectExtent l="0" t="0" r="5715" b="8890"/>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pic:cNvPicPr>
                  </pic:nvPicPr>
                  <pic:blipFill>
                    <a:blip r:embed="rId19"/>
                    <a:stretch>
                      <a:fillRect/>
                    </a:stretch>
                  </pic:blipFill>
                  <pic:spPr>
                    <a:xfrm>
                      <a:off x="0" y="0"/>
                      <a:ext cx="5273040" cy="1934210"/>
                    </a:xfrm>
                    <a:prstGeom prst="rect">
                      <a:avLst/>
                    </a:prstGeom>
                    <a:noFill/>
                    <a:ln>
                      <a:noFill/>
                    </a:ln>
                  </pic:spPr>
                </pic:pic>
              </a:graphicData>
            </a:graphic>
          </wp:inline>
        </w:drawing>
      </w:r>
    </w:p>
    <w:p w14:paraId="6B71CE24">
      <w:pPr>
        <w:pStyle w:val="4"/>
        <w:bidi w:val="0"/>
        <w:rPr>
          <w:rFonts w:hint="default"/>
          <w:color w:val="000000" w:themeColor="text1"/>
          <w:lang w:val="en-US" w:eastAsia="zh-CN"/>
          <w14:textFill>
            <w14:solidFill>
              <w14:schemeClr w14:val="tx1"/>
            </w14:solidFill>
          </w14:textFill>
        </w:rPr>
      </w:pPr>
      <w:bookmarkStart w:id="7" w:name="_Toc27345"/>
      <w:r>
        <w:rPr>
          <w:rFonts w:hint="eastAsia"/>
          <w:color w:val="000000" w:themeColor="text1"/>
          <w:lang w:val="en-US" w:eastAsia="zh-CN"/>
          <w14:textFill>
            <w14:solidFill>
              <w14:schemeClr w14:val="tx1"/>
            </w14:solidFill>
          </w14:textFill>
        </w:rPr>
        <w:t>1.4.3 充电服务</w:t>
      </w:r>
      <w:bookmarkEnd w:id="7"/>
    </w:p>
    <w:p w14:paraId="566A5488">
      <w:pPr>
        <w:widowControl w:val="0"/>
        <w:numPr>
          <w:ilvl w:val="0"/>
          <w:numId w:val="0"/>
        </w:numPr>
        <w:adjustRightInd w:val="0"/>
        <w:snapToGrid w:val="0"/>
        <w:spacing w:after="20" w:afterLines="20" w:line="288" w:lineRule="auto"/>
        <w:ind w:firstLine="420" w:firstLineChars="0"/>
        <w:jc w:val="both"/>
        <w:rPr>
          <w:rFonts w:hint="eastAsia"/>
          <w:color w:val="FF0000"/>
          <w:sz w:val="21"/>
          <w:szCs w:val="21"/>
          <w:highlight w:val="yellow"/>
          <w:lang w:val="en-US" w:eastAsia="zh-CN"/>
        </w:rPr>
      </w:pPr>
      <w:r>
        <w:rPr>
          <w:rFonts w:hint="eastAsia"/>
          <w:color w:val="FF0000"/>
          <w:sz w:val="21"/>
          <w:szCs w:val="21"/>
          <w:highlight w:val="yellow"/>
          <w:lang w:val="en-US" w:eastAsia="zh-CN"/>
        </w:rPr>
        <w:t>充电服务包含查看附近充电桩、扫码充电、私桩管理，充电服务由充电供应商提供页面及功能。</w:t>
      </w:r>
    </w:p>
    <w:p w14:paraId="7EF07C8B">
      <w:pPr>
        <w:pStyle w:val="4"/>
        <w:bidi w:val="0"/>
        <w:rPr>
          <w:rFonts w:hint="default"/>
          <w:color w:val="000000" w:themeColor="text1"/>
          <w:lang w:val="en-US" w:eastAsia="zh-CN"/>
          <w14:textFill>
            <w14:solidFill>
              <w14:schemeClr w14:val="tx1"/>
            </w14:solidFill>
          </w14:textFill>
        </w:rPr>
      </w:pPr>
      <w:bookmarkStart w:id="8" w:name="_Toc27787"/>
      <w:r>
        <w:rPr>
          <w:rFonts w:hint="eastAsia"/>
          <w:color w:val="000000" w:themeColor="text1"/>
          <w:lang w:val="en-US" w:eastAsia="zh-CN"/>
          <w14:textFill>
            <w14:solidFill>
              <w14:schemeClr w14:val="tx1"/>
            </w14:solidFill>
          </w14:textFill>
        </w:rPr>
        <w:t>1.4.4 购车服务</w:t>
      </w:r>
      <w:bookmarkEnd w:id="8"/>
    </w:p>
    <w:p w14:paraId="5544A32A">
      <w:pPr>
        <w:widowControl w:val="0"/>
        <w:numPr>
          <w:ilvl w:val="0"/>
          <w:numId w:val="0"/>
        </w:numPr>
        <w:adjustRightInd w:val="0"/>
        <w:snapToGrid w:val="0"/>
        <w:spacing w:after="20" w:afterLines="20" w:line="288" w:lineRule="auto"/>
        <w:ind w:firstLine="420" w:firstLineChars="0"/>
        <w:jc w:val="both"/>
        <w:rPr>
          <w:rFonts w:hint="eastAsia"/>
          <w:color w:val="auto"/>
          <w:sz w:val="21"/>
          <w:szCs w:val="21"/>
          <w:highlight w:val="none"/>
          <w:lang w:val="en-US" w:eastAsia="zh-CN"/>
        </w:rPr>
      </w:pPr>
      <w:r>
        <w:rPr>
          <w:rFonts w:hint="eastAsia"/>
          <w:color w:val="FF0000"/>
          <w:sz w:val="21"/>
          <w:szCs w:val="21"/>
          <w:highlight w:val="none"/>
          <w:lang w:val="en-US" w:eastAsia="zh-CN"/>
        </w:rPr>
        <w:t xml:space="preserve"> </w:t>
      </w:r>
      <w:r>
        <w:rPr>
          <w:rFonts w:hint="eastAsia"/>
          <w:color w:val="auto"/>
          <w:sz w:val="21"/>
          <w:szCs w:val="21"/>
          <w:highlight w:val="none"/>
          <w:lang w:val="en-US" w:eastAsia="zh-CN"/>
        </w:rPr>
        <w:t xml:space="preserve">  购车服务分为展厅入口、用车手册、车辆手册、购车计算器（</w:t>
      </w:r>
      <w:r>
        <w:rPr>
          <w:rFonts w:hint="eastAsia"/>
          <w:i/>
          <w:iCs/>
          <w:color w:val="C00000"/>
          <w:sz w:val="21"/>
          <w:szCs w:val="21"/>
          <w:highlight w:val="yellow"/>
          <w:lang w:val="en-US" w:eastAsia="zh-CN"/>
        </w:rPr>
        <w:t>需求待输入</w:t>
      </w:r>
      <w:r>
        <w:rPr>
          <w:rFonts w:hint="eastAsia"/>
          <w:color w:val="auto"/>
          <w:sz w:val="21"/>
          <w:szCs w:val="21"/>
          <w:highlight w:val="none"/>
          <w:lang w:val="en-US" w:eastAsia="zh-CN"/>
        </w:rPr>
        <w:t>）、购车补贴、邀请购车（</w:t>
      </w:r>
      <w:r>
        <w:rPr>
          <w:rFonts w:hint="eastAsia"/>
          <w:i/>
          <w:iCs/>
          <w:color w:val="C00000"/>
          <w:sz w:val="21"/>
          <w:szCs w:val="21"/>
          <w:highlight w:val="yellow"/>
          <w:lang w:val="en-US" w:eastAsia="zh-CN"/>
        </w:rPr>
        <w:t>需求待输入</w:t>
      </w:r>
      <w:r>
        <w:rPr>
          <w:rFonts w:hint="eastAsia"/>
          <w:color w:val="auto"/>
          <w:sz w:val="21"/>
          <w:szCs w:val="21"/>
          <w:highlight w:val="none"/>
          <w:lang w:val="en-US" w:eastAsia="zh-CN"/>
        </w:rPr>
        <w:t>）。</w:t>
      </w:r>
    </w:p>
    <w:p w14:paraId="4C156AD7">
      <w:pPr>
        <w:pStyle w:val="5"/>
        <w:bidi w:val="0"/>
        <w:rPr>
          <w:rFonts w:hint="default"/>
          <w:lang w:val="en-US" w:eastAsia="zh-CN"/>
        </w:rPr>
      </w:pPr>
      <w:r>
        <w:rPr>
          <w:rFonts w:hint="eastAsia"/>
          <w:lang w:val="en-US" w:eastAsia="zh-CN"/>
        </w:rPr>
        <w:t>1.4.4.1用车手册/车辆手册</w:t>
      </w:r>
    </w:p>
    <w:p w14:paraId="18657C8B">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553F489B">
      <w:pPr>
        <w:ind w:firstLine="420" w:firstLineChars="0"/>
        <w:rPr>
          <w:rFonts w:hint="default"/>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用车手册为官方提供的用车电子手册，车辆手册为官方提供的电子版车辆说明手册，此内容通过管理系统根据车型配置，用户可通过服务板块点击查看以上配置的全部车型的用车收车和车辆手册。</w:t>
      </w:r>
    </w:p>
    <w:p w14:paraId="6C7F7EF2">
      <w:pPr>
        <w:numPr>
          <w:ilvl w:val="0"/>
          <w:numId w:val="6"/>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7420CDD5">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点击服务页面“用车手册”进入用车手册列表页面，用车列表为当前运营系统已经添加成功的所有车型的用车手册，</w:t>
      </w:r>
      <w:r>
        <w:rPr>
          <w:rFonts w:hint="eastAsia"/>
          <w:b w:val="0"/>
          <w:bCs w:val="0"/>
          <w:color w:val="000000" w:themeColor="text1"/>
          <w:sz w:val="21"/>
          <w:szCs w:val="21"/>
          <w:highlight w:val="yellow"/>
          <w:lang w:val="en-US" w:eastAsia="zh-CN"/>
          <w14:textFill>
            <w14:solidFill>
              <w14:schemeClr w14:val="tx1"/>
            </w14:solidFill>
          </w14:textFill>
        </w:rPr>
        <w:t>排序按照创建时间倒序显示</w:t>
      </w:r>
      <w:r>
        <w:rPr>
          <w:rFonts w:hint="eastAsia"/>
          <w:b w:val="0"/>
          <w:bCs w:val="0"/>
          <w:color w:val="000000" w:themeColor="text1"/>
          <w:sz w:val="21"/>
          <w:szCs w:val="21"/>
          <w:lang w:val="en-US" w:eastAsia="zh-CN"/>
          <w14:textFill>
            <w14:solidFill>
              <w14:schemeClr w14:val="tx1"/>
            </w14:solidFill>
          </w14:textFill>
        </w:rPr>
        <w:t>；</w:t>
      </w:r>
    </w:p>
    <w:p w14:paraId="1ED94794">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用车手册列表点击输入框输入内容点击【搜索】在当前页面模糊搜索用车手册并展</w:t>
      </w:r>
      <w:r>
        <w:drawing>
          <wp:anchor distT="0" distB="0" distL="114935" distR="114935" simplePos="0" relativeHeight="251662336" behindDoc="1" locked="0" layoutInCell="1" allowOverlap="1">
            <wp:simplePos x="0" y="0"/>
            <wp:positionH relativeFrom="column">
              <wp:posOffset>2298065</wp:posOffset>
            </wp:positionH>
            <wp:positionV relativeFrom="paragraph">
              <wp:posOffset>95250</wp:posOffset>
            </wp:positionV>
            <wp:extent cx="2945130" cy="3195955"/>
            <wp:effectExtent l="0" t="0" r="1905" b="10160"/>
            <wp:wrapTight wrapText="left">
              <wp:wrapPolygon>
                <wp:start x="0" y="0"/>
                <wp:lineTo x="0" y="21377"/>
                <wp:lineTo x="21376" y="21377"/>
                <wp:lineTo x="21376" y="0"/>
                <wp:lineTo x="0" y="0"/>
              </wp:wrapPolygon>
            </wp:wrapTight>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20"/>
                    <a:stretch>
                      <a:fillRect/>
                    </a:stretch>
                  </pic:blipFill>
                  <pic:spPr>
                    <a:xfrm>
                      <a:off x="0" y="0"/>
                      <a:ext cx="2945130" cy="3195955"/>
                    </a:xfrm>
                    <a:prstGeom prst="rect">
                      <a:avLst/>
                    </a:prstGeom>
                    <a:noFill/>
                    <a:ln>
                      <a:noFill/>
                    </a:ln>
                  </pic:spPr>
                </pic:pic>
              </a:graphicData>
            </a:graphic>
          </wp:anchor>
        </w:drawing>
      </w:r>
      <w:r>
        <w:rPr>
          <w:rFonts w:hint="eastAsia"/>
          <w:b w:val="0"/>
          <w:bCs w:val="0"/>
          <w:color w:val="000000" w:themeColor="text1"/>
          <w:sz w:val="21"/>
          <w:szCs w:val="21"/>
          <w:lang w:val="en-US" w:eastAsia="zh-CN"/>
          <w14:textFill>
            <w14:solidFill>
              <w14:schemeClr w14:val="tx1"/>
            </w14:solidFill>
          </w14:textFill>
        </w:rPr>
        <w:t>示；</w:t>
      </w:r>
    </w:p>
    <w:p w14:paraId="539C6BE8">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用车手册列表点击“手册”根据后端配置的内容进行跳转；</w:t>
      </w:r>
    </w:p>
    <w:p w14:paraId="504DE116">
      <w:pPr>
        <w:widowControl w:val="0"/>
        <w:numPr>
          <w:ilvl w:val="1"/>
          <w:numId w:val="13"/>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配置的为H5则在APP内部打开H5地址；</w:t>
      </w:r>
    </w:p>
    <w:p w14:paraId="1AAFA65F">
      <w:pPr>
        <w:widowControl w:val="0"/>
        <w:numPr>
          <w:ilvl w:val="1"/>
          <w:numId w:val="13"/>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配置的为“PDF文件”，则在APP内打开PDF文件即可。</w:t>
      </w:r>
    </w:p>
    <w:p w14:paraId="0D47D049">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点击点击服务页面“车辆手册”进入用车手册列表页面，用车列表为当前运营系统已经添加成功的所有车型的车辆手册，</w:t>
      </w:r>
      <w:r>
        <w:rPr>
          <w:rFonts w:hint="eastAsia"/>
          <w:b w:val="0"/>
          <w:bCs w:val="0"/>
          <w:color w:val="000000" w:themeColor="text1"/>
          <w:sz w:val="21"/>
          <w:szCs w:val="21"/>
          <w:highlight w:val="yellow"/>
          <w:lang w:val="en-US" w:eastAsia="zh-CN"/>
          <w14:textFill>
            <w14:solidFill>
              <w14:schemeClr w14:val="tx1"/>
            </w14:solidFill>
          </w14:textFill>
        </w:rPr>
        <w:t>排序按照创建时间倒序显示；</w:t>
      </w:r>
    </w:p>
    <w:p w14:paraId="386BE039">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车辆手册列表点击输入框输入内容点击【搜索】在当前页面模糊搜索车辆手册并展示；</w:t>
      </w:r>
    </w:p>
    <w:p w14:paraId="0348E0EC">
      <w:pPr>
        <w:widowControl w:val="0"/>
        <w:numPr>
          <w:ilvl w:val="0"/>
          <w:numId w:val="13"/>
        </w:numPr>
        <w:adjustRightInd w:val="0"/>
        <w:snapToGrid w:val="0"/>
        <w:spacing w:after="20" w:afterLines="20" w:line="288" w:lineRule="auto"/>
        <w:ind w:left="845" w:leftChars="0" w:hanging="425"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车辆手册列表点击“手册”根据后端配置的内容进行跳转；</w:t>
      </w:r>
    </w:p>
    <w:p w14:paraId="2838607D">
      <w:pPr>
        <w:widowControl w:val="0"/>
        <w:numPr>
          <w:ilvl w:val="1"/>
          <w:numId w:val="13"/>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配置的为H5则在APP内部打开H5地址；</w:t>
      </w:r>
    </w:p>
    <w:p w14:paraId="22A6B187">
      <w:pPr>
        <w:widowControl w:val="0"/>
        <w:numPr>
          <w:ilvl w:val="1"/>
          <w:numId w:val="13"/>
        </w:numPr>
        <w:adjustRightInd w:val="0"/>
        <w:snapToGrid w:val="0"/>
        <w:spacing w:after="20" w:afterLines="20" w:line="288" w:lineRule="auto"/>
        <w:ind w:left="1260" w:leftChars="0" w:hanging="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配置的为“PDF文件”，则在APP内打开PDF文件即可。</w:t>
      </w:r>
    </w:p>
    <w:p w14:paraId="4381BACB">
      <w:pPr>
        <w:pStyle w:val="5"/>
        <w:bidi w:val="0"/>
        <w:rPr>
          <w:rFonts w:hint="eastAsia"/>
          <w:lang w:val="en-US" w:eastAsia="zh-CN"/>
        </w:rPr>
      </w:pPr>
      <w:r>
        <w:rPr>
          <w:rFonts w:hint="eastAsia"/>
          <w:lang w:val="en-US" w:eastAsia="zh-CN"/>
        </w:rPr>
        <w:t>1.4.4.2购车计算器（需求待输入）</w:t>
      </w:r>
    </w:p>
    <w:p w14:paraId="23507A7F">
      <w:pPr>
        <w:rPr>
          <w:rFonts w:hint="default"/>
          <w:lang w:val="en-US" w:eastAsia="zh-CN"/>
        </w:rPr>
      </w:pPr>
    </w:p>
    <w:p w14:paraId="08A1445E">
      <w:pPr>
        <w:pStyle w:val="5"/>
        <w:bidi w:val="0"/>
        <w:rPr>
          <w:rFonts w:hint="eastAsia"/>
          <w:lang w:val="en-US" w:eastAsia="zh-CN"/>
        </w:rPr>
      </w:pPr>
      <w:r>
        <w:rPr>
          <w:rFonts w:hint="eastAsia"/>
          <w:lang w:val="en-US" w:eastAsia="zh-CN"/>
        </w:rPr>
        <w:t>1.4.4.3邀请购车（需求待输入）</w:t>
      </w:r>
    </w:p>
    <w:p w14:paraId="347CE57D">
      <w:pPr>
        <w:rPr>
          <w:rFonts w:hint="default"/>
          <w:lang w:val="en-US" w:eastAsia="zh-CN"/>
        </w:rPr>
      </w:pPr>
    </w:p>
    <w:p w14:paraId="48A74568">
      <w:pPr>
        <w:pStyle w:val="5"/>
        <w:bidi w:val="0"/>
        <w:rPr>
          <w:rFonts w:hint="default"/>
          <w:lang w:val="en-US" w:eastAsia="zh-CN"/>
        </w:rPr>
      </w:pPr>
      <w:r>
        <w:rPr>
          <w:rFonts w:hint="eastAsia"/>
          <w:lang w:val="en-US" w:eastAsia="zh-CN"/>
        </w:rPr>
        <w:t>1.4.4.3购车补贴</w:t>
      </w:r>
    </w:p>
    <w:p w14:paraId="5F86DF08">
      <w:pPr>
        <w:widowControl w:val="0"/>
        <w:numPr>
          <w:ilvl w:val="0"/>
          <w:numId w:val="0"/>
        </w:numPr>
        <w:adjustRightInd w:val="0"/>
        <w:snapToGrid w:val="0"/>
        <w:spacing w:after="20" w:afterLines="20" w:line="288" w:lineRule="auto"/>
        <w:ind w:firstLine="420" w:firstLineChars="0"/>
        <w:jc w:val="both"/>
        <w:rPr>
          <w:rFonts w:hint="eastAsia"/>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购车补贴是为用户提供购车后申请补贴，购车补贴包含：置换补贴、增购补贴、报废补贴、申领记录。</w:t>
      </w:r>
    </w:p>
    <w:p w14:paraId="2E051810">
      <w:pPr>
        <w:widowControl w:val="0"/>
        <w:numPr>
          <w:ilvl w:val="0"/>
          <w:numId w:val="14"/>
        </w:numPr>
        <w:adjustRightInd w:val="0"/>
        <w:snapToGrid w:val="0"/>
        <w:spacing w:after="20" w:afterLines="20" w:line="288" w:lineRule="auto"/>
        <w:ind w:left="845" w:leftChars="0" w:hanging="425"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点击服务“购车补贴”进入购车补贴宣传页面，页面内容通过管理系统手动配置，显示方式为富文本；</w:t>
      </w:r>
    </w:p>
    <w:p w14:paraId="64F6BACE">
      <w:pPr>
        <w:widowControl w:val="0"/>
        <w:numPr>
          <w:ilvl w:val="0"/>
          <w:numId w:val="14"/>
        </w:numPr>
        <w:adjustRightInd w:val="0"/>
        <w:snapToGrid w:val="0"/>
        <w:spacing w:after="20" w:afterLines="20" w:line="288" w:lineRule="auto"/>
        <w:ind w:left="845" w:leftChars="0" w:hanging="425"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点击购车补贴页面【申领记录】进入购车补贴申领记录列表页面；</w:t>
      </w:r>
    </w:p>
    <w:p w14:paraId="0D64F3CD">
      <w:pPr>
        <w:widowControl w:val="0"/>
        <w:numPr>
          <w:ilvl w:val="0"/>
          <w:numId w:val="14"/>
        </w:numPr>
        <w:adjustRightInd w:val="0"/>
        <w:snapToGrid w:val="0"/>
        <w:spacing w:after="20" w:afterLines="20" w:line="288" w:lineRule="auto"/>
        <w:ind w:left="845" w:leftChars="0" w:hanging="425"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点击购车补贴页面【补贴申领协议】跳转至补贴申领协议页面查看完整的购车补贴申领协议（</w:t>
      </w:r>
      <w:r>
        <w:rPr>
          <w:rFonts w:hint="eastAsia"/>
          <w:b w:val="0"/>
          <w:bCs w:val="0"/>
          <w:color w:val="000000" w:themeColor="text1"/>
          <w:sz w:val="21"/>
          <w:szCs w:val="21"/>
          <w:highlight w:val="yellow"/>
          <w:lang w:val="en-US" w:eastAsia="zh-CN"/>
          <w14:textFill>
            <w14:solidFill>
              <w14:schemeClr w14:val="tx1"/>
            </w14:solidFill>
          </w14:textFill>
        </w:rPr>
        <w:t>购车补贴申领协议至少需在上线前1个月提供正式的协议内容</w:t>
      </w:r>
      <w:r>
        <w:rPr>
          <w:rFonts w:hint="eastAsia"/>
          <w:b w:val="0"/>
          <w:bCs w:val="0"/>
          <w:color w:val="000000" w:themeColor="text1"/>
          <w:sz w:val="21"/>
          <w:szCs w:val="21"/>
          <w:lang w:val="en-US" w:eastAsia="zh-CN"/>
          <w14:textFill>
            <w14:solidFill>
              <w14:schemeClr w14:val="tx1"/>
            </w14:solidFill>
          </w14:textFill>
        </w:rPr>
        <w:t>）；</w:t>
      </w:r>
    </w:p>
    <w:p w14:paraId="1C9A6032">
      <w:pPr>
        <w:widowControl w:val="0"/>
        <w:numPr>
          <w:ilvl w:val="0"/>
          <w:numId w:val="14"/>
        </w:numPr>
        <w:adjustRightInd w:val="0"/>
        <w:snapToGrid w:val="0"/>
        <w:spacing w:after="20" w:afterLines="20" w:line="288" w:lineRule="auto"/>
        <w:ind w:left="845" w:leftChars="0" w:hanging="425"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点击购车补贴页面【立即申领】需判断是否勾选“我已阅读并同意《购车补贴申领协议》”；</w:t>
      </w:r>
    </w:p>
    <w:p w14:paraId="30B890D0">
      <w:pPr>
        <w:widowControl w:val="0"/>
        <w:numPr>
          <w:ilvl w:val="1"/>
          <w:numId w:val="14"/>
        </w:numPr>
        <w:adjustRightInd w:val="0"/>
        <w:snapToGrid w:val="0"/>
        <w:spacing w:after="20" w:afterLines="20" w:line="288" w:lineRule="auto"/>
        <w:ind w:left="126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未勾选，toast提示“请先仔细阅读并同意《购车补贴申领协议》”；</w:t>
      </w:r>
    </w:p>
    <w:p w14:paraId="16A41286">
      <w:pPr>
        <w:widowControl w:val="0"/>
        <w:numPr>
          <w:ilvl w:val="1"/>
          <w:numId w:val="14"/>
        </w:numPr>
        <w:adjustRightInd w:val="0"/>
        <w:snapToGrid w:val="0"/>
        <w:spacing w:after="20" w:afterLines="20" w:line="288" w:lineRule="auto"/>
        <w:ind w:left="126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已勾选，需判断当前账号是否有未提交申领记录；</w:t>
      </w:r>
    </w:p>
    <w:p w14:paraId="48E9495D">
      <w:pPr>
        <w:widowControl w:val="0"/>
        <w:numPr>
          <w:ilvl w:val="2"/>
          <w:numId w:val="14"/>
        </w:numPr>
        <w:adjustRightInd w:val="0"/>
        <w:snapToGrid w:val="0"/>
        <w:spacing w:after="20" w:afterLines="20" w:line="288" w:lineRule="auto"/>
        <w:ind w:left="168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有，弹出提示框“您有未提交的申领记录，请完成当前的申领记录，才能申请新的购车补贴”;</w:t>
      </w:r>
    </w:p>
    <w:p w14:paraId="3E9B5ECD">
      <w:pPr>
        <w:widowControl w:val="0"/>
        <w:numPr>
          <w:ilvl w:val="3"/>
          <w:numId w:val="14"/>
        </w:numPr>
        <w:adjustRightInd w:val="0"/>
        <w:snapToGrid w:val="0"/>
        <w:spacing w:after="20" w:afterLines="20" w:line="288" w:lineRule="auto"/>
        <w:ind w:left="210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点击【是】跳转的资料填写页面，并回显已编辑的内容；</w:t>
      </w:r>
    </w:p>
    <w:p w14:paraId="7FCBDCCF">
      <w:pPr>
        <w:widowControl w:val="0"/>
        <w:numPr>
          <w:ilvl w:val="3"/>
          <w:numId w:val="14"/>
        </w:numPr>
        <w:adjustRightInd w:val="0"/>
        <w:snapToGrid w:val="0"/>
        <w:spacing w:after="20" w:afterLines="20" w:line="288" w:lineRule="auto"/>
        <w:ind w:left="210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点击【否】关闭提示框，停留在购车补贴宣传页面；</w:t>
      </w:r>
    </w:p>
    <w:p w14:paraId="012FA6DF">
      <w:pPr>
        <w:widowControl w:val="0"/>
        <w:numPr>
          <w:ilvl w:val="2"/>
          <w:numId w:val="14"/>
        </w:numPr>
        <w:adjustRightInd w:val="0"/>
        <w:snapToGrid w:val="0"/>
        <w:spacing w:after="20" w:afterLines="20" w:line="288" w:lineRule="auto"/>
        <w:ind w:left="168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无，则弹出补贴申领方式选择项；</w:t>
      </w:r>
    </w:p>
    <w:p w14:paraId="5BDA3C0C">
      <w:pPr>
        <w:widowControl w:val="0"/>
        <w:numPr>
          <w:ilvl w:val="3"/>
          <w:numId w:val="14"/>
        </w:numPr>
        <w:adjustRightInd w:val="0"/>
        <w:snapToGrid w:val="0"/>
        <w:spacing w:after="20" w:afterLines="20" w:line="288" w:lineRule="auto"/>
        <w:ind w:left="210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点击【置换补贴】，进入置换补贴资料申领流程；</w:t>
      </w:r>
    </w:p>
    <w:p w14:paraId="66C43224">
      <w:pPr>
        <w:widowControl w:val="0"/>
        <w:numPr>
          <w:ilvl w:val="3"/>
          <w:numId w:val="14"/>
        </w:numPr>
        <w:adjustRightInd w:val="0"/>
        <w:snapToGrid w:val="0"/>
        <w:spacing w:after="20" w:afterLines="20" w:line="288" w:lineRule="auto"/>
        <w:ind w:left="210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点击【增购补贴】，进入增购补贴资料申领流程；</w:t>
      </w:r>
    </w:p>
    <w:p w14:paraId="4A7008D8">
      <w:pPr>
        <w:widowControl w:val="0"/>
        <w:numPr>
          <w:ilvl w:val="3"/>
          <w:numId w:val="14"/>
        </w:numPr>
        <w:adjustRightInd w:val="0"/>
        <w:snapToGrid w:val="0"/>
        <w:spacing w:after="20" w:afterLines="20" w:line="288" w:lineRule="auto"/>
        <w:ind w:left="210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default"/>
          <w:b w:val="0"/>
          <w:bCs w:val="0"/>
          <w:color w:val="000000" w:themeColor="text1"/>
          <w:sz w:val="21"/>
          <w:szCs w:val="21"/>
          <w:lang w:val="en-US" w:eastAsia="zh-CN"/>
          <w14:textFill>
            <w14:solidFill>
              <w14:schemeClr w14:val="tx1"/>
            </w14:solidFill>
          </w14:textFill>
        </w:rPr>
        <w:t>点击【报废】，进入报废补贴资料申领流程</w:t>
      </w:r>
      <w:r>
        <w:rPr>
          <w:rFonts w:hint="eastAsia"/>
          <w:b w:val="0"/>
          <w:bCs w:val="0"/>
          <w:color w:val="000000" w:themeColor="text1"/>
          <w:sz w:val="21"/>
          <w:szCs w:val="21"/>
          <w:lang w:val="en-US" w:eastAsia="zh-CN"/>
          <w14:textFill>
            <w14:solidFill>
              <w14:schemeClr w14:val="tx1"/>
            </w14:solidFill>
          </w14:textFill>
        </w:rPr>
        <w:t>。</w:t>
      </w:r>
    </w:p>
    <w:p w14:paraId="7F50B72E">
      <w:pPr>
        <w:widowControl w:val="0"/>
        <w:numPr>
          <w:ilvl w:val="0"/>
          <w:numId w:val="14"/>
        </w:numPr>
        <w:adjustRightInd w:val="0"/>
        <w:snapToGrid w:val="0"/>
        <w:spacing w:after="20" w:afterLines="20" w:line="288" w:lineRule="auto"/>
        <w:ind w:left="845" w:leftChars="0" w:hanging="425"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补充逻辑：</w:t>
      </w:r>
    </w:p>
    <w:p w14:paraId="5C728D9B">
      <w:pPr>
        <w:widowControl w:val="0"/>
        <w:numPr>
          <w:ilvl w:val="1"/>
          <w:numId w:val="14"/>
        </w:numPr>
        <w:adjustRightInd w:val="0"/>
        <w:snapToGrid w:val="0"/>
        <w:spacing w:after="20" w:afterLines="20" w:line="288" w:lineRule="auto"/>
        <w:ind w:left="126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用户填写信息后点击【下一步】则默认将已填写的内容上传到后端并生成订单，订单状态为“待提交”；</w:t>
      </w:r>
    </w:p>
    <w:p w14:paraId="539F98CE">
      <w:pPr>
        <w:widowControl w:val="0"/>
        <w:numPr>
          <w:ilvl w:val="1"/>
          <w:numId w:val="14"/>
        </w:numPr>
        <w:adjustRightInd w:val="0"/>
        <w:snapToGrid w:val="0"/>
        <w:spacing w:after="20" w:afterLines="20" w:line="288" w:lineRule="auto"/>
        <w:ind w:left="126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新车信息填写和身份信息填写页面点击【上一步】则将当前页面已填写的内容上传到后端，点击【下一步】后需将已填写的内容自动带入到页面；</w:t>
      </w:r>
    </w:p>
    <w:p w14:paraId="5C6C2F3F">
      <w:pPr>
        <w:widowControl w:val="0"/>
        <w:numPr>
          <w:ilvl w:val="1"/>
          <w:numId w:val="14"/>
        </w:numPr>
        <w:adjustRightInd w:val="0"/>
        <w:snapToGrid w:val="0"/>
        <w:spacing w:after="20" w:afterLines="20" w:line="288" w:lineRule="auto"/>
        <w:ind w:left="1260" w:leftChars="0" w:hanging="420" w:firstLineChars="0"/>
        <w:jc w:val="both"/>
        <w:rPr>
          <w:rFonts w:hint="default"/>
          <w:b w:val="0"/>
          <w:bCs w:val="0"/>
          <w:color w:val="000000" w:themeColor="text1"/>
          <w:sz w:val="21"/>
          <w:szCs w:val="21"/>
          <w:lang w:val="en-US" w:eastAsia="zh-CN"/>
          <w14:textFill>
            <w14:solidFill>
              <w14:schemeClr w14:val="tx1"/>
            </w14:solidFill>
          </w14:textFill>
        </w:rPr>
      </w:pPr>
      <w:r>
        <w:drawing>
          <wp:anchor distT="0" distB="0" distL="114935" distR="114935" simplePos="0" relativeHeight="251668480" behindDoc="1" locked="0" layoutInCell="1" allowOverlap="1">
            <wp:simplePos x="0" y="0"/>
            <wp:positionH relativeFrom="column">
              <wp:posOffset>3755390</wp:posOffset>
            </wp:positionH>
            <wp:positionV relativeFrom="paragraph">
              <wp:posOffset>41910</wp:posOffset>
            </wp:positionV>
            <wp:extent cx="1550035" cy="1110615"/>
            <wp:effectExtent l="0" t="0" r="26035" b="22860"/>
            <wp:wrapTight wrapText="left">
              <wp:wrapPolygon>
                <wp:start x="0" y="0"/>
                <wp:lineTo x="0" y="21205"/>
                <wp:lineTo x="21211" y="21205"/>
                <wp:lineTo x="21211" y="0"/>
                <wp:lineTo x="0" y="0"/>
              </wp:wrapPolygon>
            </wp:wrapTight>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1"/>
                    <a:stretch>
                      <a:fillRect/>
                    </a:stretch>
                  </pic:blipFill>
                  <pic:spPr>
                    <a:xfrm>
                      <a:off x="0" y="0"/>
                      <a:ext cx="1550035" cy="1110615"/>
                    </a:xfrm>
                    <a:prstGeom prst="rect">
                      <a:avLst/>
                    </a:prstGeom>
                    <a:noFill/>
                    <a:ln>
                      <a:noFill/>
                    </a:ln>
                  </pic:spPr>
                </pic:pic>
              </a:graphicData>
            </a:graphic>
          </wp:anchor>
        </w:drawing>
      </w:r>
      <w:r>
        <w:rPr>
          <w:rFonts w:hint="eastAsia"/>
          <w:b w:val="0"/>
          <w:bCs w:val="0"/>
          <w:color w:val="000000" w:themeColor="text1"/>
          <w:sz w:val="21"/>
          <w:szCs w:val="21"/>
          <w:lang w:val="en-US" w:eastAsia="zh-CN"/>
          <w14:textFill>
            <w14:solidFill>
              <w14:schemeClr w14:val="tx1"/>
            </w14:solidFill>
          </w14:textFill>
        </w:rPr>
        <w:t>购车补贴信息填写页面点击【联系客服】弹出提示框“请优先联系您购车的经销商咨询！”</w:t>
      </w:r>
    </w:p>
    <w:p w14:paraId="37958F97">
      <w:pPr>
        <w:widowControl w:val="0"/>
        <w:numPr>
          <w:ilvl w:val="2"/>
          <w:numId w:val="14"/>
        </w:numPr>
        <w:adjustRightInd w:val="0"/>
        <w:snapToGrid w:val="0"/>
        <w:spacing w:after="20" w:afterLines="20" w:line="288" w:lineRule="auto"/>
        <w:ind w:left="168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点击【400客服】则拨打固定400电话；</w:t>
      </w:r>
    </w:p>
    <w:p w14:paraId="02944214">
      <w:pPr>
        <w:widowControl w:val="0"/>
        <w:numPr>
          <w:ilvl w:val="2"/>
          <w:numId w:val="14"/>
        </w:numPr>
        <w:adjustRightInd w:val="0"/>
        <w:snapToGrid w:val="0"/>
        <w:spacing w:after="20" w:afterLines="20" w:line="288" w:lineRule="auto"/>
        <w:ind w:left="1680" w:leftChars="0" w:hanging="420" w:firstLineChars="0"/>
        <w:jc w:val="both"/>
        <w:rPr>
          <w:rFonts w:hint="default"/>
          <w:b w:val="0"/>
          <w:bCs w:val="0"/>
          <w:color w:val="000000" w:themeColor="text1"/>
          <w:sz w:val="21"/>
          <w:szCs w:val="21"/>
          <w:lang w:val="en-US" w:eastAsia="zh-CN"/>
          <w14:textFill>
            <w14:solidFill>
              <w14:schemeClr w14:val="tx1"/>
            </w14:solidFill>
          </w14:textFill>
        </w:rPr>
      </w:pPr>
      <w:r>
        <w:rPr>
          <w:rFonts w:hint="eastAsia"/>
          <w:b w:val="0"/>
          <w:bCs w:val="0"/>
          <w:color w:val="000000" w:themeColor="text1"/>
          <w:sz w:val="21"/>
          <w:szCs w:val="21"/>
          <w:lang w:val="en-US" w:eastAsia="zh-CN"/>
          <w14:textFill>
            <w14:solidFill>
              <w14:schemeClr w14:val="tx1"/>
            </w14:solidFill>
          </w14:textFill>
        </w:rPr>
        <w:t>点击【我知道了】关闭提示框。</w:t>
      </w:r>
    </w:p>
    <w:p w14:paraId="415882C1">
      <w:pPr>
        <w:widowControl w:val="0"/>
        <w:numPr>
          <w:numId w:val="0"/>
        </w:numPr>
        <w:adjustRightInd w:val="0"/>
        <w:snapToGrid w:val="0"/>
        <w:spacing w:after="20" w:afterLines="20" w:line="288" w:lineRule="auto"/>
        <w:jc w:val="both"/>
        <w:rPr>
          <w:rFonts w:hint="default"/>
          <w:b w:val="0"/>
          <w:bCs w:val="0"/>
          <w:color w:val="000000" w:themeColor="text1"/>
          <w:sz w:val="21"/>
          <w:szCs w:val="21"/>
          <w:lang w:val="en-US" w:eastAsia="zh-CN"/>
          <w14:textFill>
            <w14:solidFill>
              <w14:schemeClr w14:val="tx1"/>
            </w14:solidFill>
          </w14:textFill>
        </w:rPr>
      </w:pPr>
    </w:p>
    <w:p w14:paraId="1B7603A2">
      <w:pPr>
        <w:widowControl w:val="0"/>
        <w:numPr>
          <w:ilvl w:val="0"/>
          <w:numId w:val="0"/>
        </w:numPr>
        <w:adjustRightInd w:val="0"/>
        <w:snapToGrid w:val="0"/>
        <w:spacing w:after="20" w:afterLines="20" w:line="288" w:lineRule="auto"/>
        <w:jc w:val="both"/>
      </w:pPr>
      <w:r>
        <w:drawing>
          <wp:inline distT="0" distB="0" distL="114300" distR="114300">
            <wp:extent cx="5273040" cy="3723640"/>
            <wp:effectExtent l="0" t="0" r="5715" b="635"/>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22"/>
                    <a:stretch>
                      <a:fillRect/>
                    </a:stretch>
                  </pic:blipFill>
                  <pic:spPr>
                    <a:xfrm>
                      <a:off x="0" y="0"/>
                      <a:ext cx="5273040" cy="3723640"/>
                    </a:xfrm>
                    <a:prstGeom prst="rect">
                      <a:avLst/>
                    </a:prstGeom>
                    <a:noFill/>
                    <a:ln>
                      <a:noFill/>
                    </a:ln>
                  </pic:spPr>
                </pic:pic>
              </a:graphicData>
            </a:graphic>
          </wp:inline>
        </w:drawing>
      </w:r>
    </w:p>
    <w:p w14:paraId="3C78A8A2">
      <w:pPr>
        <w:pStyle w:val="6"/>
        <w:bidi w:val="0"/>
        <w:rPr>
          <w:rFonts w:hint="default"/>
          <w:lang w:val="en-US" w:eastAsia="zh-CN"/>
        </w:rPr>
      </w:pPr>
      <w:r>
        <w:rPr>
          <w:rFonts w:hint="eastAsia"/>
          <w:lang w:val="en-US" w:eastAsia="zh-CN"/>
        </w:rPr>
        <w:t>1.4.4.3.1置换补贴</w:t>
      </w:r>
    </w:p>
    <w:p w14:paraId="7E804F15">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1A5FF0A4">
      <w:pPr>
        <w:widowControl w:val="0"/>
        <w:numPr>
          <w:ilvl w:val="0"/>
          <w:numId w:val="0"/>
        </w:numPr>
        <w:adjustRightInd w:val="0"/>
        <w:snapToGrid w:val="0"/>
        <w:spacing w:after="20" w:afterLines="20" w:line="288" w:lineRule="auto"/>
        <w:ind w:firstLine="420" w:firstLineChars="0"/>
        <w:jc w:val="both"/>
        <w:rPr>
          <w:rFonts w:hint="eastAsia"/>
          <w:lang w:val="en-US" w:eastAsia="zh-CN"/>
        </w:rPr>
      </w:pPr>
      <w:r>
        <w:rPr>
          <w:rFonts w:hint="eastAsia"/>
          <w:lang w:val="en-US" w:eastAsia="zh-CN"/>
        </w:rPr>
        <w:t>用户购车后若为置换购车，可通过APP提交置换补贴申请，提交后由经销商进行审核，审核通过后由厂家进行审核，审核通过通过线下付款的方式将厂家的置换补贴费用给到购车用户。</w:t>
      </w:r>
    </w:p>
    <w:p w14:paraId="42A12DE6">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业务流程</w:t>
      </w:r>
    </w:p>
    <w:p w14:paraId="6A647023">
      <w:pPr>
        <w:widowControl w:val="0"/>
        <w:numPr>
          <w:ilvl w:val="0"/>
          <w:numId w:val="0"/>
        </w:numPr>
        <w:adjustRightInd w:val="0"/>
        <w:snapToGrid w:val="0"/>
        <w:spacing w:after="20" w:afterLines="20" w:line="288" w:lineRule="auto"/>
        <w:jc w:val="both"/>
        <w:rPr>
          <w:rFonts w:hint="default"/>
          <w:lang w:val="en-US" w:eastAsia="zh-CN"/>
        </w:rPr>
      </w:pPr>
      <w:r>
        <w:rPr>
          <w:rFonts w:hint="default"/>
          <w:lang w:val="en-US" w:eastAsia="zh-CN"/>
        </w:rPr>
        <w:object>
          <v:shape id="_x0000_i1028" o:spt="75" type="#_x0000_t75" style="height:453.05pt;width:414.85pt;" o:ole="t" filled="f" o:preferrelative="t" stroked="f" coordsize="21600,21600">
            <v:path/>
            <v:fill on="f" focussize="0,0"/>
            <v:stroke on="f"/>
            <v:imagedata r:id="rId24" o:title=""/>
            <o:lock v:ext="edit" aspectratio="f"/>
            <w10:wrap type="none"/>
            <w10:anchorlock/>
          </v:shape>
          <o:OLEObject Type="Embed" ProgID="Visio.Drawing.15" ShapeID="_x0000_i1028" DrawAspect="Content" ObjectID="_1468075728" r:id="rId23">
            <o:LockedField>false</o:LockedField>
          </o:OLEObject>
        </w:object>
      </w:r>
    </w:p>
    <w:p w14:paraId="74965A53">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225D2F95">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购车补贴申领页面点击【立即申领】弹出申领方式，选择【置换补贴】进入置换补贴信息填写页面；</w:t>
      </w:r>
    </w:p>
    <w:p w14:paraId="500457F8">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进入置换补贴信息填写是先进入“旧车信息”填写页面：</w:t>
      </w:r>
    </w:p>
    <w:p w14:paraId="62399965">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车辆品牌（旧）：自定义输入，0-20字符；</w:t>
      </w:r>
    </w:p>
    <w:p w14:paraId="5924FC1C">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车辆车型（旧）：自定义输入，0-20字符；</w:t>
      </w:r>
    </w:p>
    <w:p w14:paraId="24061A2A">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车架号（旧）：自定义输入，17位数字和字母组成；</w:t>
      </w:r>
    </w:p>
    <w:p w14:paraId="558934C0">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二手车交易发票：图片上传，1张；</w:t>
      </w:r>
    </w:p>
    <w:p w14:paraId="0FA1EEB8">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6432" behindDoc="1" locked="0" layoutInCell="1" allowOverlap="1">
            <wp:simplePos x="0" y="0"/>
            <wp:positionH relativeFrom="column">
              <wp:posOffset>3130550</wp:posOffset>
            </wp:positionH>
            <wp:positionV relativeFrom="paragraph">
              <wp:posOffset>31115</wp:posOffset>
            </wp:positionV>
            <wp:extent cx="2117090" cy="5706745"/>
            <wp:effectExtent l="0" t="0" r="0" b="0"/>
            <wp:wrapTight wrapText="left">
              <wp:wrapPolygon>
                <wp:start x="0" y="0"/>
                <wp:lineTo x="0" y="21369"/>
                <wp:lineTo x="21257" y="21369"/>
                <wp:lineTo x="21257" y="0"/>
                <wp:lineTo x="0" y="0"/>
              </wp:wrapPolygon>
            </wp:wrapTight>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5"/>
                    <a:stretch>
                      <a:fillRect/>
                    </a:stretch>
                  </pic:blipFill>
                  <pic:spPr>
                    <a:xfrm>
                      <a:off x="0" y="0"/>
                      <a:ext cx="2117090" cy="5706745"/>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发票代码：通过上传的二手车交易发票OCR识别自动填入，可手动修改，必填，12位数字；</w:t>
      </w:r>
    </w:p>
    <w:p w14:paraId="79F739DA">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发票号码：通过上传的二手车交易发票OCR识别自动填入，可手动修改，必填，8位数字；</w:t>
      </w:r>
    </w:p>
    <w:p w14:paraId="17D3BA31">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发票金额：通过上传的二手车交易发票OCR识别自动填入，可手动修改，必填，支持两位小数；</w:t>
      </w:r>
    </w:p>
    <w:p w14:paraId="4E74CF60">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开票日期：通过上传的二手车交易发票OCR识别自动填入，可手动修改，必填，年月日；</w:t>
      </w:r>
    </w:p>
    <w:p w14:paraId="4925B2DF">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卖方单位/个人：通过上传的二手车交易发票OCR识别自动填入，可手动修改，必填，1-30位字符；</w:t>
      </w:r>
    </w:p>
    <w:p w14:paraId="194F049B">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二手车登记证：图片上传，1张；</w:t>
      </w:r>
    </w:p>
    <w:p w14:paraId="7E2C14BD">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转入日期：手动选择，年月日，必填；</w:t>
      </w:r>
    </w:p>
    <w:p w14:paraId="1419EBFD">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转出日期：手动选择，年月日，必填。</w:t>
      </w:r>
    </w:p>
    <w:p w14:paraId="61B0D669">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旧车信息填写页面点击“示例图片”弹出相关证件的示例图片样式；</w:t>
      </w:r>
    </w:p>
    <w:p w14:paraId="2E458389">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旧车信息填写页面点击【下一步】需判断旧车VIN是否有已申请置换补贴（审核通过或者待审核）：</w:t>
      </w:r>
    </w:p>
    <w:p w14:paraId="10347ABA">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有，toast提示“当前车辆已提交过置换申请，不能再提交，若有疑问请联系经销商”</w:t>
      </w:r>
      <w:r>
        <w:rPr>
          <w:rFonts w:hint="eastAsia"/>
          <w:color w:val="000000" w:themeColor="text1"/>
          <w:lang w:val="en-US" w:eastAsia="zh-CN"/>
          <w14:textFill>
            <w14:solidFill>
              <w14:schemeClr w14:val="tx1"/>
            </w14:solidFill>
          </w14:textFill>
        </w:rPr>
        <w:t>；</w:t>
      </w:r>
    </w:p>
    <w:p w14:paraId="3E279B8F">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无，需判转入日期与转出日期是否大于6个月</w:t>
      </w:r>
      <w:r>
        <w:rPr>
          <w:rFonts w:hint="eastAsia"/>
          <w:color w:val="000000" w:themeColor="text1"/>
          <w:lang w:val="en-US" w:eastAsia="zh-CN"/>
          <w14:textFill>
            <w14:solidFill>
              <w14:schemeClr w14:val="tx1"/>
            </w14:solidFill>
          </w14:textFill>
        </w:rPr>
        <w:t>；</w:t>
      </w:r>
    </w:p>
    <w:p w14:paraId="38DA2BD8">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是，则进入新车信息填写页面</w:t>
      </w:r>
      <w:r>
        <w:rPr>
          <w:rFonts w:hint="eastAsia"/>
          <w:color w:val="000000" w:themeColor="text1"/>
          <w:lang w:val="en-US" w:eastAsia="zh-CN"/>
          <w14:textFill>
            <w14:solidFill>
              <w14:schemeClr w14:val="tx1"/>
            </w14:solidFill>
          </w14:textFill>
        </w:rPr>
        <w:t>；</w:t>
      </w:r>
    </w:p>
    <w:p w14:paraId="35F718C4">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否，则toast提示“当前车辆持有时间不满半年，不支持置换”</w:t>
      </w:r>
      <w:r>
        <w:rPr>
          <w:rFonts w:hint="eastAsia"/>
          <w:color w:val="000000" w:themeColor="text1"/>
          <w:lang w:val="en-US" w:eastAsia="zh-CN"/>
          <w14:textFill>
            <w14:solidFill>
              <w14:schemeClr w14:val="tx1"/>
            </w14:solidFill>
          </w14:textFill>
        </w:rPr>
        <w:t>；</w:t>
      </w:r>
    </w:p>
    <w:p w14:paraId="5C4ADC6B">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新车信息填写字段：</w:t>
      </w:r>
    </w:p>
    <w:p w14:paraId="4BEC997F">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购车车型：通过管理系统配置获取可选择枚举值，单选；</w:t>
      </w:r>
    </w:p>
    <w:p w14:paraId="019B129C">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3360" behindDoc="1" locked="0" layoutInCell="1" allowOverlap="1">
            <wp:simplePos x="0" y="0"/>
            <wp:positionH relativeFrom="column">
              <wp:posOffset>3553460</wp:posOffset>
            </wp:positionH>
            <wp:positionV relativeFrom="paragraph">
              <wp:posOffset>80645</wp:posOffset>
            </wp:positionV>
            <wp:extent cx="1719580" cy="4808220"/>
            <wp:effectExtent l="0" t="0" r="0" b="0"/>
            <wp:wrapTight wrapText="left">
              <wp:wrapPolygon>
                <wp:start x="0" y="0"/>
                <wp:lineTo x="0" y="21386"/>
                <wp:lineTo x="21289" y="21386"/>
                <wp:lineTo x="21289" y="0"/>
                <wp:lineTo x="0" y="0"/>
              </wp:wrapPolygon>
            </wp:wrapTight>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26"/>
                    <a:stretch>
                      <a:fillRect/>
                    </a:stretch>
                  </pic:blipFill>
                  <pic:spPr>
                    <a:xfrm>
                      <a:off x="0" y="0"/>
                      <a:ext cx="1719580" cy="4808220"/>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购车发票：图片上传，1张；</w:t>
      </w:r>
    </w:p>
    <w:p w14:paraId="4EF5E7DB">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发票代码：通过上传的购车发票OCR识别自动填入，可手动修改，必填，12位数字；</w:t>
      </w:r>
    </w:p>
    <w:p w14:paraId="6B254A6E">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发票号码：通过上传的购车发票OCR识别自动填入，可手动修改，必填，8位数字；</w:t>
      </w:r>
    </w:p>
    <w:p w14:paraId="258741CD">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发票金额：通过上传的购车发票OCR识别自动填入，可手动修改，必填，支持两位小数；</w:t>
      </w:r>
    </w:p>
    <w:p w14:paraId="40CB30E2">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开票日期：通过上传的购车发票OCR识别自动填入，可手动修改，必填，年月日</w:t>
      </w:r>
    </w:p>
    <w:p w14:paraId="1C8A32BD">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购车经销商：通过上传的购车发票OCR识别自动填入，可手动修改，必填，1-30字符；</w:t>
      </w:r>
    </w:p>
    <w:p w14:paraId="1F88AD97">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车架号：通过上传的购车发票OCR识别自动填入，可手动修改，必填，17位数字或者字母组成；</w:t>
      </w:r>
    </w:p>
    <w:p w14:paraId="4B6EB1D2">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购买方名称：通过上传的购车发票OCR识别自动填入，可手动修改，必填，1-30字符；</w:t>
      </w:r>
    </w:p>
    <w:p w14:paraId="71B0E4C1">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行驶证：图片上传，1张；</w:t>
      </w:r>
    </w:p>
    <w:p w14:paraId="70E094A0">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车架号：通过上传的行驶证OCR识别自动填写，可手动修改，必填，17位数字或者字母组成；</w:t>
      </w:r>
    </w:p>
    <w:p w14:paraId="7C6C7CD2">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车牌号：通过上传的行驶证OCR识别自动填写，可手动修改，必填，7-8字符（支持新能源）；</w:t>
      </w:r>
    </w:p>
    <w:p w14:paraId="3676F3CF">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机动车所有人：通过上传的行驶证OCR识别自动填写，可手动修改，必填，1-30字符；</w:t>
      </w:r>
    </w:p>
    <w:p w14:paraId="64E5DAD4">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新车信息点击【下一步】需判断信息是否完善；</w:t>
      </w:r>
    </w:p>
    <w:p w14:paraId="5A80A81E">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否，toast提示“请先完善新车信息”</w:t>
      </w:r>
      <w:r>
        <w:rPr>
          <w:rFonts w:hint="eastAsia"/>
          <w:color w:val="000000" w:themeColor="text1"/>
          <w:lang w:val="en-US" w:eastAsia="zh-CN"/>
          <w14:textFill>
            <w14:solidFill>
              <w14:schemeClr w14:val="tx1"/>
            </w14:solidFill>
          </w14:textFill>
        </w:rPr>
        <w:t>；</w:t>
      </w:r>
    </w:p>
    <w:p w14:paraId="03AE7381">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是，需判断新车（VIN）是否已提交补贴申领（置换、增购、报废）</w:t>
      </w:r>
      <w:r>
        <w:rPr>
          <w:rFonts w:hint="eastAsia"/>
          <w:color w:val="000000" w:themeColor="text1"/>
          <w:lang w:val="en-US" w:eastAsia="zh-CN"/>
          <w14:textFill>
            <w14:solidFill>
              <w14:schemeClr w14:val="tx1"/>
            </w14:solidFill>
          </w14:textFill>
        </w:rPr>
        <w:t>；</w:t>
      </w:r>
    </w:p>
    <w:p w14:paraId="40929A92">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已提交（待审核、审核通过），toast提示“当前车辆已申请了补贴，不可重复申请”；</w:t>
      </w:r>
    </w:p>
    <w:p w14:paraId="50E541FD">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未提交，需查询车辆（VIN）是否实销；</w:t>
      </w:r>
    </w:p>
    <w:p w14:paraId="266BDF9B">
      <w:pPr>
        <w:widowControl w:val="0"/>
        <w:numPr>
          <w:ilvl w:val="3"/>
          <w:numId w:val="15"/>
        </w:numPr>
        <w:adjustRightInd w:val="0"/>
        <w:snapToGrid w:val="0"/>
        <w:spacing w:after="20" w:afterLines="20" w:line="288" w:lineRule="auto"/>
        <w:ind w:left="2100" w:leftChars="0" w:hanging="420"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4384" behindDoc="1" locked="0" layoutInCell="1" allowOverlap="1">
            <wp:simplePos x="0" y="0"/>
            <wp:positionH relativeFrom="column">
              <wp:posOffset>3875405</wp:posOffset>
            </wp:positionH>
            <wp:positionV relativeFrom="paragraph">
              <wp:posOffset>-12700</wp:posOffset>
            </wp:positionV>
            <wp:extent cx="1348105" cy="971550"/>
            <wp:effectExtent l="0" t="0" r="33655" b="32385"/>
            <wp:wrapTight wrapText="left">
              <wp:wrapPolygon>
                <wp:start x="0" y="0"/>
                <wp:lineTo x="0" y="21120"/>
                <wp:lineTo x="21274" y="21120"/>
                <wp:lineTo x="21274" y="0"/>
                <wp:lineTo x="0" y="0"/>
              </wp:wrapPolygon>
            </wp:wrapTight>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27"/>
                    <a:stretch>
                      <a:fillRect/>
                    </a:stretch>
                  </pic:blipFill>
                  <pic:spPr>
                    <a:xfrm>
                      <a:off x="0" y="0"/>
                      <a:ext cx="1348105" cy="971550"/>
                    </a:xfrm>
                    <a:prstGeom prst="rect">
                      <a:avLst/>
                    </a:prstGeom>
                    <a:noFill/>
                    <a:ln>
                      <a:noFill/>
                    </a:ln>
                  </pic:spPr>
                </pic:pic>
              </a:graphicData>
            </a:graphic>
          </wp:anchor>
        </w:drawing>
      </w:r>
      <w:r>
        <w:rPr>
          <w:rFonts w:hint="default"/>
          <w:color w:val="000000" w:themeColor="text1"/>
          <w:lang w:val="en-US" w:eastAsia="zh-CN"/>
          <w14:textFill>
            <w14:solidFill>
              <w14:schemeClr w14:val="tx1"/>
            </w14:solidFill>
          </w14:textFill>
        </w:rPr>
        <w:t>否，弹出提示框“该车未实销无法提报，请联系购车经销商”，点击【我知道了】关闭提示框。</w:t>
      </w:r>
    </w:p>
    <w:p w14:paraId="01711A45">
      <w:pPr>
        <w:widowControl w:val="0"/>
        <w:numPr>
          <w:ilvl w:val="3"/>
          <w:numId w:val="15"/>
        </w:numPr>
        <w:adjustRightInd w:val="0"/>
        <w:snapToGrid w:val="0"/>
        <w:spacing w:after="20" w:afterLines="20" w:line="288" w:lineRule="auto"/>
        <w:ind w:left="210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是，判断是否首次提报；</w:t>
      </w:r>
    </w:p>
    <w:p w14:paraId="0F526FCA">
      <w:pPr>
        <w:widowControl w:val="0"/>
        <w:numPr>
          <w:ilvl w:val="4"/>
          <w:numId w:val="15"/>
        </w:numPr>
        <w:adjustRightInd w:val="0"/>
        <w:snapToGrid w:val="0"/>
        <w:spacing w:after="20" w:afterLines="20" w:line="288" w:lineRule="auto"/>
        <w:ind w:left="252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否，需判断“购买方名称”与“车辆所有人”是否一致；</w:t>
      </w:r>
    </w:p>
    <w:p w14:paraId="6065DF23">
      <w:pPr>
        <w:widowControl w:val="0"/>
        <w:numPr>
          <w:ilvl w:val="5"/>
          <w:numId w:val="15"/>
        </w:numPr>
        <w:adjustRightInd w:val="0"/>
        <w:snapToGrid w:val="0"/>
        <w:spacing w:after="20" w:afterLines="20" w:line="288" w:lineRule="auto"/>
        <w:ind w:left="294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不一致，toast提示“购车发票购买方与车辆所有人不一致，不可申请”；</w:t>
      </w:r>
    </w:p>
    <w:p w14:paraId="327A9E6D">
      <w:pPr>
        <w:widowControl w:val="0"/>
        <w:numPr>
          <w:ilvl w:val="5"/>
          <w:numId w:val="15"/>
        </w:numPr>
        <w:adjustRightInd w:val="0"/>
        <w:snapToGrid w:val="0"/>
        <w:spacing w:after="20" w:afterLines="20" w:line="288" w:lineRule="auto"/>
        <w:ind w:left="294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一致，进入身份信息填写页面。</w:t>
      </w:r>
    </w:p>
    <w:p w14:paraId="44817AA0">
      <w:pPr>
        <w:widowControl w:val="0"/>
        <w:numPr>
          <w:ilvl w:val="4"/>
          <w:numId w:val="15"/>
        </w:numPr>
        <w:adjustRightInd w:val="0"/>
        <w:snapToGrid w:val="0"/>
        <w:spacing w:after="20" w:afterLines="20" w:line="288" w:lineRule="auto"/>
        <w:ind w:left="252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是，判断购车发票“开票日期”是否小于登录60天；</w:t>
      </w:r>
    </w:p>
    <w:p w14:paraId="6619705A">
      <w:pPr>
        <w:widowControl w:val="0"/>
        <w:numPr>
          <w:ilvl w:val="5"/>
          <w:numId w:val="15"/>
        </w:numPr>
        <w:adjustRightInd w:val="0"/>
        <w:snapToGrid w:val="0"/>
        <w:spacing w:after="20" w:afterLines="20" w:line="288" w:lineRule="auto"/>
        <w:ind w:left="2940" w:leftChars="0" w:hanging="420"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5408" behindDoc="1" locked="0" layoutInCell="1" allowOverlap="1">
            <wp:simplePos x="0" y="0"/>
            <wp:positionH relativeFrom="column">
              <wp:posOffset>3919220</wp:posOffset>
            </wp:positionH>
            <wp:positionV relativeFrom="paragraph">
              <wp:posOffset>66675</wp:posOffset>
            </wp:positionV>
            <wp:extent cx="1356360" cy="977900"/>
            <wp:effectExtent l="0" t="0" r="3810" b="4445"/>
            <wp:wrapTight wrapText="left">
              <wp:wrapPolygon>
                <wp:start x="0" y="0"/>
                <wp:lineTo x="0" y="21221"/>
                <wp:lineTo x="21317" y="21221"/>
                <wp:lineTo x="21317"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8"/>
                    <a:stretch>
                      <a:fillRect/>
                    </a:stretch>
                  </pic:blipFill>
                  <pic:spPr>
                    <a:xfrm>
                      <a:off x="0" y="0"/>
                      <a:ext cx="1356360" cy="977900"/>
                    </a:xfrm>
                    <a:prstGeom prst="rect">
                      <a:avLst/>
                    </a:prstGeom>
                    <a:noFill/>
                    <a:ln>
                      <a:noFill/>
                    </a:ln>
                  </pic:spPr>
                </pic:pic>
              </a:graphicData>
            </a:graphic>
          </wp:anchor>
        </w:drawing>
      </w:r>
      <w:r>
        <w:rPr>
          <w:rFonts w:hint="default"/>
          <w:color w:val="000000" w:themeColor="text1"/>
          <w:lang w:val="en-US" w:eastAsia="zh-CN"/>
          <w14:textFill>
            <w14:solidFill>
              <w14:schemeClr w14:val="tx1"/>
            </w14:solidFill>
          </w14:textFill>
        </w:rPr>
        <w:t>是，进入身份信息填写页面</w:t>
      </w:r>
      <w:r>
        <w:rPr>
          <w:rFonts w:hint="eastAsia"/>
          <w:color w:val="000000" w:themeColor="text1"/>
          <w:lang w:val="en-US" w:eastAsia="zh-CN"/>
          <w14:textFill>
            <w14:solidFill>
              <w14:schemeClr w14:val="tx1"/>
            </w14:solidFill>
          </w14:textFill>
        </w:rPr>
        <w:t>；</w:t>
      </w:r>
    </w:p>
    <w:p w14:paraId="468412D7">
      <w:pPr>
        <w:widowControl w:val="0"/>
        <w:numPr>
          <w:ilvl w:val="5"/>
          <w:numId w:val="15"/>
        </w:numPr>
        <w:adjustRightInd w:val="0"/>
        <w:snapToGrid w:val="0"/>
        <w:spacing w:after="20" w:afterLines="20" w:line="288" w:lineRule="auto"/>
        <w:ind w:left="294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否，弹出提示框“您的爱车购车补贴申领已超过时效，不可申请！”；点击【我知道了】关闭提示框</w:t>
      </w:r>
      <w:r>
        <w:rPr>
          <w:rFonts w:hint="eastAsia"/>
          <w:color w:val="000000" w:themeColor="text1"/>
          <w:lang w:val="en-US" w:eastAsia="zh-CN"/>
          <w14:textFill>
            <w14:solidFill>
              <w14:schemeClr w14:val="tx1"/>
            </w14:solidFill>
          </w14:textFill>
        </w:rPr>
        <w:t>；</w:t>
      </w:r>
    </w:p>
    <w:p w14:paraId="1FA114A9">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新车信息点击【上一步】返回旧车信息填写页面；</w:t>
      </w:r>
    </w:p>
    <w:p w14:paraId="1F72C8A7">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新车信息验证通过后点击【下一步】进入身份信息填写页面；</w:t>
      </w:r>
    </w:p>
    <w:p w14:paraId="6A5E819B">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7456" behindDoc="1" locked="0" layoutInCell="1" allowOverlap="1">
            <wp:simplePos x="0" y="0"/>
            <wp:positionH relativeFrom="column">
              <wp:posOffset>2379345</wp:posOffset>
            </wp:positionH>
            <wp:positionV relativeFrom="paragraph">
              <wp:posOffset>130810</wp:posOffset>
            </wp:positionV>
            <wp:extent cx="2984500" cy="3916680"/>
            <wp:effectExtent l="0" t="0" r="5715" b="1905"/>
            <wp:wrapTight wrapText="left">
              <wp:wrapPolygon>
                <wp:start x="0" y="0"/>
                <wp:lineTo x="0" y="21372"/>
                <wp:lineTo x="21329" y="21372"/>
                <wp:lineTo x="21329" y="0"/>
                <wp:lineTo x="0" y="0"/>
              </wp:wrapPolygon>
            </wp:wrapTight>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9"/>
                    <a:stretch>
                      <a:fillRect/>
                    </a:stretch>
                  </pic:blipFill>
                  <pic:spPr>
                    <a:xfrm>
                      <a:off x="0" y="0"/>
                      <a:ext cx="2984500" cy="3916680"/>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身份信息填写字段：</w:t>
      </w:r>
    </w:p>
    <w:p w14:paraId="442DE03A">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证件类型：枚举值包含身份证、营业执照、港澳台证件、护照；</w:t>
      </w:r>
    </w:p>
    <w:p w14:paraId="38A695FC">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车主姓名：手动输入，必填，1-30字符；</w:t>
      </w:r>
    </w:p>
    <w:p w14:paraId="56AE51D9">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车主手机号：默认为当前登录账号手机号，可手动修改，必填，11位手机号；</w:t>
      </w:r>
    </w:p>
    <w:p w14:paraId="15062FEF">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旧车车主与本人关系：枚举值本人、直系亲属；</w:t>
      </w:r>
    </w:p>
    <w:p w14:paraId="68F9EDAE">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选择“直系亲属”需上传亲属证件照和关系证明图片，支持多张，最多可上传9张；</w:t>
      </w:r>
    </w:p>
    <w:p w14:paraId="5C145BB6">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选择“本人”，无需上传其他内容（</w:t>
      </w:r>
      <w:r>
        <w:rPr>
          <w:rFonts w:hint="eastAsia"/>
          <w:color w:val="000000" w:themeColor="text1"/>
          <w:highlight w:val="yellow"/>
          <w:lang w:val="en-US" w:eastAsia="zh-CN"/>
          <w14:textFill>
            <w14:solidFill>
              <w14:schemeClr w14:val="tx1"/>
            </w14:solidFill>
          </w14:textFill>
        </w:rPr>
        <w:t>注：若车主证件照选择“营业执照”，旧车车主与本人关系只能选择“本人”</w:t>
      </w:r>
      <w:r>
        <w:rPr>
          <w:rFonts w:hint="eastAsia"/>
          <w:color w:val="000000" w:themeColor="text1"/>
          <w:lang w:val="en-US" w:eastAsia="zh-CN"/>
          <w14:textFill>
            <w14:solidFill>
              <w14:schemeClr w14:val="tx1"/>
            </w14:solidFill>
          </w14:textFill>
        </w:rPr>
        <w:t>）；</w:t>
      </w:r>
    </w:p>
    <w:p w14:paraId="12CE5082">
      <w:pPr>
        <w:widowControl w:val="0"/>
        <w:numPr>
          <w:ilvl w:val="0"/>
          <w:numId w:val="15"/>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身份信息填写完成后点击【提交】若选择旧车车主与本人关系为“本人”需判断旧车卖方单位/个人与新车购买方名称、车辆所有人以及身份信息车主姓名是否一致</w:t>
      </w:r>
    </w:p>
    <w:p w14:paraId="091A9F3E">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不一致，toast”旧车车主与新车车主不一致，请核对后再提交“；</w:t>
      </w:r>
    </w:p>
    <w:p w14:paraId="4C3E7C8D">
      <w:pPr>
        <w:widowControl w:val="0"/>
        <w:numPr>
          <w:ilvl w:val="1"/>
          <w:numId w:val="15"/>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一致，则提交信息，并弹出提示框“提交成功”；</w:t>
      </w:r>
    </w:p>
    <w:p w14:paraId="25B3F0C7">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点击【查看提交记录】进入提交记录页面；</w:t>
      </w:r>
    </w:p>
    <w:p w14:paraId="30894F9A">
      <w:pPr>
        <w:widowControl w:val="0"/>
        <w:numPr>
          <w:ilvl w:val="2"/>
          <w:numId w:val="15"/>
        </w:numPr>
        <w:adjustRightInd w:val="0"/>
        <w:snapToGrid w:val="0"/>
        <w:spacing w:after="20" w:afterLines="20" w:line="288" w:lineRule="auto"/>
        <w:ind w:left="168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点击【关闭】则返回购车补贴页面。</w:t>
      </w:r>
    </w:p>
    <w:p w14:paraId="51268B3F">
      <w:pPr>
        <w:pStyle w:val="6"/>
        <w:bidi w:val="0"/>
        <w:rPr>
          <w:rFonts w:hint="default"/>
          <w:color w:val="000000" w:themeColor="text1"/>
          <w:lang w:val="en-US" w:eastAsia="zh-CN"/>
          <w14:textFill>
            <w14:solidFill>
              <w14:schemeClr w14:val="tx1"/>
            </w14:solidFill>
          </w14:textFill>
        </w:rPr>
      </w:pPr>
      <w:r>
        <w:rPr>
          <w:rFonts w:hint="eastAsia"/>
          <w:lang w:val="en-US" w:eastAsia="zh-CN"/>
        </w:rPr>
        <w:t>1.4.4.3.2增购补贴</w:t>
      </w:r>
    </w:p>
    <w:p w14:paraId="7C96A7A3">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00C85FF7">
      <w:pPr>
        <w:widowControl w:val="0"/>
        <w:numPr>
          <w:ilvl w:val="0"/>
          <w:numId w:val="0"/>
        </w:numPr>
        <w:adjustRightInd w:val="0"/>
        <w:snapToGrid w:val="0"/>
        <w:spacing w:after="20" w:afterLines="20" w:line="288" w:lineRule="auto"/>
        <w:ind w:firstLine="420" w:firstLineChars="0"/>
        <w:jc w:val="both"/>
        <w:rPr>
          <w:rFonts w:hint="eastAsia"/>
          <w:lang w:val="en-US" w:eastAsia="zh-CN"/>
        </w:rPr>
      </w:pPr>
      <w:r>
        <w:rPr>
          <w:rFonts w:hint="eastAsia"/>
          <w:lang w:val="en-US" w:eastAsia="zh-CN"/>
        </w:rPr>
        <w:t>用户购车后若为增购车辆，可通过APP提交增购补贴申请，提交后由经销商进行审核，审核通过后由厂家进行审核，审核通过通过线下付款的方式将厂家的增购补贴费用给到购车用户。</w:t>
      </w:r>
    </w:p>
    <w:p w14:paraId="4285BCC0">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业务流程</w:t>
      </w:r>
    </w:p>
    <w:p w14:paraId="1CBE5AFE">
      <w:pPr>
        <w:widowControl w:val="0"/>
        <w:numPr>
          <w:numId w:val="0"/>
        </w:numPr>
        <w:adjustRightInd w:val="0"/>
        <w:snapToGrid w:val="0"/>
        <w:spacing w:after="20" w:afterLines="20" w:line="288" w:lineRule="auto"/>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object>
          <v:shape id="_x0000_i1036" o:spt="75" type="#_x0000_t75" style="height:375.7pt;width:368.25pt;" o:ole="t" filled="f" o:preferrelative="t" stroked="f" coordsize="21600,21600">
            <v:path/>
            <v:fill on="f" focussize="0,0"/>
            <v:stroke on="f"/>
            <v:imagedata r:id="rId31" o:title=""/>
            <o:lock v:ext="edit" aspectratio="f"/>
            <w10:wrap type="none"/>
            <w10:anchorlock/>
          </v:shape>
          <o:OLEObject Type="Embed" ProgID="Visio.Drawing.15" ShapeID="_x0000_i1036" DrawAspect="Content" ObjectID="_1468075729" r:id="rId30">
            <o:LockedField>false</o:LockedField>
          </o:OLEObject>
        </w:object>
      </w:r>
    </w:p>
    <w:p w14:paraId="49A29300">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6D2DF9E5">
      <w:pPr>
        <w:widowControl w:val="0"/>
        <w:numPr>
          <w:ilvl w:val="0"/>
          <w:numId w:val="16"/>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69504" behindDoc="1" locked="0" layoutInCell="1" allowOverlap="1">
            <wp:simplePos x="0" y="0"/>
            <wp:positionH relativeFrom="column">
              <wp:posOffset>3583940</wp:posOffset>
            </wp:positionH>
            <wp:positionV relativeFrom="paragraph">
              <wp:posOffset>51435</wp:posOffset>
            </wp:positionV>
            <wp:extent cx="1652905" cy="3713480"/>
            <wp:effectExtent l="0" t="0" r="9525" b="0"/>
            <wp:wrapTight wrapText="left">
              <wp:wrapPolygon>
                <wp:start x="0" y="0"/>
                <wp:lineTo x="0" y="21349"/>
                <wp:lineTo x="21301" y="21349"/>
                <wp:lineTo x="21301" y="0"/>
                <wp:lineTo x="0" y="0"/>
              </wp:wrapPolygon>
            </wp:wrapTight>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32"/>
                    <a:stretch>
                      <a:fillRect/>
                    </a:stretch>
                  </pic:blipFill>
                  <pic:spPr>
                    <a:xfrm>
                      <a:off x="0" y="0"/>
                      <a:ext cx="1652905" cy="3713480"/>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购车补贴页面点击【立即申请】选择“增购补贴”进入增购补贴旧车信息填写页面；</w:t>
      </w:r>
    </w:p>
    <w:p w14:paraId="0D7C00B3">
      <w:pPr>
        <w:widowControl w:val="0"/>
        <w:numPr>
          <w:ilvl w:val="0"/>
          <w:numId w:val="16"/>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增购旧车信息填写字段：</w:t>
      </w:r>
    </w:p>
    <w:p w14:paraId="68E0FB47">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行驶证：旧车行驶证照片，必传，可上传多张（最多2张）；</w:t>
      </w:r>
    </w:p>
    <w:p w14:paraId="2A2AD29C">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车架号：通过上传的行驶证OCR识别，自动带入，可手动修改，必填，17位数字和字母组成；</w:t>
      </w:r>
    </w:p>
    <w:p w14:paraId="54A4FB4C">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车牌号：通过上传的行驶证OCR识别，自动带入，可手动修改，必填，7-8位字符；</w:t>
      </w:r>
    </w:p>
    <w:p w14:paraId="1DE61232">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品牌型号：通过上传的行驶证OCR识别，自动带入，可手动修改，必填，1-20位字符；</w:t>
      </w:r>
    </w:p>
    <w:p w14:paraId="1BF9E64F">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发证日期：通过上传的行驶证OCR识别，自动带入，可手动修改，必填，年月日选择；</w:t>
      </w:r>
    </w:p>
    <w:p w14:paraId="0A01292D">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机动车所有人：通过上传的行驶证OCR识别，自动带入，可手动修改，必填，1-30位字符；</w:t>
      </w:r>
    </w:p>
    <w:p w14:paraId="470395D0">
      <w:pPr>
        <w:widowControl w:val="0"/>
        <w:numPr>
          <w:ilvl w:val="0"/>
          <w:numId w:val="16"/>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增购补贴旧车信息填写页面点击【下一步】需判断旧车VIN是否有已申请置换补贴（审核通过或者待审核）；</w:t>
      </w:r>
    </w:p>
    <w:p w14:paraId="0D5B94D4">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有，toast提示“当前车辆已提交过置换申请，不能再提交，若有疑问请联系经销商”；</w:t>
      </w:r>
    </w:p>
    <w:p w14:paraId="16B835A7">
      <w:pPr>
        <w:widowControl w:val="0"/>
        <w:numPr>
          <w:ilvl w:val="1"/>
          <w:numId w:val="16"/>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无，则进入新车信息填写页面。</w:t>
      </w:r>
    </w:p>
    <w:p w14:paraId="080DD5D9">
      <w:pPr>
        <w:widowControl w:val="0"/>
        <w:numPr>
          <w:ilvl w:val="0"/>
          <w:numId w:val="16"/>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新车信息填写保持与“置换补贴”新车信息填写一致；</w:t>
      </w:r>
    </w:p>
    <w:p w14:paraId="0942835A">
      <w:pPr>
        <w:widowControl w:val="0"/>
        <w:numPr>
          <w:ilvl w:val="0"/>
          <w:numId w:val="16"/>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身份信息填写保持与“置换补贴”蛇粉信息填写一致。</w:t>
      </w:r>
    </w:p>
    <w:p w14:paraId="56335440">
      <w:pPr>
        <w:widowControl w:val="0"/>
        <w:numPr>
          <w:numId w:val="0"/>
        </w:numPr>
        <w:adjustRightInd w:val="0"/>
        <w:snapToGrid w:val="0"/>
        <w:spacing w:after="20" w:afterLines="20" w:line="288" w:lineRule="auto"/>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highlight w:val="yellow"/>
          <w:lang w:val="en-US" w:eastAsia="zh-CN"/>
          <w14:textFill>
            <w14:solidFill>
              <w14:schemeClr w14:val="tx1"/>
            </w14:solidFill>
          </w14:textFill>
        </w:rPr>
        <w:t>注：“增购补贴”需要判断，旧车机动车所有人与新车购买方名称、车辆所有人以及身份信息车主姓名是否一致，若不一致则toast”旧车车主与新车车主不一致，请核对后再提交“，一致则按原有逻辑判断提交；</w:t>
      </w:r>
      <w:r>
        <w:rPr>
          <w:rFonts w:hint="eastAsia"/>
          <w:color w:val="000000" w:themeColor="text1"/>
          <w:lang w:val="en-US" w:eastAsia="zh-CN"/>
          <w14:textFill>
            <w14:solidFill>
              <w14:schemeClr w14:val="tx1"/>
            </w14:solidFill>
          </w14:textFill>
        </w:rPr>
        <w:t>）</w:t>
      </w:r>
    </w:p>
    <w:p w14:paraId="3B9AEBFE">
      <w:pPr>
        <w:pStyle w:val="6"/>
        <w:bidi w:val="0"/>
        <w:rPr>
          <w:rFonts w:hint="default"/>
          <w:color w:val="000000" w:themeColor="text1"/>
          <w:lang w:val="en-US" w:eastAsia="zh-CN"/>
          <w14:textFill>
            <w14:solidFill>
              <w14:schemeClr w14:val="tx1"/>
            </w14:solidFill>
          </w14:textFill>
        </w:rPr>
      </w:pPr>
      <w:r>
        <w:rPr>
          <w:rFonts w:hint="eastAsia"/>
          <w:lang w:val="en-US" w:eastAsia="zh-CN"/>
        </w:rPr>
        <w:t>1.4.4.3.3报废补贴</w:t>
      </w:r>
    </w:p>
    <w:p w14:paraId="4F5E2FFB">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7EDD34A9">
      <w:pPr>
        <w:widowControl w:val="0"/>
        <w:numPr>
          <w:ilvl w:val="0"/>
          <w:numId w:val="0"/>
        </w:numPr>
        <w:adjustRightInd w:val="0"/>
        <w:snapToGrid w:val="0"/>
        <w:spacing w:after="20" w:afterLines="20" w:line="288" w:lineRule="auto"/>
        <w:ind w:firstLine="420" w:firstLineChars="0"/>
        <w:jc w:val="both"/>
        <w:rPr>
          <w:rFonts w:hint="eastAsia"/>
          <w:lang w:val="en-US" w:eastAsia="zh-CN"/>
        </w:rPr>
      </w:pPr>
      <w:r>
        <w:rPr>
          <w:rFonts w:hint="eastAsia"/>
          <w:lang w:val="en-US" w:eastAsia="zh-CN"/>
        </w:rPr>
        <w:t>用户购车后若为报废购车，可通过APP提交报废补贴申请，提交后由经销商进行审核，审核通过后由厂家进行审核，审核通过通过线下付款的方式将厂家的补贴费用给到购车用户。</w:t>
      </w:r>
    </w:p>
    <w:p w14:paraId="4862D4C6">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业务流程</w:t>
      </w:r>
    </w:p>
    <w:p w14:paraId="3DD60628">
      <w:pPr>
        <w:widowControl w:val="0"/>
        <w:numPr>
          <w:numId w:val="0"/>
        </w:numPr>
        <w:adjustRightInd w:val="0"/>
        <w:snapToGrid w:val="0"/>
        <w:spacing w:after="20" w:afterLines="20" w:line="288" w:lineRule="auto"/>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object>
          <v:shape id="_x0000_i1038" o:spt="75" type="#_x0000_t75" style="height:423.1pt;width:414.85pt;" o:ole="t" filled="f" o:preferrelative="t" stroked="f" coordsize="21600,21600">
            <v:path/>
            <v:fill on="f" focussize="0,0"/>
            <v:stroke on="f"/>
            <v:imagedata r:id="rId34" o:title=""/>
            <o:lock v:ext="edit" aspectratio="f"/>
            <w10:wrap type="none"/>
            <w10:anchorlock/>
          </v:shape>
          <o:OLEObject Type="Embed" ProgID="Visio.Drawing.15" ShapeID="_x0000_i1038" DrawAspect="Content" ObjectID="_1468075730" r:id="rId33">
            <o:LockedField>false</o:LockedField>
          </o:OLEObject>
        </w:object>
      </w:r>
    </w:p>
    <w:p w14:paraId="1A472CDB">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62CBFDB8">
      <w:pPr>
        <w:widowControl w:val="0"/>
        <w:numPr>
          <w:ilvl w:val="0"/>
          <w:numId w:val="17"/>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购车补贴页面点击【立即申请】选择“报废补贴”进入报废补贴旧车信息填写页面；</w:t>
      </w:r>
    </w:p>
    <w:p w14:paraId="2FD2A471">
      <w:pPr>
        <w:widowControl w:val="0"/>
        <w:numPr>
          <w:ilvl w:val="0"/>
          <w:numId w:val="17"/>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报废补贴旧车信息填写字段：</w:t>
      </w:r>
    </w:p>
    <w:p w14:paraId="3ED45455">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车辆品牌（旧）：自定义输入，0-20字符；</w:t>
      </w:r>
    </w:p>
    <w:p w14:paraId="0C9AC320">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车辆车型（旧）：自定义输入，0-20字符；</w:t>
      </w:r>
    </w:p>
    <w:p w14:paraId="0687E2D4">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车架号（旧）：自定义输入，17位数字和字母组成；</w:t>
      </w:r>
    </w:p>
    <w:p w14:paraId="0551302D">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报废证明：图片上传，必传，1张；</w:t>
      </w:r>
    </w:p>
    <w:p w14:paraId="0857399B">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登记证（旧）：图片上传，必传，支持多张，最多可上传9张；</w:t>
      </w:r>
    </w:p>
    <w:p w14:paraId="4A6D6EE5">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转入日期：手动选择，必填，年月日；</w:t>
      </w:r>
    </w:p>
    <w:p w14:paraId="3E58B635">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drawing>
          <wp:anchor distT="0" distB="0" distL="114935" distR="114935" simplePos="0" relativeHeight="251670528" behindDoc="1" locked="0" layoutInCell="1" allowOverlap="1">
            <wp:simplePos x="0" y="0"/>
            <wp:positionH relativeFrom="column">
              <wp:posOffset>3503930</wp:posOffset>
            </wp:positionH>
            <wp:positionV relativeFrom="paragraph">
              <wp:posOffset>-6985</wp:posOffset>
            </wp:positionV>
            <wp:extent cx="1720850" cy="4114165"/>
            <wp:effectExtent l="0" t="0" r="6350" b="9525"/>
            <wp:wrapTight wrapText="left">
              <wp:wrapPolygon>
                <wp:start x="0" y="0"/>
                <wp:lineTo x="0" y="21367"/>
                <wp:lineTo x="21273" y="21367"/>
                <wp:lineTo x="21273" y="0"/>
                <wp:lineTo x="0" y="0"/>
              </wp:wrapPolygon>
            </wp:wrapTight>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35"/>
                    <a:stretch>
                      <a:fillRect/>
                    </a:stretch>
                  </pic:blipFill>
                  <pic:spPr>
                    <a:xfrm>
                      <a:off x="0" y="0"/>
                      <a:ext cx="1720850" cy="4114165"/>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报废日期：手动选择，必填，年月日；</w:t>
      </w:r>
    </w:p>
    <w:p w14:paraId="58642236">
      <w:pPr>
        <w:widowControl w:val="0"/>
        <w:numPr>
          <w:ilvl w:val="1"/>
          <w:numId w:val="18"/>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机动车所有人：手动填写，必填，1-30位字符；</w:t>
      </w:r>
    </w:p>
    <w:p w14:paraId="0197C432">
      <w:pPr>
        <w:widowControl w:val="0"/>
        <w:numPr>
          <w:ilvl w:val="0"/>
          <w:numId w:val="17"/>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报废补贴旧车信息填写完成点击【下一步】需判断转入日期与报废日期是否大于6个月；</w:t>
      </w:r>
    </w:p>
    <w:p w14:paraId="57DA301B">
      <w:pPr>
        <w:widowControl w:val="0"/>
        <w:numPr>
          <w:ilvl w:val="1"/>
          <w:numId w:val="17"/>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是，则进入新车信息填写页面；</w:t>
      </w:r>
    </w:p>
    <w:p w14:paraId="7CD4DE36">
      <w:pPr>
        <w:widowControl w:val="0"/>
        <w:numPr>
          <w:ilvl w:val="1"/>
          <w:numId w:val="17"/>
        </w:numPr>
        <w:adjustRightInd w:val="0"/>
        <w:snapToGrid w:val="0"/>
        <w:spacing w:after="20" w:afterLines="20" w:line="288" w:lineRule="auto"/>
        <w:ind w:left="1260" w:leftChars="0" w:hanging="420"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否，toast提示“当前车辆持有时间不满半年，不支持置换”</w:t>
      </w:r>
      <w:r>
        <w:rPr>
          <w:rFonts w:hint="eastAsia"/>
          <w:color w:val="000000" w:themeColor="text1"/>
          <w:lang w:val="en-US" w:eastAsia="zh-CN"/>
          <w14:textFill>
            <w14:solidFill>
              <w14:schemeClr w14:val="tx1"/>
            </w14:solidFill>
          </w14:textFill>
        </w:rPr>
        <w:t>。</w:t>
      </w:r>
    </w:p>
    <w:p w14:paraId="5992774E">
      <w:pPr>
        <w:widowControl w:val="0"/>
        <w:numPr>
          <w:ilvl w:val="0"/>
          <w:numId w:val="17"/>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新车信息填写保持与“置换补贴”新车信息填写一致；</w:t>
      </w:r>
    </w:p>
    <w:p w14:paraId="0512BD7F">
      <w:pPr>
        <w:widowControl w:val="0"/>
        <w:numPr>
          <w:ilvl w:val="0"/>
          <w:numId w:val="17"/>
        </w:numPr>
        <w:adjustRightInd w:val="0"/>
        <w:snapToGrid w:val="0"/>
        <w:spacing w:after="20" w:afterLines="20" w:line="288" w:lineRule="auto"/>
        <w:ind w:left="845" w:leftChars="0" w:hanging="425" w:firstLineChars="0"/>
        <w:jc w:val="both"/>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身份信息填写保持与“置换补贴”蛇粉信息填写一致</w:t>
      </w:r>
      <w:r>
        <w:rPr>
          <w:rFonts w:hint="eastAsia"/>
          <w:color w:val="000000" w:themeColor="text1"/>
          <w:lang w:val="en-US" w:eastAsia="zh-CN"/>
          <w14:textFill>
            <w14:solidFill>
              <w14:schemeClr w14:val="tx1"/>
            </w14:solidFill>
          </w14:textFill>
        </w:rPr>
        <w:t>；</w:t>
      </w:r>
    </w:p>
    <w:p w14:paraId="597DE27E">
      <w:pPr>
        <w:widowControl w:val="0"/>
        <w:numPr>
          <w:numId w:val="0"/>
        </w:numPr>
        <w:adjustRightInd w:val="0"/>
        <w:snapToGrid w:val="0"/>
        <w:spacing w:after="20" w:afterLines="20" w:line="288" w:lineRule="auto"/>
        <w:jc w:val="both"/>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eastAsia"/>
          <w:color w:val="000000" w:themeColor="text1"/>
          <w:highlight w:val="yellow"/>
          <w:lang w:val="en-US" w:eastAsia="zh-CN"/>
          <w14:textFill>
            <w14:solidFill>
              <w14:schemeClr w14:val="tx1"/>
            </w14:solidFill>
          </w14:textFill>
        </w:rPr>
        <w:t>注：“报废补贴”需要判断，旧车机动车所有人与新车购买方名称、车辆所有人以及身份信息车主姓名是否一致，若不一致则toast”旧车车主与新车车主不一致，请核对后再提交“，一致则按原有逻辑判断提交；</w:t>
      </w:r>
      <w:r>
        <w:rPr>
          <w:rFonts w:hint="eastAsia"/>
          <w:color w:val="000000" w:themeColor="text1"/>
          <w:lang w:val="en-US" w:eastAsia="zh-CN"/>
          <w14:textFill>
            <w14:solidFill>
              <w14:schemeClr w14:val="tx1"/>
            </w14:solidFill>
          </w14:textFill>
        </w:rPr>
        <w:t>）</w:t>
      </w:r>
    </w:p>
    <w:p w14:paraId="49BED9FC">
      <w:pPr>
        <w:pStyle w:val="6"/>
        <w:bidi w:val="0"/>
        <w:rPr>
          <w:rFonts w:hint="default"/>
          <w:color w:val="000000" w:themeColor="text1"/>
          <w:lang w:val="en-US" w:eastAsia="zh-CN"/>
          <w14:textFill>
            <w14:solidFill>
              <w14:schemeClr w14:val="tx1"/>
            </w14:solidFill>
          </w14:textFill>
        </w:rPr>
      </w:pPr>
      <w:r>
        <w:rPr>
          <w:rFonts w:hint="eastAsia"/>
          <w:lang w:val="en-US" w:eastAsia="zh-CN"/>
        </w:rPr>
        <w:t>1.4.4.3.4申领记录</w:t>
      </w:r>
    </w:p>
    <w:p w14:paraId="25599C1C">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功能描述</w:t>
      </w:r>
    </w:p>
    <w:p w14:paraId="3FDD392A">
      <w:pPr>
        <w:widowControl w:val="0"/>
        <w:numPr>
          <w:numId w:val="0"/>
        </w:numPr>
        <w:adjustRightInd w:val="0"/>
        <w:snapToGrid w:val="0"/>
        <w:spacing w:after="20" w:afterLines="20" w:line="288" w:lineRule="auto"/>
        <w:ind w:firstLine="420"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用户可通过申领记录查看未提交以及已提交的申请，并可通过申领记录查看已提交的申领的审核状态。</w:t>
      </w:r>
    </w:p>
    <w:p w14:paraId="0BD59657">
      <w:pPr>
        <w:numPr>
          <w:ilvl w:val="0"/>
          <w:numId w:val="5"/>
        </w:numPr>
        <w:ind w:left="420" w:leftChars="0" w:hanging="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业务描述</w:t>
      </w:r>
    </w:p>
    <w:p w14:paraId="6FFEAF3A">
      <w:pPr>
        <w:widowControl w:val="0"/>
        <w:numPr>
          <w:ilvl w:val="0"/>
          <w:numId w:val="19"/>
        </w:numPr>
        <w:adjustRightInd w:val="0"/>
        <w:snapToGrid w:val="0"/>
        <w:spacing w:after="20" w:afterLines="20" w:line="288" w:lineRule="auto"/>
        <w:ind w:left="845" w:leftChars="0" w:hanging="425"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点击购车补贴页面“申领记录”进入申领记录列表页面；</w:t>
      </w:r>
    </w:p>
    <w:p w14:paraId="7483373F">
      <w:pPr>
        <w:widowControl w:val="0"/>
        <w:numPr>
          <w:ilvl w:val="0"/>
          <w:numId w:val="19"/>
        </w:numPr>
        <w:adjustRightInd w:val="0"/>
        <w:snapToGrid w:val="0"/>
        <w:spacing w:after="20" w:afterLines="20" w:line="288" w:lineRule="auto"/>
        <w:ind w:left="845" w:leftChars="0" w:hanging="425"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申领记录页面点击【常见问题】弹出常见问题内容，常见问题为通过管理系统手动配置的富文本内容；</w:t>
      </w:r>
    </w:p>
    <w:p w14:paraId="28CFF2C8">
      <w:pPr>
        <w:widowControl w:val="0"/>
        <w:numPr>
          <w:ilvl w:val="0"/>
          <w:numId w:val="19"/>
        </w:numPr>
        <w:adjustRightInd w:val="0"/>
        <w:snapToGrid w:val="0"/>
        <w:spacing w:after="20" w:afterLines="20" w:line="288" w:lineRule="auto"/>
        <w:ind w:left="845" w:leftChars="0" w:hanging="425"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申领记录列表优先按照状态排序：未提交→审核中→审核不通过→审核通过，相同状态再按照提交时间倒序显示；</w:t>
      </w:r>
    </w:p>
    <w:p w14:paraId="244BF082">
      <w:pPr>
        <w:widowControl w:val="0"/>
        <w:numPr>
          <w:ilvl w:val="0"/>
          <w:numId w:val="19"/>
        </w:numPr>
        <w:adjustRightInd w:val="0"/>
        <w:snapToGrid w:val="0"/>
        <w:spacing w:after="20" w:afterLines="20" w:line="288" w:lineRule="auto"/>
        <w:ind w:left="845" w:leftChars="0" w:hanging="425"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申领状态说明：</w:t>
      </w:r>
    </w:p>
    <w:p w14:paraId="38BE46AD">
      <w:pPr>
        <w:widowControl w:val="0"/>
        <w:numPr>
          <w:ilvl w:val="1"/>
          <w:numId w:val="19"/>
        </w:numPr>
        <w:adjustRightInd w:val="0"/>
        <w:snapToGrid w:val="0"/>
        <w:spacing w:after="20" w:afterLines="20" w:line="288" w:lineRule="auto"/>
        <w:ind w:left="1260" w:leftChars="0" w:hanging="420"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未提交：用户完成了部分信息的填写，但未提交的补贴申领，显示固定提示文案“完成资料提交后才可领取补贴。”（未提交的申领订单可点击【删除】删除申请，删除后数据将物理删除，不可恢复，也可以点击【编辑】，点击【编辑】进入当前补贴申领资料填写页面，完成编辑后可提交）；</w:t>
      </w:r>
    </w:p>
    <w:p w14:paraId="15FE02C2">
      <w:pPr>
        <w:widowControl w:val="0"/>
        <w:numPr>
          <w:ilvl w:val="1"/>
          <w:numId w:val="19"/>
        </w:numPr>
        <w:adjustRightInd w:val="0"/>
        <w:snapToGrid w:val="0"/>
        <w:spacing w:after="20" w:afterLines="20" w:line="288" w:lineRule="auto"/>
        <w:ind w:left="1260" w:leftChars="0" w:hanging="420" w:firstLineChars="0"/>
        <w:jc w:val="both"/>
        <w:rPr>
          <w:rFonts w:hint="eastAsia"/>
          <w:color w:val="000000" w:themeColor="text1"/>
          <w:lang w:val="en-US" w:eastAsia="zh-CN"/>
          <w14:textFill>
            <w14:solidFill>
              <w14:schemeClr w14:val="tx1"/>
            </w14:solidFill>
          </w14:textFill>
        </w:rPr>
      </w:pPr>
      <w:r>
        <w:drawing>
          <wp:anchor distT="0" distB="0" distL="114935" distR="114935" simplePos="0" relativeHeight="251671552" behindDoc="1" locked="0" layoutInCell="1" allowOverlap="1">
            <wp:simplePos x="0" y="0"/>
            <wp:positionH relativeFrom="column">
              <wp:posOffset>2757805</wp:posOffset>
            </wp:positionH>
            <wp:positionV relativeFrom="paragraph">
              <wp:posOffset>58420</wp:posOffset>
            </wp:positionV>
            <wp:extent cx="2522855" cy="2766695"/>
            <wp:effectExtent l="0" t="0" r="3175" b="7620"/>
            <wp:wrapTight wrapText="left">
              <wp:wrapPolygon>
                <wp:start x="0" y="0"/>
                <wp:lineTo x="0" y="21322"/>
                <wp:lineTo x="21350" y="21322"/>
                <wp:lineTo x="21350" y="0"/>
                <wp:lineTo x="0" y="0"/>
              </wp:wrapPolygon>
            </wp:wrapTight>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36"/>
                    <a:stretch>
                      <a:fillRect/>
                    </a:stretch>
                  </pic:blipFill>
                  <pic:spPr>
                    <a:xfrm>
                      <a:off x="0" y="0"/>
                      <a:ext cx="2522855" cy="2766695"/>
                    </a:xfrm>
                    <a:prstGeom prst="rect">
                      <a:avLst/>
                    </a:prstGeom>
                    <a:noFill/>
                    <a:ln>
                      <a:noFill/>
                    </a:ln>
                  </pic:spPr>
                </pic:pic>
              </a:graphicData>
            </a:graphic>
          </wp:anchor>
        </w:drawing>
      </w:r>
      <w:r>
        <w:rPr>
          <w:rFonts w:hint="eastAsia"/>
          <w:color w:val="000000" w:themeColor="text1"/>
          <w:lang w:val="en-US" w:eastAsia="zh-CN"/>
          <w14:textFill>
            <w14:solidFill>
              <w14:schemeClr w14:val="tx1"/>
            </w14:solidFill>
          </w14:textFill>
        </w:rPr>
        <w:t>审核中：已完成全部资料的填写并提交成功的补贴申领，显示固定提示文案“购车材料正在审核，审核通过后经销商15个工作日完成兑现，请您耐心等待。”；</w:t>
      </w:r>
    </w:p>
    <w:p w14:paraId="0DBA298E">
      <w:pPr>
        <w:widowControl w:val="0"/>
        <w:numPr>
          <w:ilvl w:val="1"/>
          <w:numId w:val="19"/>
        </w:numPr>
        <w:adjustRightInd w:val="0"/>
        <w:snapToGrid w:val="0"/>
        <w:spacing w:after="20" w:afterLines="20" w:line="288" w:lineRule="auto"/>
        <w:ind w:left="1260" w:leftChars="0" w:hanging="420"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审核不通过：补贴申领经销商审核不通过或者业务审核不通过的补贴申领，显示固定提示文案“您的申请未通过审核，请联系销售顾问核实。未通过原因：{审核时填写的不通过原因}”（</w:t>
      </w:r>
      <w:r>
        <w:rPr>
          <w:rFonts w:hint="eastAsia"/>
          <w:color w:val="000000" w:themeColor="text1"/>
          <w:highlight w:val="yellow"/>
          <w:lang w:val="en-US" w:eastAsia="zh-CN"/>
          <w14:textFill>
            <w14:solidFill>
              <w14:schemeClr w14:val="tx1"/>
            </w14:solidFill>
          </w14:textFill>
        </w:rPr>
        <w:t>注：审核不通过的购车补贴申领可重新编辑，重新编辑提交后将生成新的购车补贴申领订单</w:t>
      </w:r>
      <w:r>
        <w:rPr>
          <w:rFonts w:hint="eastAsia"/>
          <w:color w:val="000000" w:themeColor="text1"/>
          <w:lang w:val="en-US" w:eastAsia="zh-CN"/>
          <w14:textFill>
            <w14:solidFill>
              <w14:schemeClr w14:val="tx1"/>
            </w14:solidFill>
          </w14:textFill>
        </w:rPr>
        <w:t>）；</w:t>
      </w:r>
    </w:p>
    <w:p w14:paraId="1A55AFBA">
      <w:pPr>
        <w:widowControl w:val="0"/>
        <w:numPr>
          <w:ilvl w:val="1"/>
          <w:numId w:val="19"/>
        </w:numPr>
        <w:adjustRightInd w:val="0"/>
        <w:snapToGrid w:val="0"/>
        <w:spacing w:after="20" w:afterLines="20" w:line="288" w:lineRule="auto"/>
        <w:ind w:left="1260" w:leftChars="0" w:hanging="420"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审核通过：补贴申领经销商审核通过并且业务审核通过的补贴申领，显示固定提示文案“您的购车补贴申请已通过，请在审核通过后15个工作日后联系经销商领取。”；</w:t>
      </w:r>
    </w:p>
    <w:p w14:paraId="7BEC436B">
      <w:pPr>
        <w:widowControl w:val="0"/>
        <w:numPr>
          <w:ilvl w:val="0"/>
          <w:numId w:val="19"/>
        </w:numPr>
        <w:adjustRightInd w:val="0"/>
        <w:snapToGrid w:val="0"/>
        <w:spacing w:after="20" w:afterLines="20" w:line="288" w:lineRule="auto"/>
        <w:ind w:left="845" w:leftChars="0" w:hanging="425" w:firstLineChars="0"/>
        <w:jc w:val="both"/>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申领记录页面点击订单进入当前订单详情页面展示当前申请填写的申请信息；</w:t>
      </w:r>
    </w:p>
    <w:p w14:paraId="44837006">
      <w:pPr>
        <w:widowControl w:val="0"/>
        <w:numPr>
          <w:numId w:val="0"/>
        </w:numPr>
        <w:adjustRightInd w:val="0"/>
        <w:snapToGrid w:val="0"/>
        <w:spacing w:after="20" w:afterLines="20" w:line="288" w:lineRule="auto"/>
        <w:ind w:firstLine="420" w:firstLineChars="0"/>
        <w:jc w:val="both"/>
        <w:rPr>
          <w:rFonts w:hint="default"/>
          <w:color w:val="000000" w:themeColor="text1"/>
          <w:lang w:val="en-US" w:eastAsia="zh-CN"/>
          <w14:textFill>
            <w14:solidFill>
              <w14:schemeClr w14:val="tx1"/>
            </w14:solidFill>
          </w14:textFill>
        </w:rPr>
      </w:pPr>
      <w:r>
        <w:drawing>
          <wp:inline distT="0" distB="0" distL="114300" distR="114300">
            <wp:extent cx="5268595" cy="1920875"/>
            <wp:effectExtent l="0" t="0" r="10160" b="63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37"/>
                    <a:stretch>
                      <a:fillRect/>
                    </a:stretch>
                  </pic:blipFill>
                  <pic:spPr>
                    <a:xfrm>
                      <a:off x="0" y="0"/>
                      <a:ext cx="5268595" cy="1920875"/>
                    </a:xfrm>
                    <a:prstGeom prst="rect">
                      <a:avLst/>
                    </a:prstGeom>
                    <a:noFill/>
                    <a:ln>
                      <a:noFill/>
                    </a:ln>
                  </pic:spPr>
                </pic:pic>
              </a:graphicData>
            </a:graphic>
          </wp:inline>
        </w:drawing>
      </w:r>
    </w:p>
    <w:p w14:paraId="76B1A8C2">
      <w:pPr>
        <w:pStyle w:val="3"/>
        <w:bidi w:val="0"/>
        <w:rPr>
          <w:rFonts w:hint="eastAsia"/>
          <w:color w:val="000000" w:themeColor="text1"/>
          <w:lang w:val="en-US" w:eastAsia="zh-CN"/>
          <w14:textFill>
            <w14:solidFill>
              <w14:schemeClr w14:val="tx1"/>
            </w14:solidFill>
          </w14:textFill>
        </w:rPr>
      </w:pPr>
      <w:bookmarkStart w:id="9" w:name="_Toc11624"/>
      <w:r>
        <w:rPr>
          <w:rFonts w:hint="eastAsia"/>
          <w:color w:val="000000" w:themeColor="text1"/>
          <w:lang w:val="en-US" w:eastAsia="zh-CN"/>
          <w14:textFill>
            <w14:solidFill>
              <w14:schemeClr w14:val="tx1"/>
            </w14:solidFill>
          </w14:textFill>
        </w:rPr>
        <w:t>1.5其他</w:t>
      </w:r>
      <w:bookmarkEnd w:id="9"/>
    </w:p>
    <w:p w14:paraId="714374AF">
      <w:pPr>
        <w:numPr>
          <w:ilvl w:val="0"/>
          <w:numId w:val="20"/>
        </w:numPr>
        <w:ind w:left="845" w:leftChars="0" w:hanging="425"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预约维保需“销冠”系统提供预约工单接口（订单同步接口、订单取消接口、订单更新接口）；</w:t>
      </w:r>
    </w:p>
    <w:p w14:paraId="06BF5CB4">
      <w:pPr>
        <w:numPr>
          <w:ilvl w:val="0"/>
          <w:numId w:val="20"/>
        </w:numPr>
        <w:ind w:left="845" w:leftChars="0" w:hanging="425" w:firstLine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“销冠”系统工单状态变更后需将状态同步到运营管理系统；</w:t>
      </w:r>
    </w:p>
    <w:p w14:paraId="1C495A98">
      <w:pPr>
        <w:numPr>
          <w:ilvl w:val="0"/>
          <w:numId w:val="20"/>
        </w:numPr>
        <w:ind w:left="845" w:leftChars="0" w:hanging="425" w:firstLineChars="0"/>
        <w:rPr>
          <w:rFonts w:hint="default"/>
          <w:color w:val="000000" w:themeColor="text1"/>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“销冠”系统需提供预约维保时间选择查询接口</w:t>
      </w:r>
      <w:r>
        <w:rPr>
          <w:rFonts w:hint="eastAsia"/>
          <w:color w:val="000000" w:themeColor="text1"/>
          <w:lang w:val="en-US" w:eastAsia="zh-CN"/>
          <w14:textFill>
            <w14:solidFill>
              <w14:schemeClr w14:val="tx1"/>
            </w14:solidFill>
          </w14:textFill>
        </w:rPr>
        <w:t>；</w:t>
      </w:r>
    </w:p>
    <w:p w14:paraId="2734A2E0">
      <w:pPr>
        <w:rPr>
          <w:rFonts w:hint="default"/>
          <w:color w:val="000000" w:themeColor="text1"/>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9EB00">
    <w:pPr>
      <w:pStyle w:val="1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25E25">
                          <w:pPr>
                            <w:pStyle w:val="19"/>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325E25">
                    <w:pPr>
                      <w:pStyle w:val="19"/>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DE201"/>
    <w:multiLevelType w:val="multilevel"/>
    <w:tmpl w:val="941DE201"/>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
    <w:nsid w:val="B8EFC6B8"/>
    <w:multiLevelType w:val="multilevel"/>
    <w:tmpl w:val="B8EFC6B8"/>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2">
    <w:nsid w:val="BAA2571A"/>
    <w:multiLevelType w:val="multilevel"/>
    <w:tmpl w:val="BAA2571A"/>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3">
    <w:nsid w:val="BAB8E1E8"/>
    <w:multiLevelType w:val="multilevel"/>
    <w:tmpl w:val="BAB8E1E8"/>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4">
    <w:nsid w:val="BAC2E50A"/>
    <w:multiLevelType w:val="multilevel"/>
    <w:tmpl w:val="BAC2E50A"/>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5">
    <w:nsid w:val="C5F0611E"/>
    <w:multiLevelType w:val="singleLevel"/>
    <w:tmpl w:val="C5F0611E"/>
    <w:lvl w:ilvl="0" w:tentative="0">
      <w:start w:val="1"/>
      <w:numFmt w:val="chineseCounting"/>
      <w:suff w:val="nothing"/>
      <w:lvlText w:val="%1、"/>
      <w:lvlJc w:val="left"/>
      <w:rPr>
        <w:rFonts w:hint="eastAsia"/>
      </w:rPr>
    </w:lvl>
  </w:abstractNum>
  <w:abstractNum w:abstractNumId="6">
    <w:nsid w:val="C8A314B0"/>
    <w:multiLevelType w:val="multilevel"/>
    <w:tmpl w:val="C8A314B0"/>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7">
    <w:nsid w:val="C8C26953"/>
    <w:multiLevelType w:val="multilevel"/>
    <w:tmpl w:val="C8C26953"/>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8">
    <w:nsid w:val="F496A5AE"/>
    <w:multiLevelType w:val="singleLevel"/>
    <w:tmpl w:val="F496A5AE"/>
    <w:lvl w:ilvl="0" w:tentative="0">
      <w:start w:val="1"/>
      <w:numFmt w:val="decimal"/>
      <w:lvlText w:val="%1)"/>
      <w:lvlJc w:val="left"/>
      <w:pPr>
        <w:tabs>
          <w:tab w:val="left" w:pos="420"/>
        </w:tabs>
        <w:ind w:left="845" w:hanging="425"/>
      </w:pPr>
      <w:rPr>
        <w:rFonts w:hint="default"/>
      </w:rPr>
    </w:lvl>
  </w:abstractNum>
  <w:abstractNum w:abstractNumId="9">
    <w:nsid w:val="F5F8490E"/>
    <w:multiLevelType w:val="multilevel"/>
    <w:tmpl w:val="F5F8490E"/>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0">
    <w:nsid w:val="0AB75D9D"/>
    <w:multiLevelType w:val="multilevel"/>
    <w:tmpl w:val="0AB75D9D"/>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1">
    <w:nsid w:val="0CAA3601"/>
    <w:multiLevelType w:val="multilevel"/>
    <w:tmpl w:val="0CAA3601"/>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2">
    <w:nsid w:val="17E79965"/>
    <w:multiLevelType w:val="multilevel"/>
    <w:tmpl w:val="17E79965"/>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3">
    <w:nsid w:val="35AD1A09"/>
    <w:multiLevelType w:val="singleLevel"/>
    <w:tmpl w:val="35AD1A09"/>
    <w:lvl w:ilvl="0" w:tentative="0">
      <w:start w:val="1"/>
      <w:numFmt w:val="bullet"/>
      <w:lvlText w:val=""/>
      <w:lvlJc w:val="left"/>
      <w:pPr>
        <w:ind w:left="420" w:hanging="420"/>
      </w:pPr>
      <w:rPr>
        <w:rFonts w:hint="default" w:ascii="Wingdings" w:hAnsi="Wingdings"/>
      </w:rPr>
    </w:lvl>
  </w:abstractNum>
  <w:abstractNum w:abstractNumId="14">
    <w:nsid w:val="3D50C135"/>
    <w:multiLevelType w:val="multilevel"/>
    <w:tmpl w:val="3D50C135"/>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5">
    <w:nsid w:val="3F9B1D51"/>
    <w:multiLevelType w:val="singleLevel"/>
    <w:tmpl w:val="3F9B1D51"/>
    <w:lvl w:ilvl="0" w:tentative="0">
      <w:start w:val="1"/>
      <w:numFmt w:val="bullet"/>
      <w:lvlText w:val=""/>
      <w:lvlJc w:val="left"/>
      <w:pPr>
        <w:ind w:left="420" w:hanging="420"/>
      </w:pPr>
      <w:rPr>
        <w:rFonts w:hint="default" w:ascii="Wingdings" w:hAnsi="Wingdings"/>
      </w:rPr>
    </w:lvl>
  </w:abstractNum>
  <w:abstractNum w:abstractNumId="16">
    <w:nsid w:val="419238FA"/>
    <w:multiLevelType w:val="multilevel"/>
    <w:tmpl w:val="419238FA"/>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7">
    <w:nsid w:val="6C21385C"/>
    <w:multiLevelType w:val="multilevel"/>
    <w:tmpl w:val="6C21385C"/>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8">
    <w:nsid w:val="70FF4101"/>
    <w:multiLevelType w:val="multilevel"/>
    <w:tmpl w:val="70FF4101"/>
    <w:lvl w:ilvl="0" w:tentative="0">
      <w:start w:val="1"/>
      <w:numFmt w:val="decimal"/>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Letter"/>
      <w:lvlText w:val="%3)"/>
      <w:lvlJc w:val="left"/>
      <w:pPr>
        <w:tabs>
          <w:tab w:val="left" w:pos="1260"/>
        </w:tabs>
        <w:ind w:left="1680" w:leftChars="0" w:hanging="420" w:firstLineChars="0"/>
      </w:pPr>
      <w:rPr>
        <w:rFonts w:hint="default"/>
      </w:rPr>
    </w:lvl>
    <w:lvl w:ilvl="3" w:tentative="0">
      <w:start w:val="1"/>
      <w:numFmt w:val="lowerRoman"/>
      <w:lvlText w:val="%4."/>
      <w:lvlJc w:val="left"/>
      <w:pPr>
        <w:tabs>
          <w:tab w:val="left" w:pos="1680"/>
        </w:tabs>
        <w:ind w:left="2100" w:leftChars="0" w:hanging="420" w:firstLineChars="0"/>
      </w:pPr>
      <w:rPr>
        <w:rFonts w:hint="default"/>
      </w:rPr>
    </w:lvl>
    <w:lvl w:ilvl="4" w:tentative="0">
      <w:start w:val="1"/>
      <w:numFmt w:val="lowerRoman"/>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Letter"/>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19">
    <w:nsid w:val="734E90C9"/>
    <w:multiLevelType w:val="singleLevel"/>
    <w:tmpl w:val="734E90C9"/>
    <w:lvl w:ilvl="0" w:tentative="0">
      <w:start w:val="1"/>
      <w:numFmt w:val="decimal"/>
      <w:lvlText w:val="%1)"/>
      <w:lvlJc w:val="left"/>
      <w:pPr>
        <w:ind w:left="425" w:hanging="425"/>
      </w:pPr>
      <w:rPr>
        <w:rFonts w:hint="default"/>
      </w:rPr>
    </w:lvl>
  </w:abstractNum>
  <w:num w:numId="1">
    <w:abstractNumId w:val="5"/>
  </w:num>
  <w:num w:numId="2">
    <w:abstractNumId w:val="19"/>
  </w:num>
  <w:num w:numId="3">
    <w:abstractNumId w:val="1"/>
  </w:num>
  <w:num w:numId="4">
    <w:abstractNumId w:val="14"/>
  </w:num>
  <w:num w:numId="5">
    <w:abstractNumId w:val="15"/>
  </w:num>
  <w:num w:numId="6">
    <w:abstractNumId w:val="13"/>
  </w:num>
  <w:num w:numId="7">
    <w:abstractNumId w:val="12"/>
  </w:num>
  <w:num w:numId="8">
    <w:abstractNumId w:val="3"/>
  </w:num>
  <w:num w:numId="9">
    <w:abstractNumId w:val="17"/>
  </w:num>
  <w:num w:numId="10">
    <w:abstractNumId w:val="7"/>
  </w:num>
  <w:num w:numId="11">
    <w:abstractNumId w:val="16"/>
  </w:num>
  <w:num w:numId="12">
    <w:abstractNumId w:val="4"/>
  </w:num>
  <w:num w:numId="13">
    <w:abstractNumId w:val="2"/>
  </w:num>
  <w:num w:numId="14">
    <w:abstractNumId w:val="10"/>
  </w:num>
  <w:num w:numId="15">
    <w:abstractNumId w:val="11"/>
  </w:num>
  <w:num w:numId="16">
    <w:abstractNumId w:val="0"/>
  </w:num>
  <w:num w:numId="17">
    <w:abstractNumId w:val="6"/>
  </w:num>
  <w:num w:numId="18">
    <w:abstractNumId w:val="18"/>
  </w:num>
  <w:num w:numId="19">
    <w:abstractNumId w:val="9"/>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570A7"/>
    <w:rsid w:val="016F5358"/>
    <w:rsid w:val="01D60B10"/>
    <w:rsid w:val="02054F52"/>
    <w:rsid w:val="04086A8E"/>
    <w:rsid w:val="050D6BB6"/>
    <w:rsid w:val="05373674"/>
    <w:rsid w:val="054F1023"/>
    <w:rsid w:val="05ED7736"/>
    <w:rsid w:val="071A324D"/>
    <w:rsid w:val="090600C7"/>
    <w:rsid w:val="09145778"/>
    <w:rsid w:val="0B1D3AD1"/>
    <w:rsid w:val="0B5A1D03"/>
    <w:rsid w:val="0B5E5195"/>
    <w:rsid w:val="0BAA3528"/>
    <w:rsid w:val="0BFC1173"/>
    <w:rsid w:val="0C8D3D82"/>
    <w:rsid w:val="0EC14753"/>
    <w:rsid w:val="0EDD528C"/>
    <w:rsid w:val="0FEC4A97"/>
    <w:rsid w:val="100F5919"/>
    <w:rsid w:val="105B6582"/>
    <w:rsid w:val="108E477D"/>
    <w:rsid w:val="11D0732A"/>
    <w:rsid w:val="11F56D91"/>
    <w:rsid w:val="12937E5A"/>
    <w:rsid w:val="12FE7EC7"/>
    <w:rsid w:val="132F7591"/>
    <w:rsid w:val="13F94DB6"/>
    <w:rsid w:val="14AF1E8A"/>
    <w:rsid w:val="159C7BBB"/>
    <w:rsid w:val="16DB0C82"/>
    <w:rsid w:val="172F4AF3"/>
    <w:rsid w:val="17D66F8B"/>
    <w:rsid w:val="18F240FD"/>
    <w:rsid w:val="19AF5A77"/>
    <w:rsid w:val="1A763F28"/>
    <w:rsid w:val="1D0B7E1B"/>
    <w:rsid w:val="1D497B34"/>
    <w:rsid w:val="1DA60D9C"/>
    <w:rsid w:val="1DBB3E80"/>
    <w:rsid w:val="1DC91B5F"/>
    <w:rsid w:val="1E51534F"/>
    <w:rsid w:val="208804C6"/>
    <w:rsid w:val="20BC4BB0"/>
    <w:rsid w:val="20D8751B"/>
    <w:rsid w:val="2114110C"/>
    <w:rsid w:val="227B5090"/>
    <w:rsid w:val="235276C2"/>
    <w:rsid w:val="238735C1"/>
    <w:rsid w:val="246C1EEC"/>
    <w:rsid w:val="248117F4"/>
    <w:rsid w:val="249661B1"/>
    <w:rsid w:val="24FA6F08"/>
    <w:rsid w:val="271F59E2"/>
    <w:rsid w:val="286F3C72"/>
    <w:rsid w:val="28FE197B"/>
    <w:rsid w:val="2B91322F"/>
    <w:rsid w:val="2BF0264B"/>
    <w:rsid w:val="2CAC2D4E"/>
    <w:rsid w:val="2D572256"/>
    <w:rsid w:val="2D7E360C"/>
    <w:rsid w:val="2F861B25"/>
    <w:rsid w:val="305F7D9F"/>
    <w:rsid w:val="30937A49"/>
    <w:rsid w:val="30A20B8D"/>
    <w:rsid w:val="30B70372"/>
    <w:rsid w:val="30D431E5"/>
    <w:rsid w:val="31A84608"/>
    <w:rsid w:val="31BE00D2"/>
    <w:rsid w:val="31D31950"/>
    <w:rsid w:val="32033647"/>
    <w:rsid w:val="32447E26"/>
    <w:rsid w:val="32DF0A3B"/>
    <w:rsid w:val="332D7CE1"/>
    <w:rsid w:val="335C4122"/>
    <w:rsid w:val="340D0F35"/>
    <w:rsid w:val="34572DAB"/>
    <w:rsid w:val="35AA4822"/>
    <w:rsid w:val="35B53FBD"/>
    <w:rsid w:val="37E666C5"/>
    <w:rsid w:val="38384DCF"/>
    <w:rsid w:val="387E2D8D"/>
    <w:rsid w:val="390978EC"/>
    <w:rsid w:val="397D1296"/>
    <w:rsid w:val="39BA6046"/>
    <w:rsid w:val="3A6A4190"/>
    <w:rsid w:val="3B8049D5"/>
    <w:rsid w:val="3B941B54"/>
    <w:rsid w:val="3BCE402B"/>
    <w:rsid w:val="3CE54262"/>
    <w:rsid w:val="3D5E4F3B"/>
    <w:rsid w:val="3F632CDC"/>
    <w:rsid w:val="3F6E0AED"/>
    <w:rsid w:val="3FC96FE3"/>
    <w:rsid w:val="41A53138"/>
    <w:rsid w:val="41EE0932"/>
    <w:rsid w:val="424A5838"/>
    <w:rsid w:val="42547BFA"/>
    <w:rsid w:val="43455087"/>
    <w:rsid w:val="439D67BD"/>
    <w:rsid w:val="441652D8"/>
    <w:rsid w:val="442073EE"/>
    <w:rsid w:val="45F67E46"/>
    <w:rsid w:val="464C44CA"/>
    <w:rsid w:val="470753B7"/>
    <w:rsid w:val="471823D7"/>
    <w:rsid w:val="47352512"/>
    <w:rsid w:val="48DF58CD"/>
    <w:rsid w:val="49826F6E"/>
    <w:rsid w:val="4A2D63C1"/>
    <w:rsid w:val="4AC977C9"/>
    <w:rsid w:val="4B0610EB"/>
    <w:rsid w:val="4B493D58"/>
    <w:rsid w:val="4BCC7FA1"/>
    <w:rsid w:val="4C650094"/>
    <w:rsid w:val="4DB7491F"/>
    <w:rsid w:val="4DBA61BD"/>
    <w:rsid w:val="4DC316F5"/>
    <w:rsid w:val="4E141DE4"/>
    <w:rsid w:val="4E516B22"/>
    <w:rsid w:val="4F3F460C"/>
    <w:rsid w:val="4F5F2B3F"/>
    <w:rsid w:val="506B5B0D"/>
    <w:rsid w:val="50F508D5"/>
    <w:rsid w:val="51A11136"/>
    <w:rsid w:val="51D27F79"/>
    <w:rsid w:val="52B02227"/>
    <w:rsid w:val="55823A64"/>
    <w:rsid w:val="56186810"/>
    <w:rsid w:val="5623109C"/>
    <w:rsid w:val="566D64C3"/>
    <w:rsid w:val="56740BBE"/>
    <w:rsid w:val="56E60023"/>
    <w:rsid w:val="574A05B2"/>
    <w:rsid w:val="57A04676"/>
    <w:rsid w:val="583733A3"/>
    <w:rsid w:val="594B4CEA"/>
    <w:rsid w:val="59525DE4"/>
    <w:rsid w:val="5A8C0EE1"/>
    <w:rsid w:val="5AAD3DCC"/>
    <w:rsid w:val="5B392E17"/>
    <w:rsid w:val="5BD651E9"/>
    <w:rsid w:val="5C344370"/>
    <w:rsid w:val="5C3472CF"/>
    <w:rsid w:val="5C7B120D"/>
    <w:rsid w:val="5CF461B9"/>
    <w:rsid w:val="5D170F36"/>
    <w:rsid w:val="5E2A4C99"/>
    <w:rsid w:val="5E494B98"/>
    <w:rsid w:val="5F082B39"/>
    <w:rsid w:val="5F917190"/>
    <w:rsid w:val="5FDF34F2"/>
    <w:rsid w:val="5FE515B3"/>
    <w:rsid w:val="60C36725"/>
    <w:rsid w:val="61C80B8E"/>
    <w:rsid w:val="62DA3573"/>
    <w:rsid w:val="62FA5930"/>
    <w:rsid w:val="63D062E3"/>
    <w:rsid w:val="642D42CB"/>
    <w:rsid w:val="64305668"/>
    <w:rsid w:val="64C04FCC"/>
    <w:rsid w:val="64FB0E6B"/>
    <w:rsid w:val="65436640"/>
    <w:rsid w:val="65BC3AFC"/>
    <w:rsid w:val="661C41DE"/>
    <w:rsid w:val="66D94689"/>
    <w:rsid w:val="686A2E41"/>
    <w:rsid w:val="695406E3"/>
    <w:rsid w:val="6AE34B4E"/>
    <w:rsid w:val="6B7C3E39"/>
    <w:rsid w:val="6B9D48E7"/>
    <w:rsid w:val="6C117498"/>
    <w:rsid w:val="6C7B0655"/>
    <w:rsid w:val="6CF070AE"/>
    <w:rsid w:val="6D967C55"/>
    <w:rsid w:val="6DD63960"/>
    <w:rsid w:val="6E4E0530"/>
    <w:rsid w:val="6F203C99"/>
    <w:rsid w:val="6F417253"/>
    <w:rsid w:val="6FBB727C"/>
    <w:rsid w:val="7040659E"/>
    <w:rsid w:val="739369E5"/>
    <w:rsid w:val="74882EA6"/>
    <w:rsid w:val="749B0FCA"/>
    <w:rsid w:val="7510653F"/>
    <w:rsid w:val="767E1BCE"/>
    <w:rsid w:val="76EC4D8A"/>
    <w:rsid w:val="78714D82"/>
    <w:rsid w:val="79730641"/>
    <w:rsid w:val="79AC25AE"/>
    <w:rsid w:val="7A1E081D"/>
    <w:rsid w:val="7AB53293"/>
    <w:rsid w:val="7AFA3CE4"/>
    <w:rsid w:val="7B1D101E"/>
    <w:rsid w:val="7CB77BE8"/>
    <w:rsid w:val="7D256900"/>
    <w:rsid w:val="7D9D0B8C"/>
    <w:rsid w:val="7DB0572E"/>
    <w:rsid w:val="7DC03D51"/>
    <w:rsid w:val="7F2C1398"/>
    <w:rsid w:val="7FA93E86"/>
    <w:rsid w:val="7FFD3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link w:val="4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rFonts w:cs="宋体" w:asciiTheme="minorAscii" w:hAnsiTheme="minorAscii" w:eastAsiaTheme="minorEastAsia"/>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qFormat/>
    <w:uiPriority w:val="0"/>
    <w:pPr>
      <w:tabs>
        <w:tab w:val="center" w:pos="4153"/>
        <w:tab w:val="right" w:pos="8306"/>
      </w:tabs>
      <w:ind w:firstLine="0" w:firstLineChars="0"/>
      <w:jc w:val="left"/>
    </w:pPr>
    <w:rPr>
      <w:sz w:val="18"/>
      <w:szCs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rFonts w:asciiTheme="minorAscii" w:hAnsiTheme="minorAscii" w:eastAsiaTheme="minorEastAsia"/>
      <w:b/>
    </w:rPr>
  </w:style>
  <w:style w:type="character" w:styleId="34">
    <w:name w:val="end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9">
    <w:name w:val="annotation reference"/>
    <w:basedOn w:val="32"/>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customStyle="1" w:styleId="41">
    <w:name w:val="标题 1 Char"/>
    <w:link w:val="2"/>
    <w:qFormat/>
    <w:uiPriority w:val="0"/>
    <w:rPr>
      <w:b/>
      <w:bCs/>
      <w:kern w:val="44"/>
      <w:sz w:val="36"/>
      <w:szCs w:val="36"/>
    </w:rPr>
  </w:style>
  <w:style w:type="paragraph" w:customStyle="1" w:styleId="42">
    <w:name w:val="WPSOffice手动目录 1"/>
    <w:qFormat/>
    <w:uiPriority w:val="0"/>
    <w:pPr>
      <w:ind w:leftChars="0"/>
    </w:pPr>
    <w:rPr>
      <w:rFonts w:ascii="Times New Roman" w:hAnsi="Times New Roman" w:eastAsia="宋体" w:cs="Times New Roman"/>
      <w:sz w:val="20"/>
      <w:szCs w:val="20"/>
    </w:rPr>
  </w:style>
  <w:style w:type="paragraph" w:customStyle="1" w:styleId="43">
    <w:name w:val="WPSOffice手动目录 2"/>
    <w:uiPriority w:val="0"/>
    <w:pPr>
      <w:ind w:leftChars="200"/>
    </w:pPr>
    <w:rPr>
      <w:rFonts w:ascii="Times New Roman" w:hAnsi="Times New Roman" w:eastAsia="宋体" w:cs="Times New Roman"/>
      <w:sz w:val="20"/>
      <w:szCs w:val="20"/>
    </w:rPr>
  </w:style>
  <w:style w:type="paragraph" w:customStyle="1" w:styleId="4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emf"/><Relationship Id="rId33" Type="http://schemas.openxmlformats.org/officeDocument/2006/relationships/oleObject" Target="embeddings/oleObject6.bin"/><Relationship Id="rId32" Type="http://schemas.openxmlformats.org/officeDocument/2006/relationships/image" Target="media/image21.png"/><Relationship Id="rId31" Type="http://schemas.openxmlformats.org/officeDocument/2006/relationships/image" Target="media/image20.emf"/><Relationship Id="rId30" Type="http://schemas.openxmlformats.org/officeDocument/2006/relationships/oleObject" Target="embeddings/oleObject5.bin"/><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oleObject" Target="embeddings/oleObject4.bin"/><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emf"/><Relationship Id="rId15" Type="http://schemas.openxmlformats.org/officeDocument/2006/relationships/oleObject" Target="embeddings/oleObject3.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4474</Words>
  <Characters>4734</Characters>
  <Lines>0</Lines>
  <Paragraphs>0</Paragraphs>
  <TotalTime>0</TotalTime>
  <ScaleCrop>false</ScaleCrop>
  <LinksUpToDate>false</LinksUpToDate>
  <CharactersWithSpaces>4770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2025-11-04T01:18:00Z</dcterms:created>
  <dc:creator>wx</dc:creator>
  <cp:lastModifiedBy>Z</cp:lastModifiedBy>
  <dcterms:modified xsi:type="dcterms:W3CDTF">2026-01-25T06:17:41Z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eyJoZGlkIjoiZTIxM2QyMjdlZjMxODZkMWY4MGQxZTAzYThhOWQxNDQiLCJ1c2VySWQiOiI3NzI0NjcwMzQifQ==</vt:lpwstr>
  </property>
  <property fmtid="{D5CDD505-2E9C-101B-9397-08002B2CF9AE}" pid="4" name="ICV">
    <vt:lpwstr>1F646C51EB234343B0B281791D834413_12</vt:lpwstr>
  </property>
</Properties>
</file>