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right"/>
      </w:pPr>
      <w:r>
        <w:rPr>
          <w:b/>
          <w:color w:val="15803D"/>
          <w:sz w:val="22"/>
        </w:rPr>
        <w:t xml:space="preserve">Ingenieurbüro Fischer</w:t>
      </w:r>
    </w:p>
    <w:p>
      <w:pPr>
        <w:spacing w:after="0"/>
        <w:jc w:val="right"/>
      </w:pPr>
      <w:r>
        <w:rPr>
          <w:color w:val="666666"/>
          <w:sz w:val="18"/>
        </w:rPr>
        <w:t xml:space="preserve">Vermessung · Kanalplanung · Bauüberwachung</w:t>
      </w:r>
    </w:p>
    <w:p>
      <w:pPr>
        <w:spacing w:after="360"/>
        <w:jc w:val="right"/>
      </w:pPr>
      <w:r>
        <w:rPr>
          <w:color w:val="666666"/>
          <w:sz w:val="18"/>
        </w:rPr>
        <w:t xml:space="preserve">Am Weinberg 3 · 34277 Fuldabrück</w:t>
      </w:r>
    </w:p>
    <w:p>
      <w:pPr>
        <w:spacing w:after="0"/>
      </w:pPr>
      <w:r>
        <w:rPr/>
        <w:t xml:space="preserve">Gemeinde Fuldabrück</w:t>
      </w:r>
    </w:p>
    <w:p>
      <w:pPr>
        <w:spacing w:after="0"/>
      </w:pPr>
      <w:r>
        <w:rPr/>
        <w:t xml:space="preserve">Bauamt, Frau Krüger</w:t>
      </w:r>
    </w:p>
    <w:p>
      <w:pPr>
        <w:spacing w:after="0"/>
      </w:pPr>
      <w:r>
        <w:rPr/>
        <w:t xml:space="preserve">Lindenstraße 1</w:t>
      </w:r>
    </w:p>
    <w:p>
      <w:pPr>
        <w:spacing w:after="360"/>
      </w:pPr>
      <w:r>
        <w:rPr/>
        <w:t xml:space="preserve">34277 Fuldabrück</w:t>
      </w:r>
    </w:p>
    <w:p>
      <w:pPr>
        <w:jc w:val="right"/>
      </w:pPr>
      <w:r>
        <w:rPr>
          <w:color w:val="666666"/>
        </w:rPr>
        <w:t xml:space="preserve">Fuldabrück, 13. Oktober 2026</w:t>
      </w:r>
    </w:p>
    <w:p>
      <w:pPr>
        <w:pStyle w:val="Title"/>
      </w:pPr>
      <w:r>
        <w:rPr/>
        <w:t xml:space="preserve">Angebot Nr. 2026-117</w:t>
      </w:r>
    </w:p>
    <w:p>
      <w:pPr>
        <w:pStyle w:val="Heading1"/>
      </w:pPr>
      <w:r>
        <w:rPr/>
        <w:t xml:space="preserve">Kanalsanierung Lindenstraße, Bauabschnitt 2</w:t>
      </w:r>
    </w:p>
    <w:p>
      <w:pPr/>
      <w:r>
        <w:rPr/>
        <w:t xml:space="preserve">Sehr geehrte Frau Krüger,</w:t>
      </w:r>
    </w:p>
    <w:p>
      <w:pPr/>
      <w:r>
        <w:rPr/>
        <w:t xml:space="preserve">vielen Dank für Ihre Anfrage vom 2. Oktober. Gerne bieten wir Ihnen die Vermessung, Planung und Bauüberwachung für die Inliner-Sanierung im Bauabschnitt 2 an. Grundlage sind die TV-Befahrung vom September und der Lageplan Lindenstraße 14.</w:t>
      </w:r>
    </w:p>
    <w:p>
      <w:pPr>
        <w:pStyle w:val="Heading2"/>
      </w:pPr>
      <w:r>
        <w:rPr/>
        <w:t xml:space="preserve">Leistungsumfang</w:t>
      </w:r>
    </w:p>
    <w:p>
      <w:pPr>
        <w:numPr>
          <w:ilvl w:val="0"/>
          <w:numId w:val="1"/>
        </w:numPr>
      </w:pPr>
      <w:r>
        <w:rPr/>
        <w:t xml:space="preserve">Bestandsvermessung aller Haltungen und Schächte im Bauabschnitt</w:t>
      </w:r>
    </w:p>
    <w:p>
      <w:pPr>
        <w:numPr>
          <w:ilvl w:val="0"/>
          <w:numId w:val="1"/>
        </w:numPr>
      </w:pPr>
      <w:r>
        <w:rPr/>
        <w:t xml:space="preserve">Lageplan mit Höhen im amtlichen Lagesystem ETRS89 / UTM 32N</w:t>
      </w:r>
    </w:p>
    <w:p>
      <w:pPr>
        <w:numPr>
          <w:ilvl w:val="0"/>
          <w:numId w:val="1"/>
        </w:numPr>
      </w:pPr>
      <w:r>
        <w:rPr/>
        <w:t xml:space="preserve">Planung der Inliner-Sanierung einschließlich Massenermittlung</w:t>
      </w:r>
    </w:p>
    <w:p>
      <w:pPr>
        <w:numPr>
          <w:ilvl w:val="0"/>
          <w:numId w:val="1"/>
        </w:numPr>
      </w:pPr>
      <w:r>
        <w:rPr/>
        <w:t xml:space="preserve">Bauüberwachung und Abnahme mit Abschlussbefahrung</w:t>
      </w:r>
    </w:p>
    <w:p>
      <w:pPr>
        <w:pStyle w:val="Heading2"/>
      </w:pPr>
      <w:r>
        <w:rPr/>
        <w:t xml:space="preserve">Preise</w:t>
      </w:r>
    </w:p>
    <w:tbl>
      <w:tblPr>
        <w:tblStyle w:val="TableGrid"/>
        <w:tblW w:w="9300" w:type="dxa"/>
        <w:tblBorders>
          <w:top w:val="single" w:sz="4" w:color="BFBFBF"/>
          <w:bottom w:val="single" w:sz="4" w:color="BFBFBF"/>
          <w:insideH w:val="single" w:sz="4" w:color="D9D9D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4300"/>
        <w:gridCol w:w="900"/>
        <w:gridCol w:w="800"/>
        <w:gridCol w:w="1300"/>
        <w:gridCol w:w="1400"/>
      </w:tblGrid>
      <w:tr>
        <w:tc>
          <w:tcPr>
            <w:tcW w:w="600" w:type="dxa"/>
            <w:shd w:val="clear" w:color="auto" w:fill="EEF6F0"/>
          </w:tcPr>
          <w:p>
            <w:pPr>
              <w:spacing w:after="0"/>
            </w:pPr>
            <w:r>
              <w:rPr>
                <w:b/>
              </w:rPr>
              <w:t xml:space="preserve">Pos.</w:t>
            </w:r>
          </w:p>
        </w:tc>
        <w:tc>
          <w:tcPr>
            <w:tcW w:w="4300" w:type="dxa"/>
            <w:shd w:val="clear" w:color="auto" w:fill="EEF6F0"/>
          </w:tcPr>
          <w:p>
            <w:pPr>
              <w:spacing w:after="0"/>
            </w:pPr>
            <w:r>
              <w:rPr>
                <w:b/>
              </w:rPr>
              <w:t xml:space="preserve">Leistung</w:t>
            </w:r>
          </w:p>
        </w:tc>
        <w:tc>
          <w:tcPr>
            <w:tcW w:w="900" w:type="dxa"/>
            <w:shd w:val="clear" w:color="auto" w:fill="EEF6F0"/>
          </w:tcPr>
          <w:p>
            <w:pPr>
              <w:spacing w:after="0"/>
            </w:pPr>
            <w:r>
              <w:rPr>
                <w:b/>
              </w:rPr>
              <w:t xml:space="preserve">Menge</w:t>
            </w:r>
          </w:p>
        </w:tc>
        <w:tc>
          <w:tcPr>
            <w:tcW w:w="800" w:type="dxa"/>
            <w:shd w:val="clear" w:color="auto" w:fill="EEF6F0"/>
          </w:tcPr>
          <w:p>
            <w:pPr>
              <w:spacing w:after="0"/>
            </w:pPr>
            <w:r>
              <w:rPr>
                <w:b/>
              </w:rPr>
              <w:t xml:space="preserve">Einheit</w:t>
            </w:r>
          </w:p>
        </w:tc>
        <w:tc>
          <w:tcPr>
            <w:tcW w:w="1300" w:type="dxa"/>
            <w:shd w:val="clear" w:color="auto" w:fill="EEF6F0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Einzelpreis €</w:t>
            </w:r>
          </w:p>
        </w:tc>
        <w:tc>
          <w:tcPr>
            <w:tcW w:w="1400" w:type="dxa"/>
            <w:shd w:val="clear" w:color="auto" w:fill="EEF6F0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Gesamt €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/>
              <w:t xml:space="preserve">1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rPr/>
              <w:t xml:space="preserve">Bestandsvermessung Haltungen S1–S8 inkl. Schachtaufnahme</w:t>
            </w:r>
          </w:p>
        </w:tc>
        <w:tc>
          <w:tcPr>
            <w:tcW w:w="900" w:type="dxa"/>
          </w:tcPr>
          <w:p>
            <w:pPr>
              <w:spacing w:after="0"/>
              <w:jc w:val="right"/>
            </w:pPr>
            <w:r>
              <w:rPr/>
              <w:t xml:space="preserve">8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/>
              <w:t xml:space="preserve">Stk</w:t>
            </w:r>
          </w:p>
        </w:tc>
        <w:tc>
          <w:tcPr>
            <w:tcW w:w="1300" w:type="dxa"/>
          </w:tcPr>
          <w:p>
            <w:pPr>
              <w:spacing w:after="0"/>
              <w:jc w:val="right"/>
            </w:pPr>
            <w:r>
              <w:rPr/>
              <w:t xml:space="preserve">185,00</w:t>
            </w:r>
          </w:p>
        </w:tc>
        <w:tc>
          <w:tcPr>
            <w:tcW w:w="1400" w:type="dxa"/>
          </w:tcPr>
          <w:p>
            <w:pPr>
              <w:spacing w:after="0"/>
              <w:jc w:val="right"/>
            </w:pPr>
            <w:r>
              <w:rPr/>
              <w:t xml:space="preserve">1.480,00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/>
              <w:t xml:space="preserve">2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rPr/>
              <w:t xml:space="preserve">Lageplan 1:250 mit Höhen, DXF und PDF</w:t>
            </w:r>
          </w:p>
        </w:tc>
        <w:tc>
          <w:tcPr>
            <w:tcW w:w="900" w:type="dxa"/>
          </w:tcPr>
          <w:p>
            <w:pPr>
              <w:spacing w:after="0"/>
              <w:jc w:val="right"/>
            </w:pPr>
            <w:r>
              <w:rPr/>
              <w:t xml:space="preserve">1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/>
              <w:t xml:space="preserve">psch</w:t>
            </w:r>
          </w:p>
        </w:tc>
        <w:tc>
          <w:tcPr>
            <w:tcW w:w="1300" w:type="dxa"/>
          </w:tcPr>
          <w:p>
            <w:pPr>
              <w:spacing w:after="0"/>
              <w:jc w:val="right"/>
            </w:pPr>
            <w:r>
              <w:rPr/>
              <w:t xml:space="preserve">1.240,00</w:t>
            </w:r>
          </w:p>
        </w:tc>
        <w:tc>
          <w:tcPr>
            <w:tcW w:w="1400" w:type="dxa"/>
          </w:tcPr>
          <w:p>
            <w:pPr>
              <w:spacing w:after="0"/>
              <w:jc w:val="right"/>
            </w:pPr>
            <w:r>
              <w:rPr/>
              <w:t xml:space="preserve">1.240,00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/>
              <w:t xml:space="preserve">3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rPr/>
              <w:t xml:space="preserve">Kanalplanung Inliner BA 2, Leistungsphasen 1–4</w:t>
            </w:r>
          </w:p>
        </w:tc>
        <w:tc>
          <w:tcPr>
            <w:tcW w:w="900" w:type="dxa"/>
          </w:tcPr>
          <w:p>
            <w:pPr>
              <w:spacing w:after="0"/>
              <w:jc w:val="right"/>
            </w:pPr>
            <w:r>
              <w:rPr/>
              <w:t xml:space="preserve">1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/>
              <w:t xml:space="preserve">psch</w:t>
            </w:r>
          </w:p>
        </w:tc>
        <w:tc>
          <w:tcPr>
            <w:tcW w:w="1300" w:type="dxa"/>
          </w:tcPr>
          <w:p>
            <w:pPr>
              <w:spacing w:after="0"/>
              <w:jc w:val="right"/>
            </w:pPr>
            <w:r>
              <w:rPr/>
              <w:t xml:space="preserve">6.850,00</w:t>
            </w:r>
          </w:p>
        </w:tc>
        <w:tc>
          <w:tcPr>
            <w:tcW w:w="1400" w:type="dxa"/>
          </w:tcPr>
          <w:p>
            <w:pPr>
              <w:spacing w:after="0"/>
              <w:jc w:val="right"/>
            </w:pPr>
            <w:r>
              <w:rPr/>
              <w:t xml:space="preserve">6.850,00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/>
              <w:t xml:space="preserve">4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rPr/>
              <w:t xml:space="preserve">Bauüberwachung, je Bauwoche</w:t>
            </w:r>
          </w:p>
        </w:tc>
        <w:tc>
          <w:tcPr>
            <w:tcW w:w="900" w:type="dxa"/>
          </w:tcPr>
          <w:p>
            <w:pPr>
              <w:spacing w:after="0"/>
              <w:jc w:val="right"/>
            </w:pPr>
            <w:r>
              <w:rPr/>
              <w:t xml:space="preserve">6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/>
              <w:t xml:space="preserve">Wo</w:t>
            </w:r>
          </w:p>
        </w:tc>
        <w:tc>
          <w:tcPr>
            <w:tcW w:w="1300" w:type="dxa"/>
          </w:tcPr>
          <w:p>
            <w:pPr>
              <w:spacing w:after="0"/>
              <w:jc w:val="right"/>
            </w:pPr>
            <w:r>
              <w:rPr/>
              <w:t xml:space="preserve">920,00</w:t>
            </w:r>
          </w:p>
        </w:tc>
        <w:tc>
          <w:tcPr>
            <w:tcW w:w="1400" w:type="dxa"/>
          </w:tcPr>
          <w:p>
            <w:pPr>
              <w:spacing w:after="0"/>
              <w:jc w:val="right"/>
            </w:pPr>
            <w:r>
              <w:rPr/>
              <w:t xml:space="preserve">5.520,00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>
                <w:b/>
              </w:rPr>
              <w:t xml:space="preserve"/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rPr>
                <w:b/>
              </w:rPr>
              <w:t xml:space="preserve">Summe netto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b/>
              </w:rPr>
              <w:t xml:space="preserve"/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b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15.090,00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rPr/>
              <w:t xml:space="preserve"/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rPr/>
              <w:t xml:space="preserve">zzgl. 19 % MwSt.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/>
              <w:t xml:space="preserve"/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/>
              <w:t xml:space="preserve"/>
            </w:r>
          </w:p>
        </w:tc>
        <w:tc>
          <w:tcPr>
            <w:tcW w:w="1300" w:type="dxa"/>
          </w:tcPr>
          <w:p>
            <w:pPr>
              <w:spacing w:after="0"/>
              <w:jc w:val="right"/>
            </w:pPr>
            <w:r>
              <w:rPr/>
              <w:t xml:space="preserve"/>
            </w:r>
          </w:p>
        </w:tc>
        <w:tc>
          <w:tcPr>
            <w:tcW w:w="1400" w:type="dxa"/>
          </w:tcPr>
          <w:p>
            <w:pPr>
              <w:spacing w:after="0"/>
              <w:jc w:val="right"/>
            </w:pPr>
            <w:r>
              <w:rPr/>
              <w:t xml:space="preserve">2.867,10</w:t>
            </w:r>
          </w:p>
        </w:tc>
      </w:tr>
      <w:tr>
        <w:tc>
          <w:tcPr>
            <w:tcW w:w="600" w:type="dxa"/>
            <w:shd w:val="clear" w:color="auto" w:fill="EEF6F0"/>
          </w:tcPr>
          <w:p>
            <w:pPr>
              <w:spacing w:after="0"/>
            </w:pPr>
            <w:r>
              <w:rPr>
                <w:b/>
              </w:rPr>
              <w:t xml:space="preserve"/>
            </w:r>
          </w:p>
        </w:tc>
        <w:tc>
          <w:tcPr>
            <w:tcW w:w="4300" w:type="dxa"/>
            <w:shd w:val="clear" w:color="auto" w:fill="EEF6F0"/>
          </w:tcPr>
          <w:p>
            <w:pPr>
              <w:spacing w:after="0"/>
            </w:pPr>
            <w:r>
              <w:rPr>
                <w:b/>
              </w:rPr>
              <w:t xml:space="preserve">Angebotssumme brutto</w:t>
            </w:r>
          </w:p>
        </w:tc>
        <w:tc>
          <w:tcPr>
            <w:tcW w:w="900" w:type="dxa"/>
            <w:shd w:val="clear" w:color="auto" w:fill="EEF6F0"/>
          </w:tcPr>
          <w:p>
            <w:pPr>
              <w:spacing w:after="0"/>
            </w:pPr>
            <w:r>
              <w:rPr>
                <w:b/>
              </w:rPr>
              <w:t xml:space="preserve"/>
            </w:r>
          </w:p>
        </w:tc>
        <w:tc>
          <w:tcPr>
            <w:tcW w:w="800" w:type="dxa"/>
            <w:shd w:val="clear" w:color="auto" w:fill="EEF6F0"/>
          </w:tcPr>
          <w:p>
            <w:pPr>
              <w:spacing w:after="0"/>
            </w:pPr>
            <w:r>
              <w:rPr>
                <w:b/>
              </w:rPr>
              <w:t xml:space="preserve"/>
            </w:r>
          </w:p>
        </w:tc>
        <w:tc>
          <w:tcPr>
            <w:tcW w:w="1300" w:type="dxa"/>
            <w:shd w:val="clear" w:color="auto" w:fill="EEF6F0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/>
            </w:r>
          </w:p>
        </w:tc>
        <w:tc>
          <w:tcPr>
            <w:tcW w:w="1400" w:type="dxa"/>
            <w:shd w:val="clear" w:color="auto" w:fill="EEF6F0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17.957,10</w:t>
            </w:r>
          </w:p>
        </w:tc>
      </w:tr>
    </w:tbl>
    <w:p>
      <w:pPr>
        <w:pStyle w:val="Heading2"/>
      </w:pPr>
      <w:r>
        <w:rPr/>
        <w:t xml:space="preserve">Termine</w:t>
      </w:r>
    </w:p>
    <w:p>
      <w:pPr/>
      <w:r>
        <w:rPr/>
        <w:t xml:space="preserve">Die Vermessung kann in KW 44 erfolgen. Die Planung liegt drei Wochen nach Auftrag vor, sodass die Ausschreibung noch vor dem Jahreswechsel veröffentlicht werden kann.</w:t>
      </w:r>
    </w:p>
    <w:p>
      <w:pPr/>
      <w:r>
        <w:rPr/>
        <w:t xml:space="preserve">Das Angebot gilt bis zum 30. November 2026. Für Rückfragen erreichen Sie mich unter 0561 514 002.</w:t>
      </w:r>
    </w:p>
    <w:p>
      <w:pPr>
        <w:spacing w:after="480"/>
      </w:pPr>
      <w:r>
        <w:rPr/>
        <w:t xml:space="preserve">Mit freundlichen Grüßen</w:t>
      </w:r>
    </w:p>
    <w:p>
      <w:pPr>
        <w:spacing w:after="0"/>
      </w:pPr>
      <w:r>
        <w:rPr>
          <w:b/>
        </w:rPr>
        <w:t xml:space="preserve">Florian Fischer</w:t>
      </w:r>
    </w:p>
    <w:p>
      <w:pPr/>
      <w:r>
        <w:rPr>
          <w:color w:val="666666"/>
        </w:rPr>
        <w:t xml:space="preserve">Dipl.-Ing. Vermessung</w:t>
      </w:r>
    </w:p>
    <w:sectPr>
      <w:pgSz w:w="11906" w:h="16838"/>
      <w:pgMar w:top="1300" w:right="1300" w:bottom="1300" w:left="130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lang w:val="de-DE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60"/>
    </w:pPr>
    <w:rPr>
      <w:b/>
      <w:color w:val="111111"/>
      <w:sz w:val="40"/>
    </w:rPr>
  </w:style>
  <w:style w:type="paragraph" w:styleId="Heading1">
    <w:name w:val="heading 1"/>
    <w:basedOn w:val="Normal"/>
    <w:pPr>
      <w:keepNext/>
      <w:spacing w:after="240"/>
      <w:outlineLvl w:val="0"/>
    </w:pPr>
    <w:rPr>
      <w:color w:val="15803D"/>
      <w:sz w:val="28"/>
    </w:rPr>
  </w:style>
  <w:style w:type="paragraph" w:styleId="Heading2">
    <w:name w:val="heading 2"/>
    <w:basedOn w:val="Normal"/>
    <w:pPr>
      <w:keepNext/>
      <w:spacing w:before="280" w:after="100"/>
      <w:outlineLvl w:val="1"/>
    </w:pPr>
    <w:rPr>
      <w:b/>
      <w:sz w:val="24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Angebot 2026-117</dc:title>
  <dc:creator>Florian Fischer</dc:creator>
  <dcterms:modified xsi:type="dcterms:W3CDTF">2026-10-13T09:12:00Z</dcterms:modified>
</cp:coreProperties>
</file>