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6D960" w14:textId="77777777" w:rsidR="00351438" w:rsidRDefault="00351438" w:rsidP="00351438">
      <w:pPr>
        <w:jc w:val="center"/>
        <w:rPr>
          <w:b/>
          <w:sz w:val="28"/>
          <w:szCs w:val="28"/>
          <w:u w:val="single"/>
          <w:lang w:val="en-US"/>
        </w:rPr>
      </w:pPr>
      <w:r>
        <w:rPr>
          <w:b/>
          <w:sz w:val="28"/>
          <w:szCs w:val="28"/>
          <w:u w:val="single"/>
          <w:lang w:val="en-US"/>
        </w:rPr>
        <w:t>NBB 85-</w:t>
      </w:r>
      <w:r w:rsidR="00F63DC9">
        <w:rPr>
          <w:b/>
          <w:sz w:val="28"/>
          <w:szCs w:val="28"/>
          <w:u w:val="single"/>
          <w:lang w:val="en-US"/>
        </w:rPr>
        <w:t>14</w:t>
      </w:r>
      <w:r>
        <w:rPr>
          <w:b/>
          <w:sz w:val="28"/>
          <w:szCs w:val="28"/>
          <w:u w:val="single"/>
          <w:lang w:val="en-US"/>
        </w:rPr>
        <w:t>: Manual</w:t>
      </w:r>
    </w:p>
    <w:p w14:paraId="4BBE1323" w14:textId="77777777" w:rsidR="00646CEC" w:rsidRPr="00646CEC" w:rsidRDefault="00646CEC" w:rsidP="00646CEC">
      <w:pPr>
        <w:rPr>
          <w:lang w:val="en-US"/>
        </w:rPr>
      </w:pPr>
    </w:p>
    <w:p w14:paraId="55F108B2" w14:textId="77777777" w:rsidR="004F3A6C" w:rsidRDefault="004F3A6C" w:rsidP="004F3A6C">
      <w:pPr>
        <w:pStyle w:val="Heading2"/>
        <w:numPr>
          <w:ilvl w:val="0"/>
          <w:numId w:val="1"/>
        </w:numPr>
        <w:rPr>
          <w:lang w:val="en-US"/>
        </w:rPr>
      </w:pPr>
      <w:r>
        <w:rPr>
          <w:lang w:val="en-US"/>
        </w:rPr>
        <w:t>Introduction</w:t>
      </w:r>
    </w:p>
    <w:p w14:paraId="1AE76C7C" w14:textId="77777777" w:rsidR="004F3A6C" w:rsidRDefault="004F3A6C" w:rsidP="00535395">
      <w:pPr>
        <w:spacing w:line="360" w:lineRule="auto"/>
        <w:jc w:val="both"/>
        <w:rPr>
          <w:lang w:val="en-US"/>
        </w:rPr>
      </w:pPr>
    </w:p>
    <w:p w14:paraId="3B398007" w14:textId="77777777" w:rsidR="00D634AE" w:rsidRPr="006017E5" w:rsidRDefault="00F63DC9" w:rsidP="00D46B8C">
      <w:pPr>
        <w:spacing w:line="360" w:lineRule="auto"/>
        <w:jc w:val="both"/>
        <w:rPr>
          <w:lang w:val="en-GB"/>
        </w:rPr>
      </w:pPr>
      <w:r w:rsidRPr="006017E5">
        <w:rPr>
          <w:lang w:val="en-GB"/>
        </w:rPr>
        <w:t>Using</w:t>
      </w:r>
      <w:r w:rsidR="00535395" w:rsidRPr="006017E5">
        <w:rPr>
          <w:lang w:val="en-GB"/>
        </w:rPr>
        <w:t xml:space="preserve"> several datasets from the National Bank of Belgium (NBB)</w:t>
      </w:r>
      <w:r w:rsidRPr="006017E5">
        <w:rPr>
          <w:lang w:val="en-GB"/>
        </w:rPr>
        <w:t>,</w:t>
      </w:r>
      <w:r w:rsidR="00535395" w:rsidRPr="006017E5">
        <w:rPr>
          <w:lang w:val="en-GB"/>
        </w:rPr>
        <w:t xml:space="preserve"> we</w:t>
      </w:r>
      <w:r w:rsidR="00EC7F1E" w:rsidRPr="006017E5">
        <w:rPr>
          <w:rStyle w:val="FootnoteReference"/>
          <w:lang w:val="en-GB"/>
        </w:rPr>
        <w:footnoteReference w:id="1"/>
      </w:r>
      <w:r w:rsidR="00535395" w:rsidRPr="006017E5">
        <w:rPr>
          <w:lang w:val="en-GB"/>
        </w:rPr>
        <w:t xml:space="preserve"> construct </w:t>
      </w:r>
      <w:r w:rsidRPr="006017E5">
        <w:rPr>
          <w:lang w:val="en-GB"/>
        </w:rPr>
        <w:t xml:space="preserve">one </w:t>
      </w:r>
      <w:r w:rsidR="00535395" w:rsidRPr="006017E5">
        <w:rPr>
          <w:lang w:val="en-GB"/>
        </w:rPr>
        <w:t>final dataset</w:t>
      </w:r>
      <w:r w:rsidRPr="006017E5">
        <w:rPr>
          <w:lang w:val="en-GB"/>
        </w:rPr>
        <w:t xml:space="preserve"> with financial information for the population of Belgian</w:t>
      </w:r>
      <w:r w:rsidR="00D46B8C" w:rsidRPr="006017E5">
        <w:rPr>
          <w:lang w:val="en-GB"/>
        </w:rPr>
        <w:t xml:space="preserve"> firms during the period 1985-</w:t>
      </w:r>
      <w:r w:rsidRPr="006017E5">
        <w:rPr>
          <w:lang w:val="en-GB"/>
        </w:rPr>
        <w:t>2014</w:t>
      </w:r>
      <w:r w:rsidR="00216C53" w:rsidRPr="006017E5">
        <w:rPr>
          <w:lang w:val="en-GB"/>
        </w:rPr>
        <w:t xml:space="preserve">: </w:t>
      </w:r>
      <w:r w:rsidRPr="006017E5">
        <w:rPr>
          <w:lang w:val="en-GB"/>
        </w:rPr>
        <w:t>NBB_85_14</w:t>
      </w:r>
      <w:r w:rsidR="00535395" w:rsidRPr="006017E5">
        <w:rPr>
          <w:lang w:val="en-GB"/>
        </w:rPr>
        <w:t xml:space="preserve">. The NBB collects financial data of all Belgian firms (which have reporting duties) on a yearly basis. In </w:t>
      </w:r>
      <w:r w:rsidR="00C41662" w:rsidRPr="006017E5">
        <w:rPr>
          <w:lang w:val="en-GB"/>
        </w:rPr>
        <w:t>the following sections</w:t>
      </w:r>
      <w:r w:rsidR="00535395" w:rsidRPr="006017E5">
        <w:rPr>
          <w:lang w:val="en-GB"/>
        </w:rPr>
        <w:t>, a brief overview of the variables included in the dataset</w:t>
      </w:r>
      <w:r w:rsidRPr="006017E5">
        <w:rPr>
          <w:lang w:val="en-GB"/>
        </w:rPr>
        <w:t xml:space="preserve"> will be given.</w:t>
      </w:r>
    </w:p>
    <w:p w14:paraId="27F1621D" w14:textId="77777777" w:rsidR="00535395" w:rsidRPr="006017E5" w:rsidRDefault="00535395" w:rsidP="004B6FC8">
      <w:pPr>
        <w:rPr>
          <w:b/>
          <w:lang w:val="en-GB"/>
        </w:rPr>
      </w:pPr>
    </w:p>
    <w:p w14:paraId="724DB6A4" w14:textId="77777777" w:rsidR="00D46B8C" w:rsidRPr="006017E5" w:rsidRDefault="00D46B8C" w:rsidP="00D46B8C">
      <w:pPr>
        <w:pStyle w:val="Heading2"/>
        <w:numPr>
          <w:ilvl w:val="0"/>
          <w:numId w:val="1"/>
        </w:numPr>
        <w:rPr>
          <w:lang w:val="en-GB"/>
        </w:rPr>
      </w:pPr>
      <w:r w:rsidRPr="006017E5">
        <w:rPr>
          <w:lang w:val="en-GB"/>
        </w:rPr>
        <w:t>Construction of the dataset</w:t>
      </w:r>
    </w:p>
    <w:p w14:paraId="2A64B60E" w14:textId="77777777" w:rsidR="00D46B8C" w:rsidRPr="006017E5" w:rsidRDefault="00D46B8C" w:rsidP="00D46B8C">
      <w:pPr>
        <w:rPr>
          <w:lang w:val="en-GB"/>
        </w:rPr>
      </w:pPr>
    </w:p>
    <w:p w14:paraId="74A8EFF4" w14:textId="77777777" w:rsidR="00624A23" w:rsidRDefault="00D46B8C" w:rsidP="00D46B8C">
      <w:pPr>
        <w:spacing w:line="360" w:lineRule="auto"/>
        <w:jc w:val="both"/>
        <w:rPr>
          <w:lang w:val="en-GB"/>
        </w:rPr>
      </w:pPr>
      <w:r w:rsidRPr="006017E5">
        <w:rPr>
          <w:lang w:val="en-GB"/>
        </w:rPr>
        <w:t>The basis for the dataset consists of four data downloads at the NBB generating four datasets NBB_firm_85_92.dta, NBB_firm_92_95.dta, NBB_firm_96_12.dta, NBB_firm_12_14.dta that we</w:t>
      </w:r>
      <w:r w:rsidR="00644F63" w:rsidRPr="006017E5">
        <w:rPr>
          <w:lang w:val="en-GB"/>
        </w:rPr>
        <w:t>re</w:t>
      </w:r>
      <w:r w:rsidRPr="006017E5">
        <w:rPr>
          <w:lang w:val="en-GB"/>
        </w:rPr>
        <w:t xml:space="preserve"> append</w:t>
      </w:r>
      <w:r w:rsidR="00644F63" w:rsidRPr="006017E5">
        <w:rPr>
          <w:lang w:val="en-GB"/>
        </w:rPr>
        <w:t>ed</w:t>
      </w:r>
      <w:r w:rsidRPr="006017E5">
        <w:rPr>
          <w:lang w:val="en-GB"/>
        </w:rPr>
        <w:t xml:space="preserve"> one to another to create a panel dataset</w:t>
      </w:r>
      <w:r w:rsidR="00EC7F1E" w:rsidRPr="006017E5">
        <w:rPr>
          <w:lang w:val="en-GB"/>
        </w:rPr>
        <w:t xml:space="preserve"> with financial information for</w:t>
      </w:r>
      <w:r w:rsidRPr="006017E5">
        <w:rPr>
          <w:lang w:val="en-GB"/>
        </w:rPr>
        <w:t xml:space="preserve"> the population of Belgian firms over the period 1985-2014.</w:t>
      </w:r>
      <w:r w:rsidR="00644F63" w:rsidRPr="006017E5">
        <w:rPr>
          <w:lang w:val="en-GB"/>
        </w:rPr>
        <w:t xml:space="preserve"> </w:t>
      </w:r>
      <w:r w:rsidR="00EC7F1E" w:rsidRPr="006017E5">
        <w:rPr>
          <w:lang w:val="en-GB"/>
        </w:rPr>
        <w:t xml:space="preserve">The resulting dataset is incomplete with respect to three </w:t>
      </w:r>
      <w:r w:rsidR="00624A23">
        <w:rPr>
          <w:lang w:val="en-GB"/>
        </w:rPr>
        <w:t xml:space="preserve"> important</w:t>
      </w:r>
      <w:r w:rsidR="006017E5" w:rsidRPr="006017E5">
        <w:rPr>
          <w:lang w:val="en-GB"/>
        </w:rPr>
        <w:t xml:space="preserve"> variables</w:t>
      </w:r>
      <w:r w:rsidR="00EC7F1E" w:rsidRPr="006017E5">
        <w:rPr>
          <w:lang w:val="en-GB"/>
        </w:rPr>
        <w:t xml:space="preserve">: </w:t>
      </w:r>
      <w:r w:rsidR="00EC7F1E" w:rsidRPr="006017E5">
        <w:rPr>
          <w:i/>
          <w:lang w:val="en-GB"/>
        </w:rPr>
        <w:t>NACE</w:t>
      </w:r>
      <w:r w:rsidR="00624A23">
        <w:rPr>
          <w:i/>
          <w:lang w:val="en-GB"/>
        </w:rPr>
        <w:t xml:space="preserve"> rev2</w:t>
      </w:r>
      <w:r w:rsidR="00EC7F1E" w:rsidRPr="006017E5">
        <w:rPr>
          <w:i/>
          <w:lang w:val="en-GB"/>
        </w:rPr>
        <w:t>-sector</w:t>
      </w:r>
      <w:r w:rsidR="006017E5" w:rsidRPr="006017E5">
        <w:rPr>
          <w:i/>
          <w:lang w:val="en-GB"/>
        </w:rPr>
        <w:t xml:space="preserve"> </w:t>
      </w:r>
      <w:r w:rsidR="006017E5" w:rsidRPr="006017E5">
        <w:rPr>
          <w:lang w:val="en-GB"/>
        </w:rPr>
        <w:t>-</w:t>
      </w:r>
      <w:r w:rsidR="00EC7F1E" w:rsidRPr="006017E5">
        <w:rPr>
          <w:lang w:val="en-GB"/>
        </w:rPr>
        <w:t xml:space="preserve">, </w:t>
      </w:r>
      <w:r w:rsidR="00EC7F1E" w:rsidRPr="006017E5">
        <w:rPr>
          <w:i/>
          <w:lang w:val="en-GB"/>
        </w:rPr>
        <w:t>age</w:t>
      </w:r>
      <w:r w:rsidR="00EC7F1E" w:rsidRPr="006017E5">
        <w:rPr>
          <w:lang w:val="en-GB"/>
        </w:rPr>
        <w:t xml:space="preserve"> </w:t>
      </w:r>
      <w:r w:rsidR="006017E5" w:rsidRPr="006017E5">
        <w:rPr>
          <w:lang w:val="en-GB"/>
        </w:rPr>
        <w:t xml:space="preserve">- </w:t>
      </w:r>
      <w:r w:rsidR="00EC7F1E" w:rsidRPr="006017E5">
        <w:rPr>
          <w:lang w:val="en-GB"/>
        </w:rPr>
        <w:t xml:space="preserve">and </w:t>
      </w:r>
      <w:r w:rsidR="00EC7F1E" w:rsidRPr="006017E5">
        <w:rPr>
          <w:i/>
          <w:lang w:val="en-GB"/>
        </w:rPr>
        <w:t>location</w:t>
      </w:r>
      <w:r w:rsidR="00EC7F1E" w:rsidRPr="006017E5">
        <w:rPr>
          <w:lang w:val="en-GB"/>
        </w:rPr>
        <w:t xml:space="preserve"> of the firm.</w:t>
      </w:r>
      <w:r w:rsidR="00624A23">
        <w:rPr>
          <w:lang w:val="en-GB"/>
        </w:rPr>
        <w:t xml:space="preserve"> </w:t>
      </w:r>
    </w:p>
    <w:p w14:paraId="100A5EAD" w14:textId="77777777" w:rsidR="00D46B8C" w:rsidRDefault="00624A23" w:rsidP="00D46B8C">
      <w:pPr>
        <w:spacing w:line="360" w:lineRule="auto"/>
        <w:jc w:val="both"/>
        <w:rPr>
          <w:lang w:val="en-GB"/>
        </w:rPr>
      </w:pPr>
      <w:r>
        <w:rPr>
          <w:lang w:val="en-GB"/>
        </w:rPr>
        <w:t xml:space="preserve">For the variable </w:t>
      </w:r>
      <w:r w:rsidRPr="009D4881">
        <w:rPr>
          <w:i/>
          <w:lang w:val="en-GB"/>
        </w:rPr>
        <w:t>NACE rev2-sector</w:t>
      </w:r>
      <w:r>
        <w:rPr>
          <w:lang w:val="en-GB"/>
        </w:rPr>
        <w:t xml:space="preserve">, we have information </w:t>
      </w:r>
      <w:r w:rsidR="00C454E4">
        <w:rPr>
          <w:lang w:val="en-GB"/>
        </w:rPr>
        <w:t xml:space="preserve">on NACE-sectors for every firm-year combination. Due to updates of the NACE-classification system however, this information is not consistent over the timespan. To obtain consistent </w:t>
      </w:r>
      <w:r w:rsidR="00C454E4" w:rsidRPr="00624A23">
        <w:rPr>
          <w:lang w:val="en-GB"/>
        </w:rPr>
        <w:t>NACE rev2-sector</w:t>
      </w:r>
    </w:p>
    <w:p w14:paraId="78DED036" w14:textId="77777777" w:rsidR="00C454E4" w:rsidRPr="006017E5" w:rsidRDefault="00C454E4" w:rsidP="00C454E4">
      <w:pPr>
        <w:spacing w:line="360" w:lineRule="auto"/>
        <w:jc w:val="both"/>
        <w:rPr>
          <w:lang w:val="en-GB"/>
        </w:rPr>
      </w:pPr>
      <w:r>
        <w:rPr>
          <w:lang w:val="en-GB"/>
        </w:rPr>
        <w:t xml:space="preserve">We do not have any information with respect to the variable </w:t>
      </w:r>
      <w:r w:rsidRPr="009D4881">
        <w:rPr>
          <w:i/>
          <w:lang w:val="en-GB"/>
        </w:rPr>
        <w:t>age</w:t>
      </w:r>
      <w:r>
        <w:rPr>
          <w:lang w:val="en-GB"/>
        </w:rPr>
        <w:t xml:space="preserve">. Therefore, we use information from </w:t>
      </w:r>
      <w:proofErr w:type="spellStart"/>
      <w:r>
        <w:rPr>
          <w:lang w:val="en-GB"/>
        </w:rPr>
        <w:t>Belfirst</w:t>
      </w:r>
      <w:proofErr w:type="spellEnd"/>
      <w:r>
        <w:rPr>
          <w:lang w:val="en-GB"/>
        </w:rPr>
        <w:t xml:space="preserve"> (2009-2014) - and KBO</w:t>
      </w:r>
      <w:r w:rsidR="00AD6E4C">
        <w:rPr>
          <w:rStyle w:val="FootnoteReference"/>
          <w:lang w:val="en-GB"/>
        </w:rPr>
        <w:footnoteReference w:id="2"/>
      </w:r>
      <w:r w:rsidR="00AD6E4C">
        <w:rPr>
          <w:lang w:val="en-GB"/>
        </w:rPr>
        <w:t xml:space="preserve"> (1997-2008)</w:t>
      </w:r>
      <w:r>
        <w:rPr>
          <w:lang w:val="en-GB"/>
        </w:rPr>
        <w:t xml:space="preserve"> datasets to construct the variable age which we define as: year minus year of incorporation. When these additional datasets are unable to provide the necessary information on the year of incorporation, we define the year of incorporation as the first year of entry into our dataset. As such, we are able </w:t>
      </w:r>
      <w:r w:rsidR="009D4881">
        <w:rPr>
          <w:lang w:val="en-GB"/>
        </w:rPr>
        <w:t>to construct t</w:t>
      </w:r>
      <w:r>
        <w:rPr>
          <w:lang w:val="en-GB"/>
        </w:rPr>
        <w:t>he age of the firm for 99</w:t>
      </w:r>
      <w:r w:rsidR="009D4881">
        <w:rPr>
          <w:lang w:val="en-GB"/>
        </w:rPr>
        <w:t xml:space="preserve"> </w:t>
      </w:r>
      <w:r>
        <w:rPr>
          <w:lang w:val="en-GB"/>
        </w:rPr>
        <w:t>percent of the observations.</w:t>
      </w:r>
    </w:p>
    <w:p w14:paraId="16E69EC2" w14:textId="77777777" w:rsidR="00624A23" w:rsidRPr="006017E5" w:rsidRDefault="009D4881" w:rsidP="00D46B8C">
      <w:pPr>
        <w:spacing w:line="360" w:lineRule="auto"/>
        <w:jc w:val="both"/>
        <w:rPr>
          <w:lang w:val="en-GB"/>
        </w:rPr>
      </w:pPr>
      <w:r>
        <w:rPr>
          <w:lang w:val="en-GB"/>
        </w:rPr>
        <w:t>For the variable</w:t>
      </w:r>
      <w:r w:rsidR="00624A23">
        <w:rPr>
          <w:lang w:val="en-GB"/>
        </w:rPr>
        <w:t xml:space="preserve"> </w:t>
      </w:r>
      <w:r w:rsidR="00624A23" w:rsidRPr="009D4881">
        <w:rPr>
          <w:i/>
          <w:lang w:val="en-GB"/>
        </w:rPr>
        <w:t>location</w:t>
      </w:r>
      <w:r w:rsidR="00624A23">
        <w:rPr>
          <w:lang w:val="en-GB"/>
        </w:rPr>
        <w:t xml:space="preserve"> </w:t>
      </w:r>
      <w:r w:rsidR="007377D6">
        <w:rPr>
          <w:lang w:val="en-GB"/>
        </w:rPr>
        <w:t xml:space="preserve">(postcode) </w:t>
      </w:r>
      <w:r>
        <w:rPr>
          <w:lang w:val="en-GB"/>
        </w:rPr>
        <w:t>of the firm</w:t>
      </w:r>
      <w:r w:rsidR="00624A23">
        <w:rPr>
          <w:lang w:val="en-GB"/>
        </w:rPr>
        <w:t xml:space="preserve">, we make use of the </w:t>
      </w:r>
      <w:proofErr w:type="spellStart"/>
      <w:r w:rsidR="00624A23">
        <w:rPr>
          <w:lang w:val="en-GB"/>
        </w:rPr>
        <w:t>Belfirst</w:t>
      </w:r>
      <w:proofErr w:type="spellEnd"/>
      <w:r w:rsidR="00624A23">
        <w:rPr>
          <w:lang w:val="en-GB"/>
        </w:rPr>
        <w:t xml:space="preserve"> (2009-2014) - and KBO</w:t>
      </w:r>
      <w:r w:rsidR="00AD6E4C">
        <w:rPr>
          <w:lang w:val="en-GB"/>
        </w:rPr>
        <w:t xml:space="preserve"> (1997-2008)</w:t>
      </w:r>
      <w:r w:rsidR="00624A23">
        <w:rPr>
          <w:lang w:val="en-GB"/>
        </w:rPr>
        <w:t xml:space="preserve"> datasets. </w:t>
      </w:r>
      <w:r w:rsidR="00AD6E4C">
        <w:rPr>
          <w:lang w:val="en-GB"/>
        </w:rPr>
        <w:t xml:space="preserve">In comparison with the construction of the variable age, we are only able to obtain information from the year 1996 onwards. </w:t>
      </w:r>
      <w:r w:rsidR="007377D6">
        <w:rPr>
          <w:lang w:val="en-GB"/>
        </w:rPr>
        <w:t>For the period 1996 - 2014, we are able to construct the variable location in 99 percent of the observations.</w:t>
      </w:r>
    </w:p>
    <w:p w14:paraId="286524C3" w14:textId="77777777" w:rsidR="00D46B8C" w:rsidRPr="00D46B8C" w:rsidRDefault="00D46B8C" w:rsidP="00D46B8C">
      <w:pPr>
        <w:rPr>
          <w:lang w:val="en-US"/>
        </w:rPr>
      </w:pPr>
    </w:p>
    <w:p w14:paraId="4B400DBA" w14:textId="77777777" w:rsidR="004F3A6C" w:rsidRDefault="005A71FC" w:rsidP="004F3A6C">
      <w:pPr>
        <w:pStyle w:val="Heading2"/>
        <w:numPr>
          <w:ilvl w:val="0"/>
          <w:numId w:val="1"/>
        </w:numPr>
        <w:rPr>
          <w:lang w:val="en-US"/>
        </w:rPr>
      </w:pPr>
      <w:r>
        <w:rPr>
          <w:lang w:val="en-US"/>
        </w:rPr>
        <w:lastRenderedPageBreak/>
        <w:t>A note on</w:t>
      </w:r>
      <w:r w:rsidR="004F3A6C">
        <w:rPr>
          <w:lang w:val="en-US"/>
        </w:rPr>
        <w:t xml:space="preserve"> employment</w:t>
      </w:r>
    </w:p>
    <w:p w14:paraId="735B7DF2" w14:textId="77777777" w:rsidR="004F3A6C" w:rsidRDefault="004F3A6C" w:rsidP="004F3A6C">
      <w:pPr>
        <w:rPr>
          <w:lang w:val="en-US"/>
        </w:rPr>
      </w:pPr>
    </w:p>
    <w:p w14:paraId="17FBA3E7" w14:textId="77777777" w:rsidR="00D634AE" w:rsidRPr="00D634AE" w:rsidRDefault="00D634AE" w:rsidP="00D634AE">
      <w:pPr>
        <w:autoSpaceDE w:val="0"/>
        <w:autoSpaceDN w:val="0"/>
        <w:adjustRightInd w:val="0"/>
        <w:spacing w:after="0" w:line="360" w:lineRule="auto"/>
        <w:jc w:val="both"/>
        <w:rPr>
          <w:rFonts w:cs="Lucida Sans Unicode"/>
        </w:rPr>
      </w:pPr>
      <w:r w:rsidRPr="00D634AE">
        <w:rPr>
          <w:rFonts w:cs="Lucida Sans Unicode"/>
        </w:rPr>
        <w:t xml:space="preserve">Tot en met het boekjaar 1995 werden de tewerkstellingscijfers van de particuliere sector bekomen door optelling van het gemiddeld personeelsbestand vermeld in de jaarrekeningen onder rubriek 9090. Met ingang van het boekjaar 1996 is deze rubriek afgeschaft en vervangen door de rubriek “Werknemers ingeschreven in het personeelsregister” , volgens 2 invalshoeken: </w:t>
      </w:r>
    </w:p>
    <w:p w14:paraId="2BCB997B" w14:textId="77777777" w:rsidR="00D634AE" w:rsidRPr="00D634AE" w:rsidRDefault="00D634AE" w:rsidP="00D634AE">
      <w:pPr>
        <w:autoSpaceDE w:val="0"/>
        <w:autoSpaceDN w:val="0"/>
        <w:adjustRightInd w:val="0"/>
        <w:spacing w:after="0" w:line="360" w:lineRule="auto"/>
        <w:ind w:firstLine="708"/>
        <w:jc w:val="both"/>
        <w:rPr>
          <w:rFonts w:cs="Lucida Sans Unicode"/>
        </w:rPr>
      </w:pPr>
      <w:r w:rsidRPr="00D634AE">
        <w:rPr>
          <w:rFonts w:cs="Lucida Sans Unicode"/>
        </w:rPr>
        <w:t>• totaal aantal op de afsluitdatum (rubriek9086);</w:t>
      </w:r>
    </w:p>
    <w:p w14:paraId="3CCBBEE1" w14:textId="77777777" w:rsidR="00D634AE" w:rsidRPr="00D634AE" w:rsidRDefault="00D634AE" w:rsidP="00D634AE">
      <w:pPr>
        <w:autoSpaceDE w:val="0"/>
        <w:autoSpaceDN w:val="0"/>
        <w:adjustRightInd w:val="0"/>
        <w:spacing w:after="0" w:line="360" w:lineRule="auto"/>
        <w:ind w:firstLine="708"/>
        <w:jc w:val="both"/>
        <w:rPr>
          <w:rFonts w:cs="Lucida Sans Unicode"/>
        </w:rPr>
      </w:pPr>
      <w:r w:rsidRPr="00D634AE">
        <w:rPr>
          <w:rFonts w:cs="Lucida Sans Unicode"/>
        </w:rPr>
        <w:t>• gemiddeld personeelsbestand berekend in voltijdse equivalenten (rubriek 9087).</w:t>
      </w:r>
    </w:p>
    <w:p w14:paraId="6F66843E" w14:textId="77777777" w:rsidR="00D634AE" w:rsidRDefault="00D634AE" w:rsidP="00D634AE">
      <w:pPr>
        <w:autoSpaceDE w:val="0"/>
        <w:autoSpaceDN w:val="0"/>
        <w:adjustRightInd w:val="0"/>
        <w:spacing w:after="0" w:line="360" w:lineRule="auto"/>
        <w:jc w:val="both"/>
        <w:rPr>
          <w:rFonts w:cs="Lucida Sans Unicode"/>
        </w:rPr>
      </w:pPr>
      <w:r w:rsidRPr="00D634AE">
        <w:rPr>
          <w:rFonts w:cs="Lucida Sans Unicode"/>
        </w:rPr>
        <w:t>Hoewel zowel de oude rubriek 9090 als de nieuwe 9087 betrekking hebben op gemiddelden, is de berekeningswijze evenwel niet dezelfde en ligt het cijfer, bekomen op basis van rubriek 9090, tussen dat volgens rubrieken 9086 en 9087 in. Rubriek 9087 wordt als meest aansluitend beschouwd bij de vroegere tewerkstellingsopgave en wordt dan ook in de tabellen gebruikt. De vergelijking tussen 1995 en volgende jaren wordt echter nog door andere factoren bemoeilijkt. Zo komen de bestuurders, zaakvoerders en werkende vennoten zonder arbeidsovereenkomst niet langer voor in de rubriek “werknemers ingeschreven in het personeelsregister” . In kleine ondernemingen kan dit wegvallen significante procentuele dalingen in de tewerkstellingscijfers met zich meebrengen. De  corresponderende salarissen en pensioenen zijn eveneens verdwenen uit de personeelskosten en derhalve uit de toegevoegde waarde; zij zijn nu geboekt als intermediaire aankopen onder de rubriek “diensten en diverse goederen” . Ook de uitzendkrachten en de ter beschikking van de onderneming gestelde personen zijn niet opgenomen bij de werknemers ingeschreven in het personeelsregister. Zij komen evenwel voor in een aparte rubriek 9096 en 9097 in de jaarrekening (resp. totaal aantal op de afsluitdatum en gemiddeld aantal berekend in voltijdse equivalenten). De hierop betrekking hebbende personeelskosten zijn eveneens vervat in een aparte rubriek (617).</w:t>
      </w:r>
      <w:r w:rsidR="00646CEC">
        <w:rPr>
          <w:rFonts w:cs="Lucida Sans Unicode"/>
        </w:rPr>
        <w:t xml:space="preserve"> </w:t>
      </w:r>
    </w:p>
    <w:p w14:paraId="4AEC3BCE" w14:textId="77777777" w:rsidR="00EC7F1E" w:rsidRDefault="00EC7F1E" w:rsidP="00D634AE">
      <w:pPr>
        <w:autoSpaceDE w:val="0"/>
        <w:autoSpaceDN w:val="0"/>
        <w:adjustRightInd w:val="0"/>
        <w:spacing w:after="0" w:line="360" w:lineRule="auto"/>
        <w:jc w:val="both"/>
        <w:rPr>
          <w:rFonts w:cs="Lucida Sans Unicode"/>
        </w:rPr>
      </w:pPr>
    </w:p>
    <w:p w14:paraId="63BF1C49" w14:textId="77777777" w:rsidR="00EC7F1E" w:rsidRPr="006017E5" w:rsidRDefault="00EC7F1E" w:rsidP="00EC7F1E">
      <w:pPr>
        <w:pStyle w:val="Heading2"/>
        <w:numPr>
          <w:ilvl w:val="0"/>
          <w:numId w:val="1"/>
        </w:numPr>
        <w:rPr>
          <w:lang w:val="en-GB"/>
        </w:rPr>
      </w:pPr>
      <w:r w:rsidRPr="006017E5">
        <w:rPr>
          <w:lang w:val="en-GB"/>
        </w:rPr>
        <w:t>Useful supplementary datasets</w:t>
      </w:r>
    </w:p>
    <w:p w14:paraId="35ACFD2E" w14:textId="77777777" w:rsidR="00EC7F1E" w:rsidRDefault="00EC7F1E" w:rsidP="00EC7F1E"/>
    <w:p w14:paraId="48798D53" w14:textId="77777777" w:rsidR="00EC7F1E" w:rsidRPr="007377D6" w:rsidRDefault="007377D6" w:rsidP="00EC7F1E">
      <w:pPr>
        <w:rPr>
          <w:lang w:val="en-US"/>
        </w:rPr>
      </w:pPr>
      <w:r w:rsidRPr="007377D6">
        <w:rPr>
          <w:lang w:val="en-US"/>
        </w:rPr>
        <w:t>In addition to</w:t>
      </w:r>
      <w:r>
        <w:rPr>
          <w:lang w:val="en-US"/>
        </w:rPr>
        <w:t xml:space="preserve"> </w:t>
      </w:r>
      <w:r w:rsidRPr="007377D6">
        <w:rPr>
          <w:lang w:val="en-US"/>
        </w:rPr>
        <w:t>the dataset NBB_85_14</w:t>
      </w:r>
      <w:r>
        <w:rPr>
          <w:lang w:val="en-US"/>
        </w:rPr>
        <w:t>, two datasets were created to extend the dataset. One co</w:t>
      </w:r>
    </w:p>
    <w:p w14:paraId="7A2F8B28" w14:textId="77777777" w:rsidR="00EC7F1E" w:rsidRPr="007377D6" w:rsidRDefault="00EC7F1E" w:rsidP="00EC7F1E">
      <w:pPr>
        <w:rPr>
          <w:lang w:val="en-US"/>
        </w:rPr>
      </w:pPr>
    </w:p>
    <w:p w14:paraId="0CFA6DDA" w14:textId="77777777" w:rsidR="00646CEC" w:rsidRPr="007377D6" w:rsidRDefault="00646CEC" w:rsidP="00D634AE">
      <w:pPr>
        <w:autoSpaceDE w:val="0"/>
        <w:autoSpaceDN w:val="0"/>
        <w:adjustRightInd w:val="0"/>
        <w:spacing w:after="0" w:line="360" w:lineRule="auto"/>
        <w:jc w:val="both"/>
        <w:rPr>
          <w:rFonts w:cs="Lucida Sans Unicode"/>
          <w:lang w:val="en-US"/>
        </w:rPr>
      </w:pPr>
    </w:p>
    <w:p w14:paraId="7E550275" w14:textId="77777777" w:rsidR="00EC7F1E" w:rsidRDefault="00EC7F1E">
      <w:pPr>
        <w:rPr>
          <w:rFonts w:asciiTheme="majorHAnsi" w:eastAsiaTheme="majorEastAsia" w:hAnsiTheme="majorHAnsi" w:cstheme="majorBidi"/>
          <w:color w:val="2E74B5" w:themeColor="accent1" w:themeShade="BF"/>
          <w:sz w:val="26"/>
          <w:szCs w:val="26"/>
          <w:lang w:val="en-US"/>
        </w:rPr>
      </w:pPr>
      <w:r>
        <w:rPr>
          <w:lang w:val="en-US"/>
        </w:rPr>
        <w:br w:type="page"/>
      </w:r>
    </w:p>
    <w:p w14:paraId="1E4C4089" w14:textId="77777777" w:rsidR="004F3A6C" w:rsidRPr="004F3A6C" w:rsidRDefault="004F3A6C" w:rsidP="004F3A6C">
      <w:pPr>
        <w:pStyle w:val="Heading2"/>
        <w:numPr>
          <w:ilvl w:val="0"/>
          <w:numId w:val="1"/>
        </w:numPr>
        <w:rPr>
          <w:lang w:val="en-US"/>
        </w:rPr>
      </w:pPr>
      <w:r>
        <w:rPr>
          <w:lang w:val="en-US"/>
        </w:rPr>
        <w:lastRenderedPageBreak/>
        <w:t>Overview final dataset</w:t>
      </w:r>
    </w:p>
    <w:p w14:paraId="6E548F53" w14:textId="4E64DE5D" w:rsidR="001675DA" w:rsidRDefault="00941654">
      <w:pPr>
        <w:rPr>
          <w:lang w:val="en-US"/>
        </w:rPr>
      </w:pPr>
      <w:r>
        <w:rPr>
          <w:lang w:val="en-US"/>
        </w:rPr>
        <w:t>`</w:t>
      </w:r>
    </w:p>
    <w:p w14:paraId="31C54B60" w14:textId="77777777" w:rsidR="00941654" w:rsidRDefault="00941654">
      <w:pPr>
        <w:rPr>
          <w:lang w:val="en-US"/>
        </w:rPr>
      </w:pPr>
      <w:r>
        <w:rPr>
          <w:lang w:val="en-US"/>
        </w:rPr>
        <w:t xml:space="preserve">Idea: </w:t>
      </w:r>
    </w:p>
    <w:p w14:paraId="0EB369A2" w14:textId="45588164" w:rsidR="00941654" w:rsidRDefault="00941654" w:rsidP="00941654">
      <w:pPr>
        <w:pStyle w:val="ListParagraph"/>
        <w:numPr>
          <w:ilvl w:val="0"/>
          <w:numId w:val="2"/>
        </w:numPr>
        <w:rPr>
          <w:lang w:val="en-US"/>
        </w:rPr>
      </w:pPr>
      <w:r w:rsidRPr="00941654">
        <w:rPr>
          <w:lang w:val="en-US"/>
        </w:rPr>
        <w:t>flow variables</w:t>
      </w:r>
      <w:r>
        <w:rPr>
          <w:lang w:val="en-US"/>
        </w:rPr>
        <w:t xml:space="preserve"> (hours worked, </w:t>
      </w:r>
      <w:proofErr w:type="spellStart"/>
      <w:r>
        <w:rPr>
          <w:lang w:val="en-US"/>
        </w:rPr>
        <w:t>wagebill</w:t>
      </w:r>
      <w:proofErr w:type="spellEnd"/>
      <w:r>
        <w:rPr>
          <w:lang w:val="en-US"/>
        </w:rPr>
        <w:t>, profits…)</w:t>
      </w:r>
      <w:r w:rsidRPr="00941654">
        <w:rPr>
          <w:lang w:val="en-US"/>
        </w:rPr>
        <w:t xml:space="preserve"> can be adjusted simply by averaging over the number of </w:t>
      </w:r>
      <w:r>
        <w:rPr>
          <w:lang w:val="en-US"/>
        </w:rPr>
        <w:t>months of the balance sheet</w:t>
      </w:r>
    </w:p>
    <w:p w14:paraId="00514877" w14:textId="6F68BB42" w:rsidR="00941654" w:rsidRDefault="00941654" w:rsidP="00941654">
      <w:pPr>
        <w:pStyle w:val="ListParagraph"/>
        <w:numPr>
          <w:ilvl w:val="0"/>
          <w:numId w:val="2"/>
        </w:numPr>
        <w:rPr>
          <w:lang w:val="en-US"/>
        </w:rPr>
      </w:pPr>
      <w:r>
        <w:rPr>
          <w:lang w:val="en-US"/>
        </w:rPr>
        <w:t xml:space="preserve">average variables should can be used for the other months of the </w:t>
      </w:r>
      <w:proofErr w:type="spellStart"/>
      <w:r>
        <w:rPr>
          <w:lang w:val="en-US"/>
        </w:rPr>
        <w:t>bookyear</w:t>
      </w:r>
      <w:proofErr w:type="spellEnd"/>
      <w:r>
        <w:rPr>
          <w:lang w:val="en-US"/>
        </w:rPr>
        <w:t xml:space="preserve"> (i.e. spread out)</w:t>
      </w:r>
    </w:p>
    <w:p w14:paraId="56B44605" w14:textId="396D886E" w:rsidR="00941654" w:rsidRPr="00941654" w:rsidRDefault="00941654" w:rsidP="00941654">
      <w:pPr>
        <w:pStyle w:val="ListParagraph"/>
        <w:numPr>
          <w:ilvl w:val="0"/>
          <w:numId w:val="2"/>
        </w:numPr>
        <w:rPr>
          <w:lang w:val="en-US"/>
        </w:rPr>
      </w:pPr>
      <w:r>
        <w:rPr>
          <w:lang w:val="en-US"/>
        </w:rPr>
        <w:t>stock variables (fixed assets…): need to adjust the growth of the variable from t-1 to t by the number of months of the balance sheet</w:t>
      </w:r>
    </w:p>
    <w:p w14:paraId="3D0B4EE6" w14:textId="77777777" w:rsidR="001675DA" w:rsidRPr="00646CEC" w:rsidRDefault="001675DA" w:rsidP="001675DA">
      <w:pPr>
        <w:jc w:val="center"/>
        <w:rPr>
          <w:b/>
          <w:lang w:val="en-US"/>
        </w:rPr>
      </w:pPr>
    </w:p>
    <w:tbl>
      <w:tblPr>
        <w:tblStyle w:val="TableGrid"/>
        <w:tblW w:w="0" w:type="auto"/>
        <w:tblBorders>
          <w:insideH w:val="none" w:sz="0" w:space="0" w:color="auto"/>
        </w:tblBorders>
        <w:tblLook w:val="04A0" w:firstRow="1" w:lastRow="0" w:firstColumn="1" w:lastColumn="0" w:noHBand="0" w:noVBand="1"/>
      </w:tblPr>
      <w:tblGrid>
        <w:gridCol w:w="2179"/>
        <w:gridCol w:w="1141"/>
        <w:gridCol w:w="1057"/>
        <w:gridCol w:w="2790"/>
        <w:gridCol w:w="1895"/>
      </w:tblGrid>
      <w:tr w:rsidR="00941654" w:rsidRPr="007377D6" w14:paraId="157BCD43" w14:textId="681F2103" w:rsidTr="00941654">
        <w:tc>
          <w:tcPr>
            <w:tcW w:w="2179" w:type="dxa"/>
            <w:tcBorders>
              <w:top w:val="single" w:sz="4" w:space="0" w:color="auto"/>
              <w:bottom w:val="single" w:sz="4" w:space="0" w:color="auto"/>
            </w:tcBorders>
          </w:tcPr>
          <w:p w14:paraId="75DEAF2F" w14:textId="77777777" w:rsidR="00941654" w:rsidRPr="00646CEC" w:rsidRDefault="00941654" w:rsidP="00026F88">
            <w:pPr>
              <w:rPr>
                <w:b/>
                <w:lang w:val="en-US"/>
              </w:rPr>
            </w:pPr>
            <w:r w:rsidRPr="00646CEC">
              <w:rPr>
                <w:b/>
                <w:lang w:val="en-US"/>
              </w:rPr>
              <w:t>variable name</w:t>
            </w:r>
          </w:p>
        </w:tc>
        <w:tc>
          <w:tcPr>
            <w:tcW w:w="1141" w:type="dxa"/>
            <w:tcBorders>
              <w:top w:val="single" w:sz="4" w:space="0" w:color="auto"/>
              <w:bottom w:val="single" w:sz="4" w:space="0" w:color="auto"/>
            </w:tcBorders>
          </w:tcPr>
          <w:p w14:paraId="7AF391E9" w14:textId="77777777" w:rsidR="00941654" w:rsidRPr="00646CEC" w:rsidRDefault="00941654" w:rsidP="00026F88">
            <w:pPr>
              <w:rPr>
                <w:b/>
                <w:lang w:val="en-US"/>
              </w:rPr>
            </w:pPr>
            <w:r w:rsidRPr="00646CEC">
              <w:rPr>
                <w:b/>
                <w:lang w:val="en-US"/>
              </w:rPr>
              <w:t>storage</w:t>
            </w:r>
          </w:p>
        </w:tc>
        <w:tc>
          <w:tcPr>
            <w:tcW w:w="1057" w:type="dxa"/>
            <w:tcBorders>
              <w:top w:val="single" w:sz="4" w:space="0" w:color="auto"/>
              <w:bottom w:val="single" w:sz="4" w:space="0" w:color="auto"/>
            </w:tcBorders>
          </w:tcPr>
          <w:p w14:paraId="6D3190F3" w14:textId="77777777" w:rsidR="00941654" w:rsidRPr="00646CEC" w:rsidRDefault="00941654" w:rsidP="00026F88">
            <w:pPr>
              <w:rPr>
                <w:b/>
                <w:lang w:val="en-US"/>
              </w:rPr>
            </w:pPr>
            <w:r w:rsidRPr="00646CEC">
              <w:rPr>
                <w:b/>
                <w:lang w:val="en-US"/>
              </w:rPr>
              <w:t>format</w:t>
            </w:r>
          </w:p>
        </w:tc>
        <w:tc>
          <w:tcPr>
            <w:tcW w:w="2790" w:type="dxa"/>
            <w:tcBorders>
              <w:top w:val="single" w:sz="4" w:space="0" w:color="auto"/>
              <w:bottom w:val="single" w:sz="4" w:space="0" w:color="auto"/>
            </w:tcBorders>
          </w:tcPr>
          <w:p w14:paraId="2192BD7B" w14:textId="77777777" w:rsidR="00941654" w:rsidRPr="00646CEC" w:rsidRDefault="00941654" w:rsidP="00026F88">
            <w:pPr>
              <w:rPr>
                <w:b/>
                <w:lang w:val="en-US"/>
              </w:rPr>
            </w:pPr>
            <w:r w:rsidRPr="00646CEC">
              <w:rPr>
                <w:b/>
                <w:lang w:val="en-US"/>
              </w:rPr>
              <w:t>variable label</w:t>
            </w:r>
          </w:p>
        </w:tc>
        <w:tc>
          <w:tcPr>
            <w:tcW w:w="1895" w:type="dxa"/>
            <w:tcBorders>
              <w:top w:val="single" w:sz="4" w:space="0" w:color="auto"/>
              <w:bottom w:val="single" w:sz="4" w:space="0" w:color="auto"/>
            </w:tcBorders>
          </w:tcPr>
          <w:p w14:paraId="0D425F5D" w14:textId="77777777" w:rsidR="00941654" w:rsidRPr="00646CEC" w:rsidRDefault="00941654" w:rsidP="00026F88">
            <w:pPr>
              <w:rPr>
                <w:b/>
                <w:lang w:val="en-US"/>
              </w:rPr>
            </w:pPr>
          </w:p>
        </w:tc>
      </w:tr>
      <w:tr w:rsidR="00941654" w:rsidRPr="001675DA" w14:paraId="14367758" w14:textId="46511C25" w:rsidTr="00941654">
        <w:tblPrEx>
          <w:tblBorders>
            <w:insideH w:val="single" w:sz="4" w:space="0" w:color="auto"/>
          </w:tblBorders>
        </w:tblPrEx>
        <w:tc>
          <w:tcPr>
            <w:tcW w:w="2179" w:type="dxa"/>
          </w:tcPr>
          <w:p w14:paraId="497E31F2" w14:textId="77777777" w:rsidR="00941654" w:rsidRPr="001675DA" w:rsidRDefault="00941654" w:rsidP="00B72EAF">
            <w:pPr>
              <w:rPr>
                <w:lang w:val="en-US"/>
              </w:rPr>
            </w:pPr>
            <w:r w:rsidRPr="001675DA">
              <w:rPr>
                <w:lang w:val="en-US"/>
              </w:rPr>
              <w:t>year</w:t>
            </w:r>
          </w:p>
        </w:tc>
        <w:tc>
          <w:tcPr>
            <w:tcW w:w="1141" w:type="dxa"/>
          </w:tcPr>
          <w:p w14:paraId="094EEA02" w14:textId="77777777" w:rsidR="00941654" w:rsidRPr="001675DA" w:rsidRDefault="00941654" w:rsidP="00B72EAF">
            <w:pPr>
              <w:rPr>
                <w:lang w:val="en-US"/>
              </w:rPr>
            </w:pPr>
            <w:r w:rsidRPr="001675DA">
              <w:rPr>
                <w:lang w:val="en-US"/>
              </w:rPr>
              <w:t>int</w:t>
            </w:r>
          </w:p>
        </w:tc>
        <w:tc>
          <w:tcPr>
            <w:tcW w:w="1057" w:type="dxa"/>
          </w:tcPr>
          <w:p w14:paraId="33740114" w14:textId="77777777" w:rsidR="00941654" w:rsidRPr="001675DA" w:rsidRDefault="00941654" w:rsidP="00B72EAF">
            <w:pPr>
              <w:rPr>
                <w:lang w:val="en-US"/>
              </w:rPr>
            </w:pPr>
            <w:r w:rsidRPr="001675DA">
              <w:rPr>
                <w:lang w:val="en-US"/>
              </w:rPr>
              <w:t>%8.0g</w:t>
            </w:r>
          </w:p>
        </w:tc>
        <w:tc>
          <w:tcPr>
            <w:tcW w:w="2790" w:type="dxa"/>
          </w:tcPr>
          <w:p w14:paraId="045A3882" w14:textId="77777777" w:rsidR="00941654" w:rsidRPr="001675DA" w:rsidRDefault="00941654" w:rsidP="00B72EAF">
            <w:pPr>
              <w:rPr>
                <w:lang w:val="en-US"/>
              </w:rPr>
            </w:pPr>
            <w:r w:rsidRPr="001675DA">
              <w:rPr>
                <w:lang w:val="en-US"/>
              </w:rPr>
              <w:t>year</w:t>
            </w:r>
          </w:p>
        </w:tc>
        <w:tc>
          <w:tcPr>
            <w:tcW w:w="1895" w:type="dxa"/>
          </w:tcPr>
          <w:p w14:paraId="30B19B79" w14:textId="77777777" w:rsidR="00941654" w:rsidRPr="001675DA" w:rsidRDefault="00941654" w:rsidP="00B72EAF">
            <w:pPr>
              <w:rPr>
                <w:lang w:val="en-US"/>
              </w:rPr>
            </w:pPr>
          </w:p>
        </w:tc>
      </w:tr>
      <w:tr w:rsidR="00941654" w:rsidRPr="001675DA" w14:paraId="673745D3" w14:textId="28A6373E" w:rsidTr="00941654">
        <w:tblPrEx>
          <w:tblBorders>
            <w:insideH w:val="single" w:sz="4" w:space="0" w:color="auto"/>
          </w:tblBorders>
        </w:tblPrEx>
        <w:tc>
          <w:tcPr>
            <w:tcW w:w="2179" w:type="dxa"/>
          </w:tcPr>
          <w:p w14:paraId="088D3394" w14:textId="77777777" w:rsidR="00941654" w:rsidRPr="001675DA" w:rsidRDefault="00941654" w:rsidP="00B72EAF">
            <w:pPr>
              <w:rPr>
                <w:lang w:val="en-US"/>
              </w:rPr>
            </w:pPr>
            <w:r w:rsidRPr="001675DA">
              <w:rPr>
                <w:lang w:val="en-US"/>
              </w:rPr>
              <w:t>vat</w:t>
            </w:r>
          </w:p>
        </w:tc>
        <w:tc>
          <w:tcPr>
            <w:tcW w:w="1141" w:type="dxa"/>
          </w:tcPr>
          <w:p w14:paraId="2C00689E" w14:textId="77777777" w:rsidR="00941654" w:rsidRPr="001675DA" w:rsidRDefault="00941654" w:rsidP="00B72EAF">
            <w:pPr>
              <w:rPr>
                <w:lang w:val="en-US"/>
              </w:rPr>
            </w:pPr>
            <w:r w:rsidRPr="001675DA">
              <w:rPr>
                <w:lang w:val="en-US"/>
              </w:rPr>
              <w:t>long</w:t>
            </w:r>
          </w:p>
        </w:tc>
        <w:tc>
          <w:tcPr>
            <w:tcW w:w="1057" w:type="dxa"/>
          </w:tcPr>
          <w:p w14:paraId="26BA438D" w14:textId="77777777" w:rsidR="00941654" w:rsidRPr="001675DA" w:rsidRDefault="00941654" w:rsidP="00B72EAF">
            <w:pPr>
              <w:rPr>
                <w:lang w:val="en-US"/>
              </w:rPr>
            </w:pPr>
            <w:r w:rsidRPr="001675DA">
              <w:rPr>
                <w:lang w:val="en-US"/>
              </w:rPr>
              <w:t>%10.0g</w:t>
            </w:r>
          </w:p>
        </w:tc>
        <w:tc>
          <w:tcPr>
            <w:tcW w:w="2790" w:type="dxa"/>
          </w:tcPr>
          <w:p w14:paraId="52BE3D02" w14:textId="77777777" w:rsidR="00941654" w:rsidRPr="001675DA" w:rsidRDefault="00941654" w:rsidP="00B72EAF">
            <w:pPr>
              <w:rPr>
                <w:lang w:val="en-US"/>
              </w:rPr>
            </w:pPr>
            <w:r w:rsidRPr="001675DA">
              <w:rPr>
                <w:lang w:val="en-US"/>
              </w:rPr>
              <w:t>firm vat number</w:t>
            </w:r>
          </w:p>
        </w:tc>
        <w:tc>
          <w:tcPr>
            <w:tcW w:w="1895" w:type="dxa"/>
          </w:tcPr>
          <w:p w14:paraId="0BA2078A" w14:textId="77777777" w:rsidR="00941654" w:rsidRPr="001675DA" w:rsidRDefault="00941654" w:rsidP="00B72EAF">
            <w:pPr>
              <w:rPr>
                <w:lang w:val="en-US"/>
              </w:rPr>
            </w:pPr>
          </w:p>
        </w:tc>
      </w:tr>
      <w:tr w:rsidR="00941654" w:rsidRPr="001675DA" w14:paraId="2B9F2068" w14:textId="6207ED95" w:rsidTr="00941654">
        <w:tblPrEx>
          <w:tblBorders>
            <w:insideH w:val="single" w:sz="4" w:space="0" w:color="auto"/>
          </w:tblBorders>
        </w:tblPrEx>
        <w:tc>
          <w:tcPr>
            <w:tcW w:w="2179" w:type="dxa"/>
          </w:tcPr>
          <w:p w14:paraId="4E7E9029" w14:textId="77777777" w:rsidR="00941654" w:rsidRPr="001675DA" w:rsidRDefault="00941654" w:rsidP="00B72EAF">
            <w:pPr>
              <w:rPr>
                <w:lang w:val="en-US"/>
              </w:rPr>
            </w:pPr>
            <w:proofErr w:type="spellStart"/>
            <w:r w:rsidRPr="001675DA">
              <w:rPr>
                <w:lang w:val="en-US"/>
              </w:rPr>
              <w:t>vat_str</w:t>
            </w:r>
            <w:proofErr w:type="spellEnd"/>
          </w:p>
        </w:tc>
        <w:tc>
          <w:tcPr>
            <w:tcW w:w="1141" w:type="dxa"/>
          </w:tcPr>
          <w:p w14:paraId="686D4CEF" w14:textId="77777777" w:rsidR="00941654" w:rsidRPr="001675DA" w:rsidRDefault="00941654" w:rsidP="00B72EAF">
            <w:pPr>
              <w:rPr>
                <w:lang w:val="en-US"/>
              </w:rPr>
            </w:pPr>
            <w:r w:rsidRPr="001675DA">
              <w:rPr>
                <w:lang w:val="en-US"/>
              </w:rPr>
              <w:t>str9</w:t>
            </w:r>
          </w:p>
        </w:tc>
        <w:tc>
          <w:tcPr>
            <w:tcW w:w="1057" w:type="dxa"/>
          </w:tcPr>
          <w:p w14:paraId="442D5713" w14:textId="77777777" w:rsidR="00941654" w:rsidRPr="001675DA" w:rsidRDefault="00941654" w:rsidP="00B72EAF">
            <w:pPr>
              <w:rPr>
                <w:lang w:val="en-US"/>
              </w:rPr>
            </w:pPr>
            <w:r w:rsidRPr="001675DA">
              <w:rPr>
                <w:lang w:val="en-US"/>
              </w:rPr>
              <w:t>%9s</w:t>
            </w:r>
          </w:p>
        </w:tc>
        <w:tc>
          <w:tcPr>
            <w:tcW w:w="2790" w:type="dxa"/>
          </w:tcPr>
          <w:p w14:paraId="1A723D1C" w14:textId="77777777" w:rsidR="00941654" w:rsidRPr="001675DA" w:rsidRDefault="00941654" w:rsidP="00B72EAF">
            <w:pPr>
              <w:rPr>
                <w:lang w:val="en-US"/>
              </w:rPr>
            </w:pPr>
            <w:r w:rsidRPr="001675DA">
              <w:rPr>
                <w:lang w:val="en-US"/>
              </w:rPr>
              <w:t>firm vat number: string</w:t>
            </w:r>
          </w:p>
        </w:tc>
        <w:tc>
          <w:tcPr>
            <w:tcW w:w="1895" w:type="dxa"/>
          </w:tcPr>
          <w:p w14:paraId="65324CA9" w14:textId="77777777" w:rsidR="00941654" w:rsidRPr="001675DA" w:rsidRDefault="00941654" w:rsidP="00B72EAF">
            <w:pPr>
              <w:rPr>
                <w:lang w:val="en-US"/>
              </w:rPr>
            </w:pPr>
          </w:p>
        </w:tc>
      </w:tr>
      <w:tr w:rsidR="00941654" w:rsidRPr="00941654" w14:paraId="2FDE5D83" w14:textId="55B3DFF0" w:rsidTr="00941654">
        <w:tblPrEx>
          <w:tblBorders>
            <w:insideH w:val="single" w:sz="4" w:space="0" w:color="auto"/>
          </w:tblBorders>
        </w:tblPrEx>
        <w:tc>
          <w:tcPr>
            <w:tcW w:w="2179" w:type="dxa"/>
          </w:tcPr>
          <w:p w14:paraId="12AB0954" w14:textId="77777777" w:rsidR="00941654" w:rsidRPr="001675DA" w:rsidRDefault="00941654" w:rsidP="00B72EAF">
            <w:pPr>
              <w:rPr>
                <w:lang w:val="en-US"/>
              </w:rPr>
            </w:pPr>
            <w:proofErr w:type="spellStart"/>
            <w:r w:rsidRPr="001675DA">
              <w:rPr>
                <w:lang w:val="en-US"/>
              </w:rPr>
              <w:t>report_scheme</w:t>
            </w:r>
            <w:proofErr w:type="spellEnd"/>
          </w:p>
        </w:tc>
        <w:tc>
          <w:tcPr>
            <w:tcW w:w="1141" w:type="dxa"/>
          </w:tcPr>
          <w:p w14:paraId="4691A34C" w14:textId="77777777" w:rsidR="00941654" w:rsidRPr="001675DA" w:rsidRDefault="00941654" w:rsidP="00B72EAF">
            <w:pPr>
              <w:rPr>
                <w:lang w:val="en-US"/>
              </w:rPr>
            </w:pPr>
            <w:r w:rsidRPr="001675DA">
              <w:rPr>
                <w:lang w:val="en-US"/>
              </w:rPr>
              <w:t>byte</w:t>
            </w:r>
          </w:p>
        </w:tc>
        <w:tc>
          <w:tcPr>
            <w:tcW w:w="1057" w:type="dxa"/>
          </w:tcPr>
          <w:p w14:paraId="5C3274E6" w14:textId="77777777" w:rsidR="00941654" w:rsidRPr="001675DA" w:rsidRDefault="00941654" w:rsidP="00B72EAF">
            <w:pPr>
              <w:rPr>
                <w:lang w:val="en-US"/>
              </w:rPr>
            </w:pPr>
            <w:r w:rsidRPr="001675DA">
              <w:rPr>
                <w:lang w:val="en-US"/>
              </w:rPr>
              <w:t>%8.0g</w:t>
            </w:r>
          </w:p>
        </w:tc>
        <w:tc>
          <w:tcPr>
            <w:tcW w:w="2790" w:type="dxa"/>
          </w:tcPr>
          <w:p w14:paraId="16BB70AD" w14:textId="77777777" w:rsidR="00941654" w:rsidRPr="001675DA" w:rsidRDefault="00941654" w:rsidP="00B72EAF">
            <w:pPr>
              <w:rPr>
                <w:lang w:val="en-US"/>
              </w:rPr>
            </w:pPr>
            <w:r w:rsidRPr="001675DA">
              <w:rPr>
                <w:lang w:val="en-US"/>
              </w:rPr>
              <w:t>reporting scheme; 1 = short scheme, 2 = full scheme</w:t>
            </w:r>
          </w:p>
        </w:tc>
        <w:tc>
          <w:tcPr>
            <w:tcW w:w="1895" w:type="dxa"/>
          </w:tcPr>
          <w:p w14:paraId="70A2CD48" w14:textId="77777777" w:rsidR="00941654" w:rsidRPr="001675DA" w:rsidRDefault="00941654" w:rsidP="00B72EAF">
            <w:pPr>
              <w:rPr>
                <w:lang w:val="en-US"/>
              </w:rPr>
            </w:pPr>
          </w:p>
        </w:tc>
      </w:tr>
      <w:tr w:rsidR="00941654" w:rsidRPr="00941654" w14:paraId="64991197" w14:textId="30AA2DDB" w:rsidTr="00941654">
        <w:tblPrEx>
          <w:tblBorders>
            <w:insideH w:val="single" w:sz="4" w:space="0" w:color="auto"/>
          </w:tblBorders>
        </w:tblPrEx>
        <w:tc>
          <w:tcPr>
            <w:tcW w:w="2179" w:type="dxa"/>
          </w:tcPr>
          <w:p w14:paraId="00B63B11" w14:textId="77777777" w:rsidR="00941654" w:rsidRPr="001675DA" w:rsidRDefault="00941654" w:rsidP="00B72EAF">
            <w:pPr>
              <w:rPr>
                <w:lang w:val="en-US"/>
              </w:rPr>
            </w:pPr>
            <w:r w:rsidRPr="001675DA">
              <w:rPr>
                <w:lang w:val="en-US"/>
              </w:rPr>
              <w:t>nace_2008</w:t>
            </w:r>
          </w:p>
        </w:tc>
        <w:tc>
          <w:tcPr>
            <w:tcW w:w="1141" w:type="dxa"/>
          </w:tcPr>
          <w:p w14:paraId="6A04B1CC" w14:textId="77777777" w:rsidR="00941654" w:rsidRPr="001675DA" w:rsidRDefault="00941654" w:rsidP="00B72EAF">
            <w:pPr>
              <w:rPr>
                <w:lang w:val="en-US"/>
              </w:rPr>
            </w:pPr>
            <w:r w:rsidRPr="001675DA">
              <w:rPr>
                <w:lang w:val="en-US"/>
              </w:rPr>
              <w:t>float</w:t>
            </w:r>
          </w:p>
        </w:tc>
        <w:tc>
          <w:tcPr>
            <w:tcW w:w="1057" w:type="dxa"/>
          </w:tcPr>
          <w:p w14:paraId="5125C8E9" w14:textId="77777777" w:rsidR="00941654" w:rsidRPr="001675DA" w:rsidRDefault="00941654" w:rsidP="00B72EAF">
            <w:pPr>
              <w:rPr>
                <w:lang w:val="en-US"/>
              </w:rPr>
            </w:pPr>
            <w:r w:rsidRPr="001675DA">
              <w:rPr>
                <w:lang w:val="en-US"/>
              </w:rPr>
              <w:t>%9.0g</w:t>
            </w:r>
          </w:p>
        </w:tc>
        <w:tc>
          <w:tcPr>
            <w:tcW w:w="2790" w:type="dxa"/>
          </w:tcPr>
          <w:p w14:paraId="319963DE" w14:textId="77777777" w:rsidR="00941654" w:rsidRPr="001675DA" w:rsidRDefault="00941654" w:rsidP="00B72EAF">
            <w:pPr>
              <w:rPr>
                <w:lang w:val="en-US"/>
              </w:rPr>
            </w:pPr>
            <w:proofErr w:type="spellStart"/>
            <w:r w:rsidRPr="001675DA">
              <w:rPr>
                <w:lang w:val="en-US"/>
              </w:rPr>
              <w:t>nacebel</w:t>
            </w:r>
            <w:proofErr w:type="spellEnd"/>
            <w:r w:rsidRPr="001675DA">
              <w:rPr>
                <w:lang w:val="en-US"/>
              </w:rPr>
              <w:t xml:space="preserve"> code following </w:t>
            </w:r>
            <w:proofErr w:type="spellStart"/>
            <w:r w:rsidRPr="001675DA">
              <w:rPr>
                <w:lang w:val="en-US"/>
              </w:rPr>
              <w:t>nace</w:t>
            </w:r>
            <w:proofErr w:type="spellEnd"/>
            <w:r w:rsidRPr="001675DA">
              <w:rPr>
                <w:lang w:val="en-US"/>
              </w:rPr>
              <w:t xml:space="preserve"> rev.2</w:t>
            </w:r>
          </w:p>
        </w:tc>
        <w:tc>
          <w:tcPr>
            <w:tcW w:w="1895" w:type="dxa"/>
          </w:tcPr>
          <w:p w14:paraId="0BADF737" w14:textId="77777777" w:rsidR="00941654" w:rsidRPr="001675DA" w:rsidRDefault="00941654" w:rsidP="00B72EAF">
            <w:pPr>
              <w:rPr>
                <w:lang w:val="en-US"/>
              </w:rPr>
            </w:pPr>
          </w:p>
        </w:tc>
      </w:tr>
      <w:tr w:rsidR="00941654" w:rsidRPr="001675DA" w14:paraId="0E0D0E99" w14:textId="2BF1A57D" w:rsidTr="00941654">
        <w:tblPrEx>
          <w:tblBorders>
            <w:insideH w:val="single" w:sz="4" w:space="0" w:color="auto"/>
          </w:tblBorders>
        </w:tblPrEx>
        <w:tc>
          <w:tcPr>
            <w:tcW w:w="2179" w:type="dxa"/>
          </w:tcPr>
          <w:p w14:paraId="5F44B4CE" w14:textId="77777777" w:rsidR="00941654" w:rsidRPr="001675DA" w:rsidRDefault="00941654" w:rsidP="00B72EAF">
            <w:pPr>
              <w:rPr>
                <w:lang w:val="en-US"/>
              </w:rPr>
            </w:pPr>
            <w:r w:rsidRPr="001675DA">
              <w:rPr>
                <w:lang w:val="en-US"/>
              </w:rPr>
              <w:t>debut</w:t>
            </w:r>
          </w:p>
        </w:tc>
        <w:tc>
          <w:tcPr>
            <w:tcW w:w="1141" w:type="dxa"/>
          </w:tcPr>
          <w:p w14:paraId="69D932B4" w14:textId="77777777" w:rsidR="00941654" w:rsidRPr="001675DA" w:rsidRDefault="00941654" w:rsidP="00B72EAF">
            <w:pPr>
              <w:rPr>
                <w:lang w:val="en-US"/>
              </w:rPr>
            </w:pPr>
            <w:r w:rsidRPr="001675DA">
              <w:rPr>
                <w:lang w:val="en-US"/>
              </w:rPr>
              <w:t>double</w:t>
            </w:r>
          </w:p>
        </w:tc>
        <w:tc>
          <w:tcPr>
            <w:tcW w:w="1057" w:type="dxa"/>
          </w:tcPr>
          <w:p w14:paraId="4C7B047F" w14:textId="77777777" w:rsidR="00941654" w:rsidRPr="001675DA" w:rsidRDefault="00941654" w:rsidP="00B72EAF">
            <w:pPr>
              <w:rPr>
                <w:lang w:val="en-US"/>
              </w:rPr>
            </w:pPr>
            <w:r w:rsidRPr="001675DA">
              <w:rPr>
                <w:lang w:val="en-US"/>
              </w:rPr>
              <w:t>%</w:t>
            </w:r>
            <w:proofErr w:type="spellStart"/>
            <w:r w:rsidRPr="001675DA">
              <w:rPr>
                <w:lang w:val="en-US"/>
              </w:rPr>
              <w:t>tc</w:t>
            </w:r>
            <w:proofErr w:type="spellEnd"/>
          </w:p>
        </w:tc>
        <w:tc>
          <w:tcPr>
            <w:tcW w:w="2790" w:type="dxa"/>
          </w:tcPr>
          <w:p w14:paraId="26686590" w14:textId="77777777" w:rsidR="00941654" w:rsidRPr="001675DA" w:rsidRDefault="00941654" w:rsidP="00B72EAF">
            <w:pPr>
              <w:rPr>
                <w:lang w:val="en-US"/>
              </w:rPr>
            </w:pPr>
            <w:r w:rsidRPr="001675DA">
              <w:rPr>
                <w:lang w:val="en-US"/>
              </w:rPr>
              <w:t>debut financial year</w:t>
            </w:r>
          </w:p>
        </w:tc>
        <w:tc>
          <w:tcPr>
            <w:tcW w:w="1895" w:type="dxa"/>
          </w:tcPr>
          <w:p w14:paraId="70668233" w14:textId="77777777" w:rsidR="00941654" w:rsidRPr="001675DA" w:rsidRDefault="00941654" w:rsidP="00B72EAF">
            <w:pPr>
              <w:rPr>
                <w:lang w:val="en-US"/>
              </w:rPr>
            </w:pPr>
          </w:p>
        </w:tc>
      </w:tr>
      <w:tr w:rsidR="00941654" w:rsidRPr="001675DA" w14:paraId="159CADCA" w14:textId="279DDDE8" w:rsidTr="00941654">
        <w:tblPrEx>
          <w:tblBorders>
            <w:insideH w:val="single" w:sz="4" w:space="0" w:color="auto"/>
          </w:tblBorders>
        </w:tblPrEx>
        <w:tc>
          <w:tcPr>
            <w:tcW w:w="2179" w:type="dxa"/>
          </w:tcPr>
          <w:p w14:paraId="25F5A96C" w14:textId="77777777" w:rsidR="00941654" w:rsidRPr="001675DA" w:rsidRDefault="00941654" w:rsidP="00B72EAF">
            <w:pPr>
              <w:rPr>
                <w:lang w:val="en-US"/>
              </w:rPr>
            </w:pPr>
            <w:r w:rsidRPr="001675DA">
              <w:rPr>
                <w:lang w:val="en-US"/>
              </w:rPr>
              <w:t>cloture</w:t>
            </w:r>
          </w:p>
        </w:tc>
        <w:tc>
          <w:tcPr>
            <w:tcW w:w="1141" w:type="dxa"/>
          </w:tcPr>
          <w:p w14:paraId="5C7163A8" w14:textId="77777777" w:rsidR="00941654" w:rsidRPr="001675DA" w:rsidRDefault="00941654" w:rsidP="00B72EAF">
            <w:pPr>
              <w:rPr>
                <w:lang w:val="en-US"/>
              </w:rPr>
            </w:pPr>
            <w:r w:rsidRPr="001675DA">
              <w:rPr>
                <w:lang w:val="en-US"/>
              </w:rPr>
              <w:t>double</w:t>
            </w:r>
          </w:p>
        </w:tc>
        <w:tc>
          <w:tcPr>
            <w:tcW w:w="1057" w:type="dxa"/>
          </w:tcPr>
          <w:p w14:paraId="0509128E" w14:textId="77777777" w:rsidR="00941654" w:rsidRPr="001675DA" w:rsidRDefault="00941654" w:rsidP="00B72EAF">
            <w:pPr>
              <w:rPr>
                <w:lang w:val="en-US"/>
              </w:rPr>
            </w:pPr>
            <w:r w:rsidRPr="001675DA">
              <w:rPr>
                <w:lang w:val="en-US"/>
              </w:rPr>
              <w:t>%</w:t>
            </w:r>
            <w:proofErr w:type="spellStart"/>
            <w:r w:rsidRPr="001675DA">
              <w:rPr>
                <w:lang w:val="en-US"/>
              </w:rPr>
              <w:t>tc</w:t>
            </w:r>
            <w:proofErr w:type="spellEnd"/>
          </w:p>
        </w:tc>
        <w:tc>
          <w:tcPr>
            <w:tcW w:w="2790" w:type="dxa"/>
          </w:tcPr>
          <w:p w14:paraId="481981FD" w14:textId="77777777" w:rsidR="00941654" w:rsidRPr="001675DA" w:rsidRDefault="00941654" w:rsidP="00B72EAF">
            <w:pPr>
              <w:rPr>
                <w:lang w:val="en-US"/>
              </w:rPr>
            </w:pPr>
            <w:r w:rsidRPr="001675DA">
              <w:rPr>
                <w:lang w:val="en-US"/>
              </w:rPr>
              <w:t>cloture financial year</w:t>
            </w:r>
          </w:p>
        </w:tc>
        <w:tc>
          <w:tcPr>
            <w:tcW w:w="1895" w:type="dxa"/>
          </w:tcPr>
          <w:p w14:paraId="6E56DF07" w14:textId="77777777" w:rsidR="00941654" w:rsidRPr="001675DA" w:rsidRDefault="00941654" w:rsidP="00B72EAF">
            <w:pPr>
              <w:rPr>
                <w:lang w:val="en-US"/>
              </w:rPr>
            </w:pPr>
          </w:p>
        </w:tc>
      </w:tr>
      <w:tr w:rsidR="00941654" w:rsidRPr="00941654" w14:paraId="1D6B407A" w14:textId="15B6EFE7" w:rsidTr="00941654">
        <w:tblPrEx>
          <w:tblBorders>
            <w:insideH w:val="single" w:sz="4" w:space="0" w:color="auto"/>
          </w:tblBorders>
        </w:tblPrEx>
        <w:tc>
          <w:tcPr>
            <w:tcW w:w="2179" w:type="dxa"/>
          </w:tcPr>
          <w:p w14:paraId="36C3E0EC" w14:textId="77777777" w:rsidR="00941654" w:rsidRPr="001675DA" w:rsidRDefault="00941654" w:rsidP="00B72EAF">
            <w:pPr>
              <w:rPr>
                <w:lang w:val="en-US"/>
              </w:rPr>
            </w:pPr>
            <w:proofErr w:type="spellStart"/>
            <w:r w:rsidRPr="001675DA">
              <w:rPr>
                <w:lang w:val="en-US"/>
              </w:rPr>
              <w:t>month_nb</w:t>
            </w:r>
            <w:proofErr w:type="spellEnd"/>
          </w:p>
        </w:tc>
        <w:tc>
          <w:tcPr>
            <w:tcW w:w="1141" w:type="dxa"/>
          </w:tcPr>
          <w:p w14:paraId="13987C9A" w14:textId="77777777" w:rsidR="00941654" w:rsidRPr="001675DA" w:rsidRDefault="00941654" w:rsidP="00B72EAF">
            <w:pPr>
              <w:rPr>
                <w:lang w:val="en-US"/>
              </w:rPr>
            </w:pPr>
            <w:r w:rsidRPr="001675DA">
              <w:rPr>
                <w:lang w:val="en-US"/>
              </w:rPr>
              <w:t>int</w:t>
            </w:r>
          </w:p>
        </w:tc>
        <w:tc>
          <w:tcPr>
            <w:tcW w:w="1057" w:type="dxa"/>
          </w:tcPr>
          <w:p w14:paraId="5BF0E2A1" w14:textId="77777777" w:rsidR="00941654" w:rsidRPr="001675DA" w:rsidRDefault="00941654" w:rsidP="00B72EAF">
            <w:pPr>
              <w:rPr>
                <w:lang w:val="en-US"/>
              </w:rPr>
            </w:pPr>
            <w:r w:rsidRPr="001675DA">
              <w:rPr>
                <w:lang w:val="en-US"/>
              </w:rPr>
              <w:t>%8.0g</w:t>
            </w:r>
          </w:p>
        </w:tc>
        <w:tc>
          <w:tcPr>
            <w:tcW w:w="2790" w:type="dxa"/>
          </w:tcPr>
          <w:p w14:paraId="43332DA7" w14:textId="77777777" w:rsidR="00941654" w:rsidRPr="001675DA" w:rsidRDefault="00941654" w:rsidP="00B72EAF">
            <w:pPr>
              <w:rPr>
                <w:lang w:val="en-US"/>
              </w:rPr>
            </w:pPr>
            <w:r w:rsidRPr="001675DA">
              <w:rPr>
                <w:lang w:val="en-US"/>
              </w:rPr>
              <w:t>number of months accounts refers to</w:t>
            </w:r>
          </w:p>
        </w:tc>
        <w:tc>
          <w:tcPr>
            <w:tcW w:w="1895" w:type="dxa"/>
          </w:tcPr>
          <w:p w14:paraId="261E3B2C" w14:textId="77777777" w:rsidR="00941654" w:rsidRPr="001675DA" w:rsidRDefault="00941654" w:rsidP="00B72EAF">
            <w:pPr>
              <w:rPr>
                <w:lang w:val="en-US"/>
              </w:rPr>
            </w:pPr>
          </w:p>
        </w:tc>
      </w:tr>
      <w:tr w:rsidR="00941654" w:rsidRPr="001675DA" w14:paraId="3D5DF8A8" w14:textId="70D0E10C" w:rsidTr="00941654">
        <w:tblPrEx>
          <w:tblBorders>
            <w:insideH w:val="single" w:sz="4" w:space="0" w:color="auto"/>
          </w:tblBorders>
        </w:tblPrEx>
        <w:tc>
          <w:tcPr>
            <w:tcW w:w="2179" w:type="dxa"/>
          </w:tcPr>
          <w:p w14:paraId="369555DF" w14:textId="77777777" w:rsidR="00941654" w:rsidRPr="001675DA" w:rsidRDefault="00941654" w:rsidP="00B72EAF">
            <w:pPr>
              <w:rPr>
                <w:lang w:val="en-US"/>
              </w:rPr>
            </w:pPr>
            <w:r w:rsidRPr="001675DA">
              <w:rPr>
                <w:lang w:val="en-US"/>
              </w:rPr>
              <w:t>turnover</w:t>
            </w:r>
          </w:p>
        </w:tc>
        <w:tc>
          <w:tcPr>
            <w:tcW w:w="1141" w:type="dxa"/>
          </w:tcPr>
          <w:p w14:paraId="1A0C25C7" w14:textId="77777777" w:rsidR="00941654" w:rsidRPr="001675DA" w:rsidRDefault="00941654" w:rsidP="00B72EAF">
            <w:pPr>
              <w:rPr>
                <w:lang w:val="en-US"/>
              </w:rPr>
            </w:pPr>
            <w:r w:rsidRPr="001675DA">
              <w:rPr>
                <w:lang w:val="en-US"/>
              </w:rPr>
              <w:t>double</w:t>
            </w:r>
          </w:p>
        </w:tc>
        <w:tc>
          <w:tcPr>
            <w:tcW w:w="1057" w:type="dxa"/>
          </w:tcPr>
          <w:p w14:paraId="5F120DFF" w14:textId="77777777" w:rsidR="00941654" w:rsidRPr="001675DA" w:rsidRDefault="00941654" w:rsidP="00B72EAF">
            <w:pPr>
              <w:rPr>
                <w:lang w:val="en-US"/>
              </w:rPr>
            </w:pPr>
            <w:r w:rsidRPr="001675DA">
              <w:rPr>
                <w:lang w:val="en-US"/>
              </w:rPr>
              <w:t>%10.0g</w:t>
            </w:r>
          </w:p>
        </w:tc>
        <w:tc>
          <w:tcPr>
            <w:tcW w:w="2790" w:type="dxa"/>
          </w:tcPr>
          <w:p w14:paraId="52AFCD25" w14:textId="77777777" w:rsidR="00941654" w:rsidRPr="001675DA" w:rsidRDefault="00941654" w:rsidP="00B72EAF">
            <w:pPr>
              <w:rPr>
                <w:lang w:val="en-US"/>
              </w:rPr>
            </w:pPr>
            <w:r w:rsidRPr="001675DA">
              <w:rPr>
                <w:lang w:val="en-US"/>
              </w:rPr>
              <w:t xml:space="preserve">70: turnover (in </w:t>
            </w:r>
            <w:proofErr w:type="spellStart"/>
            <w:r w:rsidRPr="001675DA">
              <w:rPr>
                <w:lang w:val="en-US"/>
              </w:rPr>
              <w:t>eur</w:t>
            </w:r>
            <w:proofErr w:type="spellEnd"/>
            <w:r w:rsidRPr="001675DA">
              <w:rPr>
                <w:lang w:val="en-US"/>
              </w:rPr>
              <w:t>)</w:t>
            </w:r>
          </w:p>
        </w:tc>
        <w:tc>
          <w:tcPr>
            <w:tcW w:w="1895" w:type="dxa"/>
          </w:tcPr>
          <w:p w14:paraId="18566FF0" w14:textId="7EEBF2A3" w:rsidR="00941654" w:rsidRPr="001675DA" w:rsidRDefault="00941654" w:rsidP="00B72EAF">
            <w:pPr>
              <w:rPr>
                <w:lang w:val="en-US"/>
              </w:rPr>
            </w:pPr>
            <w:r>
              <w:rPr>
                <w:lang w:val="en-US"/>
              </w:rPr>
              <w:t>adjust</w:t>
            </w:r>
          </w:p>
        </w:tc>
      </w:tr>
      <w:tr w:rsidR="00941654" w:rsidRPr="001675DA" w14:paraId="060B9CCF" w14:textId="4711174A" w:rsidTr="00941654">
        <w:tblPrEx>
          <w:tblBorders>
            <w:insideH w:val="single" w:sz="4" w:space="0" w:color="auto"/>
          </w:tblBorders>
        </w:tblPrEx>
        <w:tc>
          <w:tcPr>
            <w:tcW w:w="2179" w:type="dxa"/>
          </w:tcPr>
          <w:p w14:paraId="5919144E" w14:textId="77777777" w:rsidR="00941654" w:rsidRPr="001675DA" w:rsidRDefault="00941654" w:rsidP="00B72EAF">
            <w:pPr>
              <w:rPr>
                <w:lang w:val="en-US"/>
              </w:rPr>
            </w:pPr>
            <w:proofErr w:type="spellStart"/>
            <w:r w:rsidRPr="001675DA">
              <w:rPr>
                <w:lang w:val="en-US"/>
              </w:rPr>
              <w:t>operating_rev~e</w:t>
            </w:r>
            <w:proofErr w:type="spellEnd"/>
          </w:p>
        </w:tc>
        <w:tc>
          <w:tcPr>
            <w:tcW w:w="1141" w:type="dxa"/>
          </w:tcPr>
          <w:p w14:paraId="322CD4EB" w14:textId="77777777" w:rsidR="00941654" w:rsidRPr="001675DA" w:rsidRDefault="00941654" w:rsidP="00B72EAF">
            <w:pPr>
              <w:rPr>
                <w:lang w:val="en-US"/>
              </w:rPr>
            </w:pPr>
            <w:r w:rsidRPr="001675DA">
              <w:rPr>
                <w:lang w:val="en-US"/>
              </w:rPr>
              <w:t>double</w:t>
            </w:r>
          </w:p>
        </w:tc>
        <w:tc>
          <w:tcPr>
            <w:tcW w:w="1057" w:type="dxa"/>
          </w:tcPr>
          <w:p w14:paraId="7CF11A60" w14:textId="77777777" w:rsidR="00941654" w:rsidRPr="001675DA" w:rsidRDefault="00941654" w:rsidP="00B72EAF">
            <w:pPr>
              <w:rPr>
                <w:lang w:val="en-US"/>
              </w:rPr>
            </w:pPr>
            <w:r w:rsidRPr="001675DA">
              <w:rPr>
                <w:lang w:val="en-US"/>
              </w:rPr>
              <w:t>%10.0g</w:t>
            </w:r>
          </w:p>
        </w:tc>
        <w:tc>
          <w:tcPr>
            <w:tcW w:w="2790" w:type="dxa"/>
          </w:tcPr>
          <w:p w14:paraId="488DE15E" w14:textId="77777777" w:rsidR="00941654" w:rsidRPr="001675DA" w:rsidRDefault="00941654" w:rsidP="00B72EAF">
            <w:pPr>
              <w:rPr>
                <w:lang w:val="en-US"/>
              </w:rPr>
            </w:pPr>
            <w:r w:rsidRPr="001675DA">
              <w:rPr>
                <w:lang w:val="en-US"/>
              </w:rPr>
              <w:t xml:space="preserve">70-74: operating revenue (in </w:t>
            </w:r>
            <w:proofErr w:type="spellStart"/>
            <w:r w:rsidRPr="001675DA">
              <w:rPr>
                <w:lang w:val="en-US"/>
              </w:rPr>
              <w:t>eur</w:t>
            </w:r>
            <w:proofErr w:type="spellEnd"/>
            <w:r w:rsidRPr="001675DA">
              <w:rPr>
                <w:lang w:val="en-US"/>
              </w:rPr>
              <w:t>)</w:t>
            </w:r>
          </w:p>
        </w:tc>
        <w:tc>
          <w:tcPr>
            <w:tcW w:w="1895" w:type="dxa"/>
          </w:tcPr>
          <w:p w14:paraId="75B74832" w14:textId="42D947E2" w:rsidR="00941654" w:rsidRPr="001675DA" w:rsidRDefault="00941654" w:rsidP="00B72EAF">
            <w:pPr>
              <w:rPr>
                <w:lang w:val="en-US"/>
              </w:rPr>
            </w:pPr>
            <w:r>
              <w:rPr>
                <w:lang w:val="en-US"/>
              </w:rPr>
              <w:t>adjust</w:t>
            </w:r>
          </w:p>
        </w:tc>
      </w:tr>
      <w:tr w:rsidR="00941654" w:rsidRPr="001675DA" w14:paraId="43E27370" w14:textId="1359AFF6" w:rsidTr="00941654">
        <w:tblPrEx>
          <w:tblBorders>
            <w:insideH w:val="single" w:sz="4" w:space="0" w:color="auto"/>
          </w:tblBorders>
        </w:tblPrEx>
        <w:tc>
          <w:tcPr>
            <w:tcW w:w="2179" w:type="dxa"/>
          </w:tcPr>
          <w:p w14:paraId="068B5385" w14:textId="77777777" w:rsidR="00941654" w:rsidRPr="001675DA" w:rsidRDefault="00941654" w:rsidP="00941654">
            <w:pPr>
              <w:rPr>
                <w:lang w:val="en-US"/>
              </w:rPr>
            </w:pPr>
            <w:proofErr w:type="spellStart"/>
            <w:r w:rsidRPr="001675DA">
              <w:rPr>
                <w:lang w:val="en-US"/>
              </w:rPr>
              <w:t>valueadded</w:t>
            </w:r>
            <w:proofErr w:type="spellEnd"/>
          </w:p>
        </w:tc>
        <w:tc>
          <w:tcPr>
            <w:tcW w:w="1141" w:type="dxa"/>
          </w:tcPr>
          <w:p w14:paraId="2A0FD023" w14:textId="77777777" w:rsidR="00941654" w:rsidRPr="001675DA" w:rsidRDefault="00941654" w:rsidP="00941654">
            <w:pPr>
              <w:rPr>
                <w:lang w:val="en-US"/>
              </w:rPr>
            </w:pPr>
            <w:r w:rsidRPr="001675DA">
              <w:rPr>
                <w:lang w:val="en-US"/>
              </w:rPr>
              <w:t>double</w:t>
            </w:r>
          </w:p>
        </w:tc>
        <w:tc>
          <w:tcPr>
            <w:tcW w:w="1057" w:type="dxa"/>
          </w:tcPr>
          <w:p w14:paraId="3BB098BF" w14:textId="77777777" w:rsidR="00941654" w:rsidRPr="001675DA" w:rsidRDefault="00941654" w:rsidP="00941654">
            <w:pPr>
              <w:rPr>
                <w:lang w:val="en-US"/>
              </w:rPr>
            </w:pPr>
            <w:r w:rsidRPr="001675DA">
              <w:rPr>
                <w:lang w:val="en-US"/>
              </w:rPr>
              <w:t>%10.0g</w:t>
            </w:r>
          </w:p>
        </w:tc>
        <w:tc>
          <w:tcPr>
            <w:tcW w:w="2790" w:type="dxa"/>
          </w:tcPr>
          <w:p w14:paraId="00E09C8D" w14:textId="77777777" w:rsidR="00941654" w:rsidRPr="001675DA" w:rsidRDefault="00941654" w:rsidP="00941654">
            <w:pPr>
              <w:rPr>
                <w:lang w:val="en-US"/>
              </w:rPr>
            </w:pPr>
            <w:r w:rsidRPr="001675DA">
              <w:rPr>
                <w:lang w:val="en-US"/>
              </w:rPr>
              <w:t xml:space="preserve">9800: value added (in </w:t>
            </w:r>
            <w:proofErr w:type="spellStart"/>
            <w:r w:rsidRPr="001675DA">
              <w:rPr>
                <w:lang w:val="en-US"/>
              </w:rPr>
              <w:t>eur</w:t>
            </w:r>
            <w:proofErr w:type="spellEnd"/>
            <w:r w:rsidRPr="001675DA">
              <w:rPr>
                <w:lang w:val="en-US"/>
              </w:rPr>
              <w:t>)</w:t>
            </w:r>
          </w:p>
        </w:tc>
        <w:tc>
          <w:tcPr>
            <w:tcW w:w="1895" w:type="dxa"/>
          </w:tcPr>
          <w:p w14:paraId="72C02557" w14:textId="6426532C" w:rsidR="00941654" w:rsidRPr="001675DA" w:rsidRDefault="00941654" w:rsidP="00941654">
            <w:pPr>
              <w:rPr>
                <w:lang w:val="en-US"/>
              </w:rPr>
            </w:pPr>
            <w:r>
              <w:rPr>
                <w:lang w:val="en-US"/>
              </w:rPr>
              <w:t>adjust</w:t>
            </w:r>
          </w:p>
        </w:tc>
      </w:tr>
      <w:tr w:rsidR="00941654" w:rsidRPr="001675DA" w14:paraId="63223B4D" w14:textId="5065648E" w:rsidTr="00941654">
        <w:tblPrEx>
          <w:tblBorders>
            <w:insideH w:val="single" w:sz="4" w:space="0" w:color="auto"/>
          </w:tblBorders>
        </w:tblPrEx>
        <w:tc>
          <w:tcPr>
            <w:tcW w:w="2179" w:type="dxa"/>
          </w:tcPr>
          <w:p w14:paraId="61735B97" w14:textId="77777777" w:rsidR="00941654" w:rsidRPr="001675DA" w:rsidRDefault="00941654" w:rsidP="00941654">
            <w:pPr>
              <w:rPr>
                <w:lang w:val="en-US"/>
              </w:rPr>
            </w:pPr>
            <w:r w:rsidRPr="001675DA">
              <w:rPr>
                <w:lang w:val="en-US"/>
              </w:rPr>
              <w:t>renumeration</w:t>
            </w:r>
          </w:p>
        </w:tc>
        <w:tc>
          <w:tcPr>
            <w:tcW w:w="1141" w:type="dxa"/>
          </w:tcPr>
          <w:p w14:paraId="218D953C" w14:textId="77777777" w:rsidR="00941654" w:rsidRPr="001675DA" w:rsidRDefault="00941654" w:rsidP="00941654">
            <w:pPr>
              <w:rPr>
                <w:lang w:val="en-US"/>
              </w:rPr>
            </w:pPr>
            <w:r w:rsidRPr="001675DA">
              <w:rPr>
                <w:lang w:val="en-US"/>
              </w:rPr>
              <w:t>long</w:t>
            </w:r>
          </w:p>
        </w:tc>
        <w:tc>
          <w:tcPr>
            <w:tcW w:w="1057" w:type="dxa"/>
          </w:tcPr>
          <w:p w14:paraId="4FA2EF6B" w14:textId="77777777" w:rsidR="00941654" w:rsidRPr="001675DA" w:rsidRDefault="00941654" w:rsidP="00941654">
            <w:pPr>
              <w:rPr>
                <w:lang w:val="en-US"/>
              </w:rPr>
            </w:pPr>
            <w:r w:rsidRPr="001675DA">
              <w:rPr>
                <w:lang w:val="en-US"/>
              </w:rPr>
              <w:t>%10.0g</w:t>
            </w:r>
          </w:p>
        </w:tc>
        <w:tc>
          <w:tcPr>
            <w:tcW w:w="2790" w:type="dxa"/>
          </w:tcPr>
          <w:p w14:paraId="38C7C6CB" w14:textId="77777777" w:rsidR="00941654" w:rsidRPr="001675DA" w:rsidRDefault="00941654" w:rsidP="00941654">
            <w:pPr>
              <w:rPr>
                <w:lang w:val="en-US"/>
              </w:rPr>
            </w:pPr>
            <w:r w:rsidRPr="001675DA">
              <w:rPr>
                <w:lang w:val="en-US"/>
              </w:rPr>
              <w:t xml:space="preserve">62: wage bill (in </w:t>
            </w:r>
            <w:proofErr w:type="spellStart"/>
            <w:r w:rsidRPr="001675DA">
              <w:rPr>
                <w:lang w:val="en-US"/>
              </w:rPr>
              <w:t>eur</w:t>
            </w:r>
            <w:proofErr w:type="spellEnd"/>
            <w:r w:rsidRPr="001675DA">
              <w:rPr>
                <w:lang w:val="en-US"/>
              </w:rPr>
              <w:t>)</w:t>
            </w:r>
          </w:p>
        </w:tc>
        <w:tc>
          <w:tcPr>
            <w:tcW w:w="1895" w:type="dxa"/>
          </w:tcPr>
          <w:p w14:paraId="5CCF6F6E" w14:textId="09A9046D" w:rsidR="00941654" w:rsidRPr="001675DA" w:rsidRDefault="00941654" w:rsidP="00941654">
            <w:pPr>
              <w:rPr>
                <w:lang w:val="en-US"/>
              </w:rPr>
            </w:pPr>
            <w:r>
              <w:rPr>
                <w:lang w:val="en-US"/>
              </w:rPr>
              <w:t>adjust</w:t>
            </w:r>
          </w:p>
        </w:tc>
      </w:tr>
      <w:tr w:rsidR="00941654" w:rsidRPr="00941654" w14:paraId="0900CA3D" w14:textId="1CF2B29E" w:rsidTr="00941654">
        <w:tblPrEx>
          <w:tblBorders>
            <w:insideH w:val="single" w:sz="4" w:space="0" w:color="auto"/>
          </w:tblBorders>
        </w:tblPrEx>
        <w:tc>
          <w:tcPr>
            <w:tcW w:w="2179" w:type="dxa"/>
          </w:tcPr>
          <w:p w14:paraId="3349E5D8" w14:textId="77777777" w:rsidR="00941654" w:rsidRPr="001675DA" w:rsidRDefault="00941654" w:rsidP="00941654">
            <w:pPr>
              <w:rPr>
                <w:lang w:val="en-US"/>
              </w:rPr>
            </w:pPr>
            <w:r w:rsidRPr="001675DA">
              <w:rPr>
                <w:lang w:val="en-US"/>
              </w:rPr>
              <w:t>materials</w:t>
            </w:r>
          </w:p>
        </w:tc>
        <w:tc>
          <w:tcPr>
            <w:tcW w:w="1141" w:type="dxa"/>
          </w:tcPr>
          <w:p w14:paraId="35036663" w14:textId="77777777" w:rsidR="00941654" w:rsidRPr="001675DA" w:rsidRDefault="00941654" w:rsidP="00941654">
            <w:pPr>
              <w:rPr>
                <w:lang w:val="en-US"/>
              </w:rPr>
            </w:pPr>
            <w:r w:rsidRPr="001675DA">
              <w:rPr>
                <w:lang w:val="en-US"/>
              </w:rPr>
              <w:t>double</w:t>
            </w:r>
          </w:p>
        </w:tc>
        <w:tc>
          <w:tcPr>
            <w:tcW w:w="1057" w:type="dxa"/>
          </w:tcPr>
          <w:p w14:paraId="5E7BB26A" w14:textId="77777777" w:rsidR="00941654" w:rsidRPr="001675DA" w:rsidRDefault="00941654" w:rsidP="00941654">
            <w:pPr>
              <w:rPr>
                <w:lang w:val="en-US"/>
              </w:rPr>
            </w:pPr>
            <w:r w:rsidRPr="001675DA">
              <w:rPr>
                <w:lang w:val="en-US"/>
              </w:rPr>
              <w:t>%10.0g</w:t>
            </w:r>
          </w:p>
        </w:tc>
        <w:tc>
          <w:tcPr>
            <w:tcW w:w="2790" w:type="dxa"/>
          </w:tcPr>
          <w:p w14:paraId="4A786D2A" w14:textId="77777777" w:rsidR="00941654" w:rsidRPr="001675DA" w:rsidRDefault="00941654" w:rsidP="00941654">
            <w:pPr>
              <w:rPr>
                <w:lang w:val="en-US"/>
              </w:rPr>
            </w:pPr>
            <w:r w:rsidRPr="001675DA">
              <w:rPr>
                <w:lang w:val="en-US"/>
              </w:rPr>
              <w:t xml:space="preserve">60-61: material costs in (in </w:t>
            </w:r>
            <w:proofErr w:type="spellStart"/>
            <w:r w:rsidRPr="001675DA">
              <w:rPr>
                <w:lang w:val="en-US"/>
              </w:rPr>
              <w:t>eur</w:t>
            </w:r>
            <w:proofErr w:type="spellEnd"/>
            <w:r w:rsidRPr="001675DA">
              <w:rPr>
                <w:lang w:val="en-US"/>
              </w:rPr>
              <w:t>)</w:t>
            </w:r>
          </w:p>
        </w:tc>
        <w:tc>
          <w:tcPr>
            <w:tcW w:w="1895" w:type="dxa"/>
          </w:tcPr>
          <w:p w14:paraId="25BB2134" w14:textId="16425882" w:rsidR="00941654" w:rsidRPr="001675DA" w:rsidRDefault="00941654" w:rsidP="00941654">
            <w:pPr>
              <w:rPr>
                <w:lang w:val="en-US"/>
              </w:rPr>
            </w:pPr>
            <w:r>
              <w:rPr>
                <w:lang w:val="en-US"/>
              </w:rPr>
              <w:t>adjust</w:t>
            </w:r>
          </w:p>
        </w:tc>
      </w:tr>
      <w:tr w:rsidR="00941654" w:rsidRPr="00941654" w14:paraId="0BA10EE3" w14:textId="16F59E83" w:rsidTr="00941654">
        <w:tblPrEx>
          <w:tblBorders>
            <w:insideH w:val="single" w:sz="4" w:space="0" w:color="auto"/>
          </w:tblBorders>
        </w:tblPrEx>
        <w:tc>
          <w:tcPr>
            <w:tcW w:w="2179" w:type="dxa"/>
          </w:tcPr>
          <w:p w14:paraId="7E5B41CD" w14:textId="77777777" w:rsidR="00941654" w:rsidRPr="001675DA" w:rsidRDefault="00941654" w:rsidP="00941654">
            <w:pPr>
              <w:rPr>
                <w:lang w:val="en-US"/>
              </w:rPr>
            </w:pPr>
            <w:proofErr w:type="spellStart"/>
            <w:r w:rsidRPr="001675DA">
              <w:rPr>
                <w:lang w:val="en-US"/>
              </w:rPr>
              <w:t>totalfixedass~s</w:t>
            </w:r>
            <w:proofErr w:type="spellEnd"/>
          </w:p>
        </w:tc>
        <w:tc>
          <w:tcPr>
            <w:tcW w:w="1141" w:type="dxa"/>
          </w:tcPr>
          <w:p w14:paraId="0DF845CB" w14:textId="77777777" w:rsidR="00941654" w:rsidRPr="001675DA" w:rsidRDefault="00941654" w:rsidP="00941654">
            <w:pPr>
              <w:rPr>
                <w:lang w:val="en-US"/>
              </w:rPr>
            </w:pPr>
            <w:r w:rsidRPr="001675DA">
              <w:rPr>
                <w:lang w:val="en-US"/>
              </w:rPr>
              <w:t>double</w:t>
            </w:r>
          </w:p>
        </w:tc>
        <w:tc>
          <w:tcPr>
            <w:tcW w:w="1057" w:type="dxa"/>
          </w:tcPr>
          <w:p w14:paraId="089A3B04" w14:textId="77777777" w:rsidR="00941654" w:rsidRPr="001675DA" w:rsidRDefault="00941654" w:rsidP="00941654">
            <w:pPr>
              <w:rPr>
                <w:lang w:val="en-US"/>
              </w:rPr>
            </w:pPr>
            <w:r w:rsidRPr="001675DA">
              <w:rPr>
                <w:lang w:val="en-US"/>
              </w:rPr>
              <w:t>%10.0g</w:t>
            </w:r>
          </w:p>
        </w:tc>
        <w:tc>
          <w:tcPr>
            <w:tcW w:w="2790" w:type="dxa"/>
          </w:tcPr>
          <w:p w14:paraId="1FD6B9C2" w14:textId="77777777" w:rsidR="00941654" w:rsidRPr="001675DA" w:rsidRDefault="00941654" w:rsidP="00941654">
            <w:pPr>
              <w:rPr>
                <w:lang w:val="en-US"/>
              </w:rPr>
            </w:pPr>
            <w:r w:rsidRPr="001675DA">
              <w:rPr>
                <w:lang w:val="en-US"/>
              </w:rPr>
              <w:t xml:space="preserve">20-28: total fixed assets (in </w:t>
            </w:r>
            <w:proofErr w:type="spellStart"/>
            <w:r w:rsidRPr="001675DA">
              <w:rPr>
                <w:lang w:val="en-US"/>
              </w:rPr>
              <w:t>eur</w:t>
            </w:r>
            <w:proofErr w:type="spellEnd"/>
            <w:r w:rsidRPr="001675DA">
              <w:rPr>
                <w:lang w:val="en-US"/>
              </w:rPr>
              <w:t>) (since 1996)</w:t>
            </w:r>
          </w:p>
        </w:tc>
        <w:tc>
          <w:tcPr>
            <w:tcW w:w="1895" w:type="dxa"/>
          </w:tcPr>
          <w:p w14:paraId="67CEBA2A" w14:textId="77777777" w:rsidR="00941654" w:rsidRPr="001675DA" w:rsidRDefault="00941654" w:rsidP="00941654">
            <w:pPr>
              <w:rPr>
                <w:lang w:val="en-US"/>
              </w:rPr>
            </w:pPr>
          </w:p>
        </w:tc>
      </w:tr>
      <w:tr w:rsidR="00941654" w:rsidRPr="00941654" w14:paraId="19C8FE03" w14:textId="00C8CE67" w:rsidTr="00941654">
        <w:tblPrEx>
          <w:tblBorders>
            <w:insideH w:val="single" w:sz="4" w:space="0" w:color="auto"/>
          </w:tblBorders>
        </w:tblPrEx>
        <w:tc>
          <w:tcPr>
            <w:tcW w:w="2179" w:type="dxa"/>
          </w:tcPr>
          <w:p w14:paraId="3CC4D1EA" w14:textId="77777777" w:rsidR="00941654" w:rsidRPr="001675DA" w:rsidRDefault="00941654" w:rsidP="00941654">
            <w:pPr>
              <w:rPr>
                <w:lang w:val="en-US"/>
              </w:rPr>
            </w:pPr>
            <w:proofErr w:type="spellStart"/>
            <w:r w:rsidRPr="001675DA">
              <w:rPr>
                <w:lang w:val="en-US"/>
              </w:rPr>
              <w:t>tangiblefixed~s</w:t>
            </w:r>
            <w:proofErr w:type="spellEnd"/>
          </w:p>
        </w:tc>
        <w:tc>
          <w:tcPr>
            <w:tcW w:w="1141" w:type="dxa"/>
          </w:tcPr>
          <w:p w14:paraId="65B5C15E" w14:textId="77777777" w:rsidR="00941654" w:rsidRPr="001675DA" w:rsidRDefault="00941654" w:rsidP="00941654">
            <w:pPr>
              <w:rPr>
                <w:lang w:val="en-US"/>
              </w:rPr>
            </w:pPr>
            <w:r w:rsidRPr="001675DA">
              <w:rPr>
                <w:lang w:val="en-US"/>
              </w:rPr>
              <w:t>double</w:t>
            </w:r>
          </w:p>
        </w:tc>
        <w:tc>
          <w:tcPr>
            <w:tcW w:w="1057" w:type="dxa"/>
          </w:tcPr>
          <w:p w14:paraId="08C8184E" w14:textId="77777777" w:rsidR="00941654" w:rsidRPr="001675DA" w:rsidRDefault="00941654" w:rsidP="00941654">
            <w:pPr>
              <w:rPr>
                <w:lang w:val="en-US"/>
              </w:rPr>
            </w:pPr>
            <w:r w:rsidRPr="001675DA">
              <w:rPr>
                <w:lang w:val="en-US"/>
              </w:rPr>
              <w:t>%10.0g</w:t>
            </w:r>
          </w:p>
        </w:tc>
        <w:tc>
          <w:tcPr>
            <w:tcW w:w="2790" w:type="dxa"/>
          </w:tcPr>
          <w:p w14:paraId="7F59240D" w14:textId="77777777" w:rsidR="00941654" w:rsidRPr="001675DA" w:rsidRDefault="00941654" w:rsidP="00941654">
            <w:pPr>
              <w:rPr>
                <w:lang w:val="en-US"/>
              </w:rPr>
            </w:pPr>
            <w:r w:rsidRPr="001675DA">
              <w:rPr>
                <w:lang w:val="en-US"/>
              </w:rPr>
              <w:t xml:space="preserve">22-27: tangible fixed assets (in </w:t>
            </w:r>
            <w:proofErr w:type="spellStart"/>
            <w:r w:rsidRPr="001675DA">
              <w:rPr>
                <w:lang w:val="en-US"/>
              </w:rPr>
              <w:t>eur</w:t>
            </w:r>
            <w:proofErr w:type="spellEnd"/>
            <w:r w:rsidRPr="001675DA">
              <w:rPr>
                <w:lang w:val="en-US"/>
              </w:rPr>
              <w:t>)</w:t>
            </w:r>
          </w:p>
        </w:tc>
        <w:tc>
          <w:tcPr>
            <w:tcW w:w="1895" w:type="dxa"/>
          </w:tcPr>
          <w:p w14:paraId="32A30389" w14:textId="77777777" w:rsidR="00941654" w:rsidRPr="001675DA" w:rsidRDefault="00941654" w:rsidP="00941654">
            <w:pPr>
              <w:rPr>
                <w:lang w:val="en-US"/>
              </w:rPr>
            </w:pPr>
          </w:p>
        </w:tc>
      </w:tr>
      <w:tr w:rsidR="00941654" w:rsidRPr="001675DA" w14:paraId="181A508D" w14:textId="32CB6880" w:rsidTr="00941654">
        <w:tblPrEx>
          <w:tblBorders>
            <w:insideH w:val="single" w:sz="4" w:space="0" w:color="auto"/>
          </w:tblBorders>
        </w:tblPrEx>
        <w:tc>
          <w:tcPr>
            <w:tcW w:w="2179" w:type="dxa"/>
          </w:tcPr>
          <w:p w14:paraId="4EC57329" w14:textId="77777777" w:rsidR="00941654" w:rsidRPr="001675DA" w:rsidRDefault="00941654" w:rsidP="00941654">
            <w:pPr>
              <w:rPr>
                <w:lang w:val="en-US"/>
              </w:rPr>
            </w:pPr>
            <w:r w:rsidRPr="001675DA">
              <w:rPr>
                <w:lang w:val="en-US"/>
              </w:rPr>
              <w:t>depreciation</w:t>
            </w:r>
          </w:p>
        </w:tc>
        <w:tc>
          <w:tcPr>
            <w:tcW w:w="1141" w:type="dxa"/>
          </w:tcPr>
          <w:p w14:paraId="07DFBCF8" w14:textId="77777777" w:rsidR="00941654" w:rsidRPr="001675DA" w:rsidRDefault="00941654" w:rsidP="00941654">
            <w:pPr>
              <w:rPr>
                <w:lang w:val="en-US"/>
              </w:rPr>
            </w:pPr>
            <w:r w:rsidRPr="001675DA">
              <w:rPr>
                <w:lang w:val="en-US"/>
              </w:rPr>
              <w:t>long</w:t>
            </w:r>
          </w:p>
        </w:tc>
        <w:tc>
          <w:tcPr>
            <w:tcW w:w="1057" w:type="dxa"/>
          </w:tcPr>
          <w:p w14:paraId="2D613E1A" w14:textId="77777777" w:rsidR="00941654" w:rsidRPr="001675DA" w:rsidRDefault="00941654" w:rsidP="00941654">
            <w:pPr>
              <w:rPr>
                <w:lang w:val="en-US"/>
              </w:rPr>
            </w:pPr>
            <w:r w:rsidRPr="001675DA">
              <w:rPr>
                <w:lang w:val="en-US"/>
              </w:rPr>
              <w:t>%10.0g</w:t>
            </w:r>
          </w:p>
        </w:tc>
        <w:tc>
          <w:tcPr>
            <w:tcW w:w="2790" w:type="dxa"/>
          </w:tcPr>
          <w:p w14:paraId="06983448" w14:textId="77777777" w:rsidR="00941654" w:rsidRPr="001675DA" w:rsidRDefault="00941654" w:rsidP="00941654">
            <w:pPr>
              <w:rPr>
                <w:lang w:val="en-US"/>
              </w:rPr>
            </w:pPr>
            <w:r w:rsidRPr="001675DA">
              <w:rPr>
                <w:lang w:val="en-US"/>
              </w:rPr>
              <w:t xml:space="preserve">630: depreciation (in </w:t>
            </w:r>
            <w:proofErr w:type="spellStart"/>
            <w:r w:rsidRPr="001675DA">
              <w:rPr>
                <w:lang w:val="en-US"/>
              </w:rPr>
              <w:t>eur</w:t>
            </w:r>
            <w:proofErr w:type="spellEnd"/>
            <w:r w:rsidRPr="001675DA">
              <w:rPr>
                <w:lang w:val="en-US"/>
              </w:rPr>
              <w:t>) (since 1996)</w:t>
            </w:r>
          </w:p>
        </w:tc>
        <w:tc>
          <w:tcPr>
            <w:tcW w:w="1895" w:type="dxa"/>
          </w:tcPr>
          <w:p w14:paraId="4074D1A7" w14:textId="77777777" w:rsidR="00941654" w:rsidRPr="001675DA" w:rsidRDefault="00941654" w:rsidP="00941654">
            <w:pPr>
              <w:rPr>
                <w:lang w:val="en-US"/>
              </w:rPr>
            </w:pPr>
          </w:p>
        </w:tc>
      </w:tr>
      <w:tr w:rsidR="00941654" w:rsidRPr="00941654" w14:paraId="1083B951" w14:textId="5C9BB903" w:rsidTr="00941654">
        <w:tblPrEx>
          <w:tblBorders>
            <w:insideH w:val="single" w:sz="4" w:space="0" w:color="auto"/>
          </w:tblBorders>
        </w:tblPrEx>
        <w:tc>
          <w:tcPr>
            <w:tcW w:w="2179" w:type="dxa"/>
          </w:tcPr>
          <w:p w14:paraId="4490F302" w14:textId="77777777" w:rsidR="00941654" w:rsidRPr="001675DA" w:rsidRDefault="00941654" w:rsidP="00941654">
            <w:pPr>
              <w:rPr>
                <w:lang w:val="en-US"/>
              </w:rPr>
            </w:pPr>
            <w:proofErr w:type="spellStart"/>
            <w:r w:rsidRPr="001675DA">
              <w:rPr>
                <w:lang w:val="en-US"/>
              </w:rPr>
              <w:t>ownequity</w:t>
            </w:r>
            <w:proofErr w:type="spellEnd"/>
          </w:p>
        </w:tc>
        <w:tc>
          <w:tcPr>
            <w:tcW w:w="1141" w:type="dxa"/>
          </w:tcPr>
          <w:p w14:paraId="07C78000" w14:textId="77777777" w:rsidR="00941654" w:rsidRPr="001675DA" w:rsidRDefault="00941654" w:rsidP="00941654">
            <w:pPr>
              <w:rPr>
                <w:lang w:val="en-US"/>
              </w:rPr>
            </w:pPr>
            <w:r w:rsidRPr="001675DA">
              <w:rPr>
                <w:lang w:val="en-US"/>
              </w:rPr>
              <w:t>double</w:t>
            </w:r>
          </w:p>
        </w:tc>
        <w:tc>
          <w:tcPr>
            <w:tcW w:w="1057" w:type="dxa"/>
          </w:tcPr>
          <w:p w14:paraId="0B864589" w14:textId="77777777" w:rsidR="00941654" w:rsidRPr="001675DA" w:rsidRDefault="00941654" w:rsidP="00941654">
            <w:pPr>
              <w:rPr>
                <w:lang w:val="en-US"/>
              </w:rPr>
            </w:pPr>
            <w:r w:rsidRPr="001675DA">
              <w:rPr>
                <w:lang w:val="en-US"/>
              </w:rPr>
              <w:t>%10.0g</w:t>
            </w:r>
          </w:p>
        </w:tc>
        <w:tc>
          <w:tcPr>
            <w:tcW w:w="2790" w:type="dxa"/>
          </w:tcPr>
          <w:p w14:paraId="392661D3" w14:textId="77777777" w:rsidR="00941654" w:rsidRPr="001675DA" w:rsidRDefault="00941654" w:rsidP="00941654">
            <w:pPr>
              <w:rPr>
                <w:lang w:val="en-US"/>
              </w:rPr>
            </w:pPr>
            <w:r w:rsidRPr="001675DA">
              <w:rPr>
                <w:lang w:val="en-US"/>
              </w:rPr>
              <w:t xml:space="preserve">10-15: own equity (in </w:t>
            </w:r>
            <w:proofErr w:type="spellStart"/>
            <w:r w:rsidRPr="001675DA">
              <w:rPr>
                <w:lang w:val="en-US"/>
              </w:rPr>
              <w:t>eur</w:t>
            </w:r>
            <w:proofErr w:type="spellEnd"/>
            <w:r w:rsidRPr="001675DA">
              <w:rPr>
                <w:lang w:val="en-US"/>
              </w:rPr>
              <w:t>) (since 1996)</w:t>
            </w:r>
          </w:p>
        </w:tc>
        <w:tc>
          <w:tcPr>
            <w:tcW w:w="1895" w:type="dxa"/>
          </w:tcPr>
          <w:p w14:paraId="5D15993B" w14:textId="77777777" w:rsidR="00941654" w:rsidRPr="001675DA" w:rsidRDefault="00941654" w:rsidP="00941654">
            <w:pPr>
              <w:rPr>
                <w:lang w:val="en-US"/>
              </w:rPr>
            </w:pPr>
          </w:p>
        </w:tc>
      </w:tr>
      <w:tr w:rsidR="00941654" w:rsidRPr="00941654" w14:paraId="2696D6E2" w14:textId="20A450EA" w:rsidTr="00941654">
        <w:tblPrEx>
          <w:tblBorders>
            <w:insideH w:val="single" w:sz="4" w:space="0" w:color="auto"/>
          </w:tblBorders>
        </w:tblPrEx>
        <w:tc>
          <w:tcPr>
            <w:tcW w:w="2179" w:type="dxa"/>
          </w:tcPr>
          <w:p w14:paraId="28690DDA" w14:textId="77777777" w:rsidR="00941654" w:rsidRPr="001675DA" w:rsidRDefault="00941654" w:rsidP="00941654">
            <w:pPr>
              <w:rPr>
                <w:lang w:val="en-US"/>
              </w:rPr>
            </w:pPr>
            <w:r w:rsidRPr="001675DA">
              <w:rPr>
                <w:lang w:val="en-US"/>
              </w:rPr>
              <w:t>debtless1y</w:t>
            </w:r>
          </w:p>
        </w:tc>
        <w:tc>
          <w:tcPr>
            <w:tcW w:w="1141" w:type="dxa"/>
          </w:tcPr>
          <w:p w14:paraId="61452B3A" w14:textId="77777777" w:rsidR="00941654" w:rsidRPr="001675DA" w:rsidRDefault="00941654" w:rsidP="00941654">
            <w:pPr>
              <w:rPr>
                <w:lang w:val="en-US"/>
              </w:rPr>
            </w:pPr>
            <w:r w:rsidRPr="001675DA">
              <w:rPr>
                <w:lang w:val="en-US"/>
              </w:rPr>
              <w:t>double</w:t>
            </w:r>
          </w:p>
        </w:tc>
        <w:tc>
          <w:tcPr>
            <w:tcW w:w="1057" w:type="dxa"/>
          </w:tcPr>
          <w:p w14:paraId="35983167" w14:textId="77777777" w:rsidR="00941654" w:rsidRPr="001675DA" w:rsidRDefault="00941654" w:rsidP="00941654">
            <w:pPr>
              <w:rPr>
                <w:lang w:val="en-US"/>
              </w:rPr>
            </w:pPr>
            <w:r w:rsidRPr="001675DA">
              <w:rPr>
                <w:lang w:val="en-US"/>
              </w:rPr>
              <w:t>%10.0g</w:t>
            </w:r>
          </w:p>
        </w:tc>
        <w:tc>
          <w:tcPr>
            <w:tcW w:w="2790" w:type="dxa"/>
          </w:tcPr>
          <w:p w14:paraId="2AAC1463" w14:textId="77777777" w:rsidR="00941654" w:rsidRPr="001675DA" w:rsidRDefault="00941654" w:rsidP="00941654">
            <w:pPr>
              <w:rPr>
                <w:lang w:val="en-US"/>
              </w:rPr>
            </w:pPr>
            <w:r w:rsidRPr="001675DA">
              <w:rPr>
                <w:lang w:val="en-US"/>
              </w:rPr>
              <w:t xml:space="preserve">42-48: debt less than 1 year (in </w:t>
            </w:r>
            <w:proofErr w:type="spellStart"/>
            <w:r w:rsidRPr="001675DA">
              <w:rPr>
                <w:lang w:val="en-US"/>
              </w:rPr>
              <w:t>eur</w:t>
            </w:r>
            <w:proofErr w:type="spellEnd"/>
            <w:r w:rsidRPr="001675DA">
              <w:rPr>
                <w:lang w:val="en-US"/>
              </w:rPr>
              <w:t>) (since 1996)</w:t>
            </w:r>
          </w:p>
        </w:tc>
        <w:tc>
          <w:tcPr>
            <w:tcW w:w="1895" w:type="dxa"/>
          </w:tcPr>
          <w:p w14:paraId="5AC0EABC" w14:textId="77777777" w:rsidR="00941654" w:rsidRPr="001675DA" w:rsidRDefault="00941654" w:rsidP="00941654">
            <w:pPr>
              <w:rPr>
                <w:lang w:val="en-US"/>
              </w:rPr>
            </w:pPr>
          </w:p>
        </w:tc>
      </w:tr>
      <w:tr w:rsidR="00941654" w:rsidRPr="00941654" w14:paraId="4BFA10D4" w14:textId="35FA244F" w:rsidTr="00941654">
        <w:tblPrEx>
          <w:tblBorders>
            <w:insideH w:val="single" w:sz="4" w:space="0" w:color="auto"/>
          </w:tblBorders>
        </w:tblPrEx>
        <w:tc>
          <w:tcPr>
            <w:tcW w:w="2179" w:type="dxa"/>
          </w:tcPr>
          <w:p w14:paraId="03BE696E" w14:textId="77777777" w:rsidR="00941654" w:rsidRPr="001675DA" w:rsidRDefault="00941654" w:rsidP="00941654">
            <w:pPr>
              <w:rPr>
                <w:lang w:val="en-US"/>
              </w:rPr>
            </w:pPr>
            <w:r w:rsidRPr="001675DA">
              <w:rPr>
                <w:lang w:val="en-US"/>
              </w:rPr>
              <w:t>debtmore1y</w:t>
            </w:r>
          </w:p>
        </w:tc>
        <w:tc>
          <w:tcPr>
            <w:tcW w:w="1141" w:type="dxa"/>
          </w:tcPr>
          <w:p w14:paraId="3ADF65D2" w14:textId="77777777" w:rsidR="00941654" w:rsidRPr="001675DA" w:rsidRDefault="00941654" w:rsidP="00941654">
            <w:pPr>
              <w:rPr>
                <w:lang w:val="en-US"/>
              </w:rPr>
            </w:pPr>
            <w:r w:rsidRPr="001675DA">
              <w:rPr>
                <w:lang w:val="en-US"/>
              </w:rPr>
              <w:t>double</w:t>
            </w:r>
          </w:p>
        </w:tc>
        <w:tc>
          <w:tcPr>
            <w:tcW w:w="1057" w:type="dxa"/>
          </w:tcPr>
          <w:p w14:paraId="2752005C" w14:textId="77777777" w:rsidR="00941654" w:rsidRPr="001675DA" w:rsidRDefault="00941654" w:rsidP="00941654">
            <w:pPr>
              <w:rPr>
                <w:lang w:val="en-US"/>
              </w:rPr>
            </w:pPr>
            <w:r w:rsidRPr="001675DA">
              <w:rPr>
                <w:lang w:val="en-US"/>
              </w:rPr>
              <w:t>%10.0g</w:t>
            </w:r>
          </w:p>
        </w:tc>
        <w:tc>
          <w:tcPr>
            <w:tcW w:w="2790" w:type="dxa"/>
          </w:tcPr>
          <w:p w14:paraId="0FE47F73" w14:textId="77777777" w:rsidR="00941654" w:rsidRPr="001675DA" w:rsidRDefault="00941654" w:rsidP="00941654">
            <w:pPr>
              <w:rPr>
                <w:lang w:val="en-US"/>
              </w:rPr>
            </w:pPr>
            <w:r w:rsidRPr="001675DA">
              <w:rPr>
                <w:lang w:val="en-US"/>
              </w:rPr>
              <w:t xml:space="preserve">17: debt more than 1 year (in </w:t>
            </w:r>
            <w:proofErr w:type="spellStart"/>
            <w:r w:rsidRPr="001675DA">
              <w:rPr>
                <w:lang w:val="en-US"/>
              </w:rPr>
              <w:t>eur</w:t>
            </w:r>
            <w:proofErr w:type="spellEnd"/>
            <w:r w:rsidRPr="001675DA">
              <w:rPr>
                <w:lang w:val="en-US"/>
              </w:rPr>
              <w:t>) (since 1996)</w:t>
            </w:r>
          </w:p>
        </w:tc>
        <w:tc>
          <w:tcPr>
            <w:tcW w:w="1895" w:type="dxa"/>
          </w:tcPr>
          <w:p w14:paraId="584FC7C2" w14:textId="77777777" w:rsidR="00941654" w:rsidRPr="001675DA" w:rsidRDefault="00941654" w:rsidP="00941654">
            <w:pPr>
              <w:rPr>
                <w:lang w:val="en-US"/>
              </w:rPr>
            </w:pPr>
          </w:p>
        </w:tc>
      </w:tr>
      <w:tr w:rsidR="00941654" w:rsidRPr="00941654" w14:paraId="62DD9FF5" w14:textId="07AF4E3F" w:rsidTr="00941654">
        <w:tblPrEx>
          <w:tblBorders>
            <w:insideH w:val="single" w:sz="4" w:space="0" w:color="auto"/>
          </w:tblBorders>
        </w:tblPrEx>
        <w:tc>
          <w:tcPr>
            <w:tcW w:w="2179" w:type="dxa"/>
          </w:tcPr>
          <w:p w14:paraId="53647BBE" w14:textId="77777777" w:rsidR="00941654" w:rsidRPr="001675DA" w:rsidRDefault="00941654" w:rsidP="00941654">
            <w:pPr>
              <w:rPr>
                <w:lang w:val="en-US"/>
              </w:rPr>
            </w:pPr>
            <w:proofErr w:type="spellStart"/>
            <w:r w:rsidRPr="001675DA">
              <w:rPr>
                <w:lang w:val="en-US"/>
              </w:rPr>
              <w:t>tradedebt</w:t>
            </w:r>
            <w:proofErr w:type="spellEnd"/>
          </w:p>
        </w:tc>
        <w:tc>
          <w:tcPr>
            <w:tcW w:w="1141" w:type="dxa"/>
          </w:tcPr>
          <w:p w14:paraId="50EC02FC" w14:textId="77777777" w:rsidR="00941654" w:rsidRPr="001675DA" w:rsidRDefault="00941654" w:rsidP="00941654">
            <w:pPr>
              <w:rPr>
                <w:lang w:val="en-US"/>
              </w:rPr>
            </w:pPr>
            <w:r w:rsidRPr="001675DA">
              <w:rPr>
                <w:lang w:val="en-US"/>
              </w:rPr>
              <w:t>double</w:t>
            </w:r>
          </w:p>
        </w:tc>
        <w:tc>
          <w:tcPr>
            <w:tcW w:w="1057" w:type="dxa"/>
          </w:tcPr>
          <w:p w14:paraId="093B6B05" w14:textId="77777777" w:rsidR="00941654" w:rsidRPr="001675DA" w:rsidRDefault="00941654" w:rsidP="00941654">
            <w:pPr>
              <w:rPr>
                <w:lang w:val="en-US"/>
              </w:rPr>
            </w:pPr>
            <w:r w:rsidRPr="001675DA">
              <w:rPr>
                <w:lang w:val="en-US"/>
              </w:rPr>
              <w:t>%10.0g</w:t>
            </w:r>
          </w:p>
        </w:tc>
        <w:tc>
          <w:tcPr>
            <w:tcW w:w="2790" w:type="dxa"/>
          </w:tcPr>
          <w:p w14:paraId="478560C1" w14:textId="77777777" w:rsidR="00941654" w:rsidRPr="001675DA" w:rsidRDefault="00941654" w:rsidP="00941654">
            <w:pPr>
              <w:rPr>
                <w:lang w:val="en-US"/>
              </w:rPr>
            </w:pPr>
            <w:r w:rsidRPr="001675DA">
              <w:rPr>
                <w:lang w:val="en-US"/>
              </w:rPr>
              <w:t xml:space="preserve">44: trade debt (in </w:t>
            </w:r>
            <w:proofErr w:type="spellStart"/>
            <w:r w:rsidRPr="001675DA">
              <w:rPr>
                <w:lang w:val="en-US"/>
              </w:rPr>
              <w:t>eur</w:t>
            </w:r>
            <w:proofErr w:type="spellEnd"/>
            <w:r w:rsidRPr="001675DA">
              <w:rPr>
                <w:lang w:val="en-US"/>
              </w:rPr>
              <w:t>) (since 1996)</w:t>
            </w:r>
          </w:p>
        </w:tc>
        <w:tc>
          <w:tcPr>
            <w:tcW w:w="1895" w:type="dxa"/>
          </w:tcPr>
          <w:p w14:paraId="6B598886" w14:textId="77777777" w:rsidR="00941654" w:rsidRPr="001675DA" w:rsidRDefault="00941654" w:rsidP="00941654">
            <w:pPr>
              <w:rPr>
                <w:lang w:val="en-US"/>
              </w:rPr>
            </w:pPr>
          </w:p>
        </w:tc>
      </w:tr>
      <w:tr w:rsidR="00941654" w:rsidRPr="00941654" w14:paraId="38974945" w14:textId="64D75B03" w:rsidTr="00941654">
        <w:tblPrEx>
          <w:tblBorders>
            <w:insideH w:val="single" w:sz="4" w:space="0" w:color="auto"/>
          </w:tblBorders>
        </w:tblPrEx>
        <w:tc>
          <w:tcPr>
            <w:tcW w:w="2179" w:type="dxa"/>
          </w:tcPr>
          <w:p w14:paraId="6B4E5DA8" w14:textId="77777777" w:rsidR="00941654" w:rsidRPr="001675DA" w:rsidRDefault="00941654" w:rsidP="00941654">
            <w:pPr>
              <w:rPr>
                <w:lang w:val="en-US"/>
              </w:rPr>
            </w:pPr>
            <w:proofErr w:type="spellStart"/>
            <w:r w:rsidRPr="001675DA">
              <w:rPr>
                <w:lang w:val="en-US"/>
              </w:rPr>
              <w:t>taxsocialsecr~t</w:t>
            </w:r>
            <w:proofErr w:type="spellEnd"/>
          </w:p>
        </w:tc>
        <w:tc>
          <w:tcPr>
            <w:tcW w:w="1141" w:type="dxa"/>
          </w:tcPr>
          <w:p w14:paraId="386BE633" w14:textId="77777777" w:rsidR="00941654" w:rsidRPr="001675DA" w:rsidRDefault="00941654" w:rsidP="00941654">
            <w:pPr>
              <w:rPr>
                <w:lang w:val="en-US"/>
              </w:rPr>
            </w:pPr>
            <w:r w:rsidRPr="001675DA">
              <w:rPr>
                <w:lang w:val="en-US"/>
              </w:rPr>
              <w:t>long</w:t>
            </w:r>
          </w:p>
        </w:tc>
        <w:tc>
          <w:tcPr>
            <w:tcW w:w="1057" w:type="dxa"/>
          </w:tcPr>
          <w:p w14:paraId="1E6B0939" w14:textId="77777777" w:rsidR="00941654" w:rsidRPr="001675DA" w:rsidRDefault="00941654" w:rsidP="00941654">
            <w:pPr>
              <w:rPr>
                <w:lang w:val="en-US"/>
              </w:rPr>
            </w:pPr>
            <w:r w:rsidRPr="001675DA">
              <w:rPr>
                <w:lang w:val="en-US"/>
              </w:rPr>
              <w:t>%10.0g</w:t>
            </w:r>
          </w:p>
        </w:tc>
        <w:tc>
          <w:tcPr>
            <w:tcW w:w="2790" w:type="dxa"/>
          </w:tcPr>
          <w:p w14:paraId="0B4D8941" w14:textId="77777777" w:rsidR="00941654" w:rsidRPr="001675DA" w:rsidRDefault="00941654" w:rsidP="00941654">
            <w:pPr>
              <w:rPr>
                <w:lang w:val="en-US"/>
              </w:rPr>
            </w:pPr>
            <w:r w:rsidRPr="001675DA">
              <w:rPr>
                <w:lang w:val="en-US"/>
              </w:rPr>
              <w:t xml:space="preserve">45: tax social security debt (in </w:t>
            </w:r>
            <w:proofErr w:type="spellStart"/>
            <w:r w:rsidRPr="001675DA">
              <w:rPr>
                <w:lang w:val="en-US"/>
              </w:rPr>
              <w:t>eur</w:t>
            </w:r>
            <w:proofErr w:type="spellEnd"/>
            <w:r w:rsidRPr="001675DA">
              <w:rPr>
                <w:lang w:val="en-US"/>
              </w:rPr>
              <w:t>) (since 1996)</w:t>
            </w:r>
          </w:p>
        </w:tc>
        <w:tc>
          <w:tcPr>
            <w:tcW w:w="1895" w:type="dxa"/>
          </w:tcPr>
          <w:p w14:paraId="34CB764E" w14:textId="77777777" w:rsidR="00941654" w:rsidRPr="001675DA" w:rsidRDefault="00941654" w:rsidP="00941654">
            <w:pPr>
              <w:rPr>
                <w:lang w:val="en-US"/>
              </w:rPr>
            </w:pPr>
          </w:p>
        </w:tc>
      </w:tr>
      <w:tr w:rsidR="00941654" w:rsidRPr="00941654" w14:paraId="4DF6D459" w14:textId="7C865D9B" w:rsidTr="00941654">
        <w:tblPrEx>
          <w:tblBorders>
            <w:insideH w:val="single" w:sz="4" w:space="0" w:color="auto"/>
          </w:tblBorders>
        </w:tblPrEx>
        <w:tc>
          <w:tcPr>
            <w:tcW w:w="2179" w:type="dxa"/>
          </w:tcPr>
          <w:p w14:paraId="1EE2C0EC" w14:textId="77777777" w:rsidR="00941654" w:rsidRPr="001675DA" w:rsidRDefault="00941654" w:rsidP="00941654">
            <w:pPr>
              <w:rPr>
                <w:lang w:val="en-US"/>
              </w:rPr>
            </w:pPr>
            <w:r w:rsidRPr="001675DA">
              <w:rPr>
                <w:lang w:val="en-US"/>
              </w:rPr>
              <w:t>totalemp_a~1996</w:t>
            </w:r>
          </w:p>
        </w:tc>
        <w:tc>
          <w:tcPr>
            <w:tcW w:w="1141" w:type="dxa"/>
          </w:tcPr>
          <w:p w14:paraId="7C0FE3F0" w14:textId="77777777" w:rsidR="00941654" w:rsidRPr="001675DA" w:rsidRDefault="00941654" w:rsidP="00941654">
            <w:pPr>
              <w:rPr>
                <w:lang w:val="en-US"/>
              </w:rPr>
            </w:pPr>
            <w:r w:rsidRPr="001675DA">
              <w:rPr>
                <w:lang w:val="en-US"/>
              </w:rPr>
              <w:t>long</w:t>
            </w:r>
          </w:p>
        </w:tc>
        <w:tc>
          <w:tcPr>
            <w:tcW w:w="1057" w:type="dxa"/>
          </w:tcPr>
          <w:p w14:paraId="08A875F6" w14:textId="77777777" w:rsidR="00941654" w:rsidRPr="001675DA" w:rsidRDefault="00941654" w:rsidP="00941654">
            <w:pPr>
              <w:rPr>
                <w:lang w:val="en-US"/>
              </w:rPr>
            </w:pPr>
            <w:r w:rsidRPr="001675DA">
              <w:rPr>
                <w:lang w:val="en-US"/>
              </w:rPr>
              <w:t>%10.0g</w:t>
            </w:r>
          </w:p>
        </w:tc>
        <w:tc>
          <w:tcPr>
            <w:tcW w:w="2790" w:type="dxa"/>
          </w:tcPr>
          <w:p w14:paraId="41C216F0" w14:textId="77777777" w:rsidR="00941654" w:rsidRPr="001675DA" w:rsidRDefault="00941654" w:rsidP="00941654">
            <w:pPr>
              <w:rPr>
                <w:lang w:val="en-US"/>
              </w:rPr>
            </w:pPr>
            <w:r w:rsidRPr="001675DA">
              <w:rPr>
                <w:lang w:val="en-US"/>
              </w:rPr>
              <w:t xml:space="preserve">9086: total number of employees end </w:t>
            </w:r>
            <w:proofErr w:type="spellStart"/>
            <w:r w:rsidRPr="001675DA">
              <w:rPr>
                <w:lang w:val="en-US"/>
              </w:rPr>
              <w:t>bookyear</w:t>
            </w:r>
            <w:proofErr w:type="spellEnd"/>
            <w:r w:rsidRPr="001675DA">
              <w:rPr>
                <w:lang w:val="en-US"/>
              </w:rPr>
              <w:t xml:space="preserve"> since 1996</w:t>
            </w:r>
          </w:p>
        </w:tc>
        <w:tc>
          <w:tcPr>
            <w:tcW w:w="1895" w:type="dxa"/>
          </w:tcPr>
          <w:p w14:paraId="49C20A41" w14:textId="77777777" w:rsidR="00941654" w:rsidRPr="001675DA" w:rsidRDefault="00941654" w:rsidP="00941654">
            <w:pPr>
              <w:rPr>
                <w:lang w:val="en-US"/>
              </w:rPr>
            </w:pPr>
          </w:p>
        </w:tc>
      </w:tr>
      <w:tr w:rsidR="00941654" w:rsidRPr="00941654" w14:paraId="5D0430B6" w14:textId="34103EB3" w:rsidTr="00941654">
        <w:tblPrEx>
          <w:tblBorders>
            <w:insideH w:val="single" w:sz="4" w:space="0" w:color="auto"/>
          </w:tblBorders>
        </w:tblPrEx>
        <w:tc>
          <w:tcPr>
            <w:tcW w:w="2179" w:type="dxa"/>
          </w:tcPr>
          <w:p w14:paraId="113D2809" w14:textId="77777777" w:rsidR="00941654" w:rsidRPr="001675DA" w:rsidRDefault="00941654" w:rsidP="00941654">
            <w:pPr>
              <w:rPr>
                <w:lang w:val="en-US"/>
              </w:rPr>
            </w:pPr>
            <w:r w:rsidRPr="001675DA">
              <w:rPr>
                <w:lang w:val="en-US"/>
              </w:rPr>
              <w:lastRenderedPageBreak/>
              <w:t>avgfte_aft~1996</w:t>
            </w:r>
          </w:p>
        </w:tc>
        <w:tc>
          <w:tcPr>
            <w:tcW w:w="1141" w:type="dxa"/>
          </w:tcPr>
          <w:p w14:paraId="7235A29B" w14:textId="77777777" w:rsidR="00941654" w:rsidRPr="001675DA" w:rsidRDefault="00941654" w:rsidP="00941654">
            <w:pPr>
              <w:rPr>
                <w:lang w:val="en-US"/>
              </w:rPr>
            </w:pPr>
            <w:r w:rsidRPr="001675DA">
              <w:rPr>
                <w:lang w:val="en-US"/>
              </w:rPr>
              <w:t>double</w:t>
            </w:r>
          </w:p>
        </w:tc>
        <w:tc>
          <w:tcPr>
            <w:tcW w:w="1057" w:type="dxa"/>
          </w:tcPr>
          <w:p w14:paraId="0EABFD23" w14:textId="77777777" w:rsidR="00941654" w:rsidRPr="001675DA" w:rsidRDefault="00941654" w:rsidP="00941654">
            <w:pPr>
              <w:rPr>
                <w:lang w:val="en-US"/>
              </w:rPr>
            </w:pPr>
            <w:r w:rsidRPr="001675DA">
              <w:rPr>
                <w:lang w:val="en-US"/>
              </w:rPr>
              <w:t>%10.0g</w:t>
            </w:r>
          </w:p>
        </w:tc>
        <w:tc>
          <w:tcPr>
            <w:tcW w:w="2790" w:type="dxa"/>
          </w:tcPr>
          <w:p w14:paraId="771ADFAF" w14:textId="77777777" w:rsidR="00941654" w:rsidRPr="001675DA" w:rsidRDefault="00941654" w:rsidP="00941654">
            <w:pPr>
              <w:rPr>
                <w:lang w:val="en-US"/>
              </w:rPr>
            </w:pPr>
            <w:r w:rsidRPr="001675DA">
              <w:rPr>
                <w:lang w:val="en-US"/>
              </w:rPr>
              <w:t>9087: average number of employees in full-time equivalent</w:t>
            </w:r>
            <w:r>
              <w:rPr>
                <w:lang w:val="en-US"/>
              </w:rPr>
              <w:t xml:space="preserve"> (</w:t>
            </w:r>
            <w:proofErr w:type="spellStart"/>
            <w:r>
              <w:rPr>
                <w:lang w:val="en-US"/>
              </w:rPr>
              <w:t>fte</w:t>
            </w:r>
            <w:proofErr w:type="spellEnd"/>
            <w:r>
              <w:rPr>
                <w:lang w:val="en-US"/>
              </w:rPr>
              <w:t>) since 1996</w:t>
            </w:r>
          </w:p>
        </w:tc>
        <w:tc>
          <w:tcPr>
            <w:tcW w:w="1895" w:type="dxa"/>
          </w:tcPr>
          <w:p w14:paraId="6E421FC2" w14:textId="1125131C" w:rsidR="00941654" w:rsidRPr="001675DA" w:rsidRDefault="00941654" w:rsidP="00941654">
            <w:pPr>
              <w:rPr>
                <w:lang w:val="en-US"/>
              </w:rPr>
            </w:pPr>
            <w:r>
              <w:rPr>
                <w:lang w:val="en-US"/>
              </w:rPr>
              <w:t>Can keep as this</w:t>
            </w:r>
          </w:p>
        </w:tc>
      </w:tr>
      <w:tr w:rsidR="00941654" w:rsidRPr="001675DA" w14:paraId="721DF809" w14:textId="79C9414C" w:rsidTr="00941654">
        <w:tblPrEx>
          <w:tblBorders>
            <w:insideH w:val="single" w:sz="4" w:space="0" w:color="auto"/>
          </w:tblBorders>
        </w:tblPrEx>
        <w:tc>
          <w:tcPr>
            <w:tcW w:w="2179" w:type="dxa"/>
          </w:tcPr>
          <w:p w14:paraId="04CDA4F1" w14:textId="77777777" w:rsidR="00941654" w:rsidRPr="001675DA" w:rsidRDefault="00941654" w:rsidP="00941654">
            <w:pPr>
              <w:rPr>
                <w:lang w:val="en-US"/>
              </w:rPr>
            </w:pPr>
            <w:proofErr w:type="spellStart"/>
            <w:r w:rsidRPr="001675DA">
              <w:rPr>
                <w:lang w:val="en-US"/>
              </w:rPr>
              <w:t>hours_effective</w:t>
            </w:r>
            <w:proofErr w:type="spellEnd"/>
          </w:p>
        </w:tc>
        <w:tc>
          <w:tcPr>
            <w:tcW w:w="1141" w:type="dxa"/>
          </w:tcPr>
          <w:p w14:paraId="603D5776" w14:textId="77777777" w:rsidR="00941654" w:rsidRPr="001675DA" w:rsidRDefault="00941654" w:rsidP="00941654">
            <w:pPr>
              <w:rPr>
                <w:lang w:val="en-US"/>
              </w:rPr>
            </w:pPr>
            <w:r w:rsidRPr="001675DA">
              <w:rPr>
                <w:lang w:val="en-US"/>
              </w:rPr>
              <w:t>long</w:t>
            </w:r>
          </w:p>
        </w:tc>
        <w:tc>
          <w:tcPr>
            <w:tcW w:w="1057" w:type="dxa"/>
          </w:tcPr>
          <w:p w14:paraId="2C5146A0" w14:textId="77777777" w:rsidR="00941654" w:rsidRPr="001675DA" w:rsidRDefault="00941654" w:rsidP="00941654">
            <w:pPr>
              <w:rPr>
                <w:lang w:val="en-US"/>
              </w:rPr>
            </w:pPr>
            <w:r w:rsidRPr="001675DA">
              <w:rPr>
                <w:lang w:val="en-US"/>
              </w:rPr>
              <w:t>%10.0g</w:t>
            </w:r>
          </w:p>
        </w:tc>
        <w:tc>
          <w:tcPr>
            <w:tcW w:w="2790" w:type="dxa"/>
          </w:tcPr>
          <w:p w14:paraId="450F2C29" w14:textId="77777777" w:rsidR="00941654" w:rsidRPr="001675DA" w:rsidRDefault="00941654" w:rsidP="00941654">
            <w:pPr>
              <w:rPr>
                <w:lang w:val="en-US"/>
              </w:rPr>
            </w:pPr>
            <w:r w:rsidRPr="001675DA">
              <w:rPr>
                <w:lang w:val="en-US"/>
              </w:rPr>
              <w:t>9088: effective hours worked since 1996</w:t>
            </w:r>
          </w:p>
        </w:tc>
        <w:tc>
          <w:tcPr>
            <w:tcW w:w="1895" w:type="dxa"/>
          </w:tcPr>
          <w:p w14:paraId="38DAE923" w14:textId="1E3231B9" w:rsidR="00941654" w:rsidRPr="001675DA" w:rsidRDefault="00941654" w:rsidP="00941654">
            <w:pPr>
              <w:rPr>
                <w:lang w:val="en-US"/>
              </w:rPr>
            </w:pPr>
            <w:r>
              <w:rPr>
                <w:lang w:val="en-US"/>
              </w:rPr>
              <w:t>adjust</w:t>
            </w:r>
          </w:p>
        </w:tc>
      </w:tr>
      <w:tr w:rsidR="00941654" w:rsidRPr="00941654" w14:paraId="0AB0D520" w14:textId="412EA62D" w:rsidTr="00941654">
        <w:tblPrEx>
          <w:tblBorders>
            <w:insideH w:val="single" w:sz="4" w:space="0" w:color="auto"/>
          </w:tblBorders>
        </w:tblPrEx>
        <w:tc>
          <w:tcPr>
            <w:tcW w:w="2179" w:type="dxa"/>
          </w:tcPr>
          <w:p w14:paraId="02C154A1" w14:textId="77777777" w:rsidR="00941654" w:rsidRPr="001675DA" w:rsidRDefault="00941654" w:rsidP="00941654">
            <w:pPr>
              <w:rPr>
                <w:lang w:val="en-US"/>
              </w:rPr>
            </w:pPr>
            <w:r w:rsidRPr="001675DA">
              <w:rPr>
                <w:lang w:val="en-US"/>
              </w:rPr>
              <w:t>fulltime</w:t>
            </w:r>
          </w:p>
        </w:tc>
        <w:tc>
          <w:tcPr>
            <w:tcW w:w="1141" w:type="dxa"/>
          </w:tcPr>
          <w:p w14:paraId="4DD85292" w14:textId="77777777" w:rsidR="00941654" w:rsidRPr="001675DA" w:rsidRDefault="00941654" w:rsidP="00941654">
            <w:pPr>
              <w:rPr>
                <w:lang w:val="en-US"/>
              </w:rPr>
            </w:pPr>
            <w:r w:rsidRPr="001675DA">
              <w:rPr>
                <w:lang w:val="en-US"/>
              </w:rPr>
              <w:t>double</w:t>
            </w:r>
          </w:p>
        </w:tc>
        <w:tc>
          <w:tcPr>
            <w:tcW w:w="1057" w:type="dxa"/>
          </w:tcPr>
          <w:p w14:paraId="7EE479B6" w14:textId="77777777" w:rsidR="00941654" w:rsidRPr="001675DA" w:rsidRDefault="00941654" w:rsidP="00941654">
            <w:pPr>
              <w:rPr>
                <w:lang w:val="en-US"/>
              </w:rPr>
            </w:pPr>
            <w:r w:rsidRPr="001675DA">
              <w:rPr>
                <w:lang w:val="en-US"/>
              </w:rPr>
              <w:t>%10.0g</w:t>
            </w:r>
          </w:p>
        </w:tc>
        <w:tc>
          <w:tcPr>
            <w:tcW w:w="2790" w:type="dxa"/>
          </w:tcPr>
          <w:p w14:paraId="1E1E47AF" w14:textId="77777777" w:rsidR="00941654" w:rsidRPr="001675DA" w:rsidRDefault="00941654" w:rsidP="00941654">
            <w:pPr>
              <w:rPr>
                <w:lang w:val="en-US"/>
              </w:rPr>
            </w:pPr>
            <w:r w:rsidRPr="001675DA">
              <w:rPr>
                <w:lang w:val="en-US"/>
              </w:rPr>
              <w:t>100_1 (sb): number of fulltime employees</w:t>
            </w:r>
          </w:p>
        </w:tc>
        <w:tc>
          <w:tcPr>
            <w:tcW w:w="1895" w:type="dxa"/>
          </w:tcPr>
          <w:p w14:paraId="35A9EA9C" w14:textId="77777777" w:rsidR="00941654" w:rsidRPr="001675DA" w:rsidRDefault="00941654" w:rsidP="00941654">
            <w:pPr>
              <w:rPr>
                <w:lang w:val="en-US"/>
              </w:rPr>
            </w:pPr>
          </w:p>
        </w:tc>
      </w:tr>
      <w:tr w:rsidR="00941654" w:rsidRPr="00941654" w14:paraId="2AF34CBE" w14:textId="529A297A" w:rsidTr="00941654">
        <w:tblPrEx>
          <w:tblBorders>
            <w:insideH w:val="single" w:sz="4" w:space="0" w:color="auto"/>
          </w:tblBorders>
        </w:tblPrEx>
        <w:tc>
          <w:tcPr>
            <w:tcW w:w="2179" w:type="dxa"/>
          </w:tcPr>
          <w:p w14:paraId="3CECEA37" w14:textId="77777777" w:rsidR="00941654" w:rsidRPr="001675DA" w:rsidRDefault="00941654" w:rsidP="00941654">
            <w:pPr>
              <w:rPr>
                <w:lang w:val="en-US"/>
              </w:rPr>
            </w:pPr>
            <w:r w:rsidRPr="001675DA">
              <w:rPr>
                <w:lang w:val="en-US"/>
              </w:rPr>
              <w:t>parttime</w:t>
            </w:r>
          </w:p>
        </w:tc>
        <w:tc>
          <w:tcPr>
            <w:tcW w:w="1141" w:type="dxa"/>
          </w:tcPr>
          <w:p w14:paraId="67E225A8" w14:textId="77777777" w:rsidR="00941654" w:rsidRPr="001675DA" w:rsidRDefault="00941654" w:rsidP="00941654">
            <w:pPr>
              <w:rPr>
                <w:lang w:val="en-US"/>
              </w:rPr>
            </w:pPr>
            <w:r w:rsidRPr="001675DA">
              <w:rPr>
                <w:lang w:val="en-US"/>
              </w:rPr>
              <w:t>double</w:t>
            </w:r>
          </w:p>
        </w:tc>
        <w:tc>
          <w:tcPr>
            <w:tcW w:w="1057" w:type="dxa"/>
          </w:tcPr>
          <w:p w14:paraId="69CB8A86" w14:textId="77777777" w:rsidR="00941654" w:rsidRPr="001675DA" w:rsidRDefault="00941654" w:rsidP="00941654">
            <w:pPr>
              <w:rPr>
                <w:lang w:val="en-US"/>
              </w:rPr>
            </w:pPr>
            <w:r w:rsidRPr="001675DA">
              <w:rPr>
                <w:lang w:val="en-US"/>
              </w:rPr>
              <w:t>%10.0g</w:t>
            </w:r>
          </w:p>
        </w:tc>
        <w:tc>
          <w:tcPr>
            <w:tcW w:w="2790" w:type="dxa"/>
          </w:tcPr>
          <w:p w14:paraId="408E377B" w14:textId="77777777" w:rsidR="00941654" w:rsidRPr="001675DA" w:rsidRDefault="00941654" w:rsidP="00941654">
            <w:pPr>
              <w:rPr>
                <w:lang w:val="en-US"/>
              </w:rPr>
            </w:pPr>
            <w:r w:rsidRPr="001675DA">
              <w:rPr>
                <w:lang w:val="en-US"/>
              </w:rPr>
              <w:t xml:space="preserve">100_2 (sb): number of </w:t>
            </w:r>
            <w:proofErr w:type="spellStart"/>
            <w:r w:rsidRPr="001675DA">
              <w:rPr>
                <w:lang w:val="en-US"/>
              </w:rPr>
              <w:t>partime</w:t>
            </w:r>
            <w:proofErr w:type="spellEnd"/>
            <w:r w:rsidRPr="001675DA">
              <w:rPr>
                <w:lang w:val="en-US"/>
              </w:rPr>
              <w:t xml:space="preserve"> employees</w:t>
            </w:r>
          </w:p>
        </w:tc>
        <w:tc>
          <w:tcPr>
            <w:tcW w:w="1895" w:type="dxa"/>
          </w:tcPr>
          <w:p w14:paraId="7F36201B" w14:textId="77777777" w:rsidR="00941654" w:rsidRPr="001675DA" w:rsidRDefault="00941654" w:rsidP="00941654">
            <w:pPr>
              <w:rPr>
                <w:lang w:val="en-US"/>
              </w:rPr>
            </w:pPr>
          </w:p>
        </w:tc>
      </w:tr>
      <w:tr w:rsidR="00941654" w:rsidRPr="00941654" w14:paraId="7A5E058C" w14:textId="5A7AB680" w:rsidTr="00941654">
        <w:tblPrEx>
          <w:tblBorders>
            <w:insideH w:val="single" w:sz="4" w:space="0" w:color="auto"/>
          </w:tblBorders>
        </w:tblPrEx>
        <w:tc>
          <w:tcPr>
            <w:tcW w:w="2179" w:type="dxa"/>
          </w:tcPr>
          <w:p w14:paraId="52D3CD72" w14:textId="77777777" w:rsidR="00941654" w:rsidRPr="001675DA" w:rsidRDefault="00941654" w:rsidP="00941654">
            <w:pPr>
              <w:rPr>
                <w:lang w:val="en-US"/>
              </w:rPr>
            </w:pPr>
            <w:r w:rsidRPr="001675DA">
              <w:rPr>
                <w:lang w:val="en-US"/>
              </w:rPr>
              <w:t>totalfte_a~1996</w:t>
            </w:r>
          </w:p>
        </w:tc>
        <w:tc>
          <w:tcPr>
            <w:tcW w:w="1141" w:type="dxa"/>
          </w:tcPr>
          <w:p w14:paraId="227D5FA3" w14:textId="77777777" w:rsidR="00941654" w:rsidRPr="001675DA" w:rsidRDefault="00941654" w:rsidP="00941654">
            <w:pPr>
              <w:rPr>
                <w:lang w:val="en-US"/>
              </w:rPr>
            </w:pPr>
            <w:r w:rsidRPr="001675DA">
              <w:rPr>
                <w:lang w:val="en-US"/>
              </w:rPr>
              <w:t>double</w:t>
            </w:r>
          </w:p>
        </w:tc>
        <w:tc>
          <w:tcPr>
            <w:tcW w:w="1057" w:type="dxa"/>
          </w:tcPr>
          <w:p w14:paraId="3ECAC628" w14:textId="77777777" w:rsidR="00941654" w:rsidRPr="001675DA" w:rsidRDefault="00941654" w:rsidP="00941654">
            <w:pPr>
              <w:rPr>
                <w:lang w:val="en-US"/>
              </w:rPr>
            </w:pPr>
            <w:r w:rsidRPr="001675DA">
              <w:rPr>
                <w:lang w:val="en-US"/>
              </w:rPr>
              <w:t>%10.0g</w:t>
            </w:r>
          </w:p>
        </w:tc>
        <w:tc>
          <w:tcPr>
            <w:tcW w:w="2790" w:type="dxa"/>
          </w:tcPr>
          <w:p w14:paraId="0420D37D" w14:textId="77777777" w:rsidR="00941654" w:rsidRPr="001675DA" w:rsidRDefault="00941654" w:rsidP="00941654">
            <w:pPr>
              <w:rPr>
                <w:lang w:val="en-US"/>
              </w:rPr>
            </w:pPr>
            <w:r w:rsidRPr="001675DA">
              <w:rPr>
                <w:lang w:val="en-US"/>
              </w:rPr>
              <w:t>100_3 (sb): total number of employees in full-time equivalent</w:t>
            </w:r>
          </w:p>
        </w:tc>
        <w:tc>
          <w:tcPr>
            <w:tcW w:w="1895" w:type="dxa"/>
          </w:tcPr>
          <w:p w14:paraId="30B82EBB" w14:textId="77777777" w:rsidR="00941654" w:rsidRPr="001675DA" w:rsidRDefault="00941654" w:rsidP="00941654">
            <w:pPr>
              <w:rPr>
                <w:lang w:val="en-US"/>
              </w:rPr>
            </w:pPr>
          </w:p>
        </w:tc>
      </w:tr>
      <w:tr w:rsidR="00941654" w:rsidRPr="00941654" w14:paraId="1ABDF28E" w14:textId="24E59ACB" w:rsidTr="00941654">
        <w:tblPrEx>
          <w:tblBorders>
            <w:insideH w:val="single" w:sz="4" w:space="0" w:color="auto"/>
          </w:tblBorders>
        </w:tblPrEx>
        <w:tc>
          <w:tcPr>
            <w:tcW w:w="2179" w:type="dxa"/>
          </w:tcPr>
          <w:p w14:paraId="0407D355" w14:textId="77777777" w:rsidR="00941654" w:rsidRPr="001675DA" w:rsidRDefault="00941654" w:rsidP="00941654">
            <w:pPr>
              <w:rPr>
                <w:lang w:val="en-US"/>
              </w:rPr>
            </w:pPr>
            <w:r w:rsidRPr="001675DA">
              <w:rPr>
                <w:lang w:val="en-US"/>
              </w:rPr>
              <w:t>emplworkre~1996</w:t>
            </w:r>
          </w:p>
        </w:tc>
        <w:tc>
          <w:tcPr>
            <w:tcW w:w="1141" w:type="dxa"/>
          </w:tcPr>
          <w:p w14:paraId="3B4326F1" w14:textId="77777777" w:rsidR="00941654" w:rsidRPr="001675DA" w:rsidRDefault="00941654" w:rsidP="00941654">
            <w:pPr>
              <w:rPr>
                <w:lang w:val="en-US"/>
              </w:rPr>
            </w:pPr>
            <w:r w:rsidRPr="001675DA">
              <w:rPr>
                <w:lang w:val="en-US"/>
              </w:rPr>
              <w:t>double</w:t>
            </w:r>
          </w:p>
        </w:tc>
        <w:tc>
          <w:tcPr>
            <w:tcW w:w="1057" w:type="dxa"/>
          </w:tcPr>
          <w:p w14:paraId="1A39B4D5" w14:textId="77777777" w:rsidR="00941654" w:rsidRPr="001675DA" w:rsidRDefault="00941654" w:rsidP="00941654">
            <w:pPr>
              <w:rPr>
                <w:lang w:val="en-US"/>
              </w:rPr>
            </w:pPr>
            <w:r w:rsidRPr="001675DA">
              <w:rPr>
                <w:lang w:val="en-US"/>
              </w:rPr>
              <w:t>%10.0g</w:t>
            </w:r>
          </w:p>
        </w:tc>
        <w:tc>
          <w:tcPr>
            <w:tcW w:w="2790" w:type="dxa"/>
          </w:tcPr>
          <w:p w14:paraId="32DB1B95" w14:textId="77777777" w:rsidR="00941654" w:rsidRPr="001675DA" w:rsidRDefault="00941654" w:rsidP="00941654">
            <w:pPr>
              <w:rPr>
                <w:lang w:val="en-US"/>
              </w:rPr>
            </w:pPr>
            <w:r w:rsidRPr="001675DA">
              <w:rPr>
                <w:lang w:val="en-US"/>
              </w:rPr>
              <w:t>105 (sb): number of employees inscribed in work/employment</w:t>
            </w:r>
          </w:p>
        </w:tc>
        <w:tc>
          <w:tcPr>
            <w:tcW w:w="1895" w:type="dxa"/>
          </w:tcPr>
          <w:p w14:paraId="177035F1" w14:textId="77777777" w:rsidR="00941654" w:rsidRPr="001675DA" w:rsidRDefault="00941654" w:rsidP="00941654">
            <w:pPr>
              <w:rPr>
                <w:lang w:val="en-US"/>
              </w:rPr>
            </w:pPr>
          </w:p>
        </w:tc>
      </w:tr>
      <w:tr w:rsidR="00941654" w:rsidRPr="001675DA" w14:paraId="3E0EF29B" w14:textId="46D20A02" w:rsidTr="00941654">
        <w:tblPrEx>
          <w:tblBorders>
            <w:insideH w:val="single" w:sz="4" w:space="0" w:color="auto"/>
          </w:tblBorders>
        </w:tblPrEx>
        <w:tc>
          <w:tcPr>
            <w:tcW w:w="2179" w:type="dxa"/>
          </w:tcPr>
          <w:p w14:paraId="040EF9BF" w14:textId="77777777" w:rsidR="00941654" w:rsidRPr="001675DA" w:rsidRDefault="00941654" w:rsidP="00941654">
            <w:pPr>
              <w:rPr>
                <w:lang w:val="en-US"/>
              </w:rPr>
            </w:pPr>
          </w:p>
        </w:tc>
        <w:tc>
          <w:tcPr>
            <w:tcW w:w="1141" w:type="dxa"/>
          </w:tcPr>
          <w:p w14:paraId="4D8FC4CA" w14:textId="77777777" w:rsidR="00941654" w:rsidRPr="001675DA" w:rsidRDefault="00941654" w:rsidP="00941654">
            <w:pPr>
              <w:rPr>
                <w:lang w:val="en-US"/>
              </w:rPr>
            </w:pPr>
          </w:p>
        </w:tc>
        <w:tc>
          <w:tcPr>
            <w:tcW w:w="1057" w:type="dxa"/>
          </w:tcPr>
          <w:p w14:paraId="1F7D6043" w14:textId="77777777" w:rsidR="00941654" w:rsidRPr="001675DA" w:rsidRDefault="00941654" w:rsidP="00941654">
            <w:pPr>
              <w:rPr>
                <w:lang w:val="en-US"/>
              </w:rPr>
            </w:pPr>
          </w:p>
        </w:tc>
        <w:tc>
          <w:tcPr>
            <w:tcW w:w="2790" w:type="dxa"/>
          </w:tcPr>
          <w:p w14:paraId="27E2ACE1" w14:textId="77777777" w:rsidR="00941654" w:rsidRPr="001675DA" w:rsidRDefault="00941654" w:rsidP="00941654">
            <w:pPr>
              <w:rPr>
                <w:lang w:val="en-US"/>
              </w:rPr>
            </w:pPr>
            <w:r w:rsidRPr="001675DA">
              <w:rPr>
                <w:lang w:val="en-US"/>
              </w:rPr>
              <w:t>register (</w:t>
            </w:r>
            <w:proofErr w:type="spellStart"/>
            <w:r w:rsidRPr="001675DA">
              <w:rPr>
                <w:lang w:val="en-US"/>
              </w:rPr>
              <w:t>fte</w:t>
            </w:r>
            <w:proofErr w:type="spellEnd"/>
            <w:r w:rsidRPr="001675DA">
              <w:rPr>
                <w:lang w:val="en-US"/>
              </w:rPr>
              <w:t>) since</w:t>
            </w:r>
          </w:p>
        </w:tc>
        <w:tc>
          <w:tcPr>
            <w:tcW w:w="1895" w:type="dxa"/>
          </w:tcPr>
          <w:p w14:paraId="02D6D60F" w14:textId="77777777" w:rsidR="00941654" w:rsidRPr="001675DA" w:rsidRDefault="00941654" w:rsidP="00941654">
            <w:pPr>
              <w:rPr>
                <w:lang w:val="en-US"/>
              </w:rPr>
            </w:pPr>
          </w:p>
        </w:tc>
      </w:tr>
      <w:tr w:rsidR="00941654" w:rsidRPr="00941654" w14:paraId="5E0E20B3" w14:textId="06DE9D13" w:rsidTr="00941654">
        <w:tblPrEx>
          <w:tblBorders>
            <w:insideH w:val="single" w:sz="4" w:space="0" w:color="auto"/>
          </w:tblBorders>
        </w:tblPrEx>
        <w:tc>
          <w:tcPr>
            <w:tcW w:w="2179" w:type="dxa"/>
          </w:tcPr>
          <w:p w14:paraId="5E7DE6FE" w14:textId="77777777" w:rsidR="00941654" w:rsidRPr="001675DA" w:rsidRDefault="00941654" w:rsidP="00941654">
            <w:pPr>
              <w:rPr>
                <w:lang w:val="en-US"/>
              </w:rPr>
            </w:pPr>
            <w:proofErr w:type="spellStart"/>
            <w:r w:rsidRPr="001675DA">
              <w:rPr>
                <w:lang w:val="en-US"/>
              </w:rPr>
              <w:t>labourcosts</w:t>
            </w:r>
            <w:proofErr w:type="spellEnd"/>
          </w:p>
        </w:tc>
        <w:tc>
          <w:tcPr>
            <w:tcW w:w="1141" w:type="dxa"/>
          </w:tcPr>
          <w:p w14:paraId="1F139171" w14:textId="77777777" w:rsidR="00941654" w:rsidRPr="001675DA" w:rsidRDefault="00941654" w:rsidP="00941654">
            <w:pPr>
              <w:rPr>
                <w:lang w:val="en-US"/>
              </w:rPr>
            </w:pPr>
            <w:r w:rsidRPr="001675DA">
              <w:rPr>
                <w:lang w:val="en-US"/>
              </w:rPr>
              <w:t>long</w:t>
            </w:r>
          </w:p>
        </w:tc>
        <w:tc>
          <w:tcPr>
            <w:tcW w:w="1057" w:type="dxa"/>
          </w:tcPr>
          <w:p w14:paraId="4CBF567F" w14:textId="77777777" w:rsidR="00941654" w:rsidRPr="001675DA" w:rsidRDefault="00941654" w:rsidP="00941654">
            <w:pPr>
              <w:rPr>
                <w:lang w:val="en-US"/>
              </w:rPr>
            </w:pPr>
            <w:r w:rsidRPr="001675DA">
              <w:rPr>
                <w:lang w:val="en-US"/>
              </w:rPr>
              <w:t>%10.0g</w:t>
            </w:r>
          </w:p>
        </w:tc>
        <w:tc>
          <w:tcPr>
            <w:tcW w:w="2790" w:type="dxa"/>
          </w:tcPr>
          <w:p w14:paraId="636613B0" w14:textId="77777777" w:rsidR="00941654" w:rsidRPr="001675DA" w:rsidRDefault="00941654" w:rsidP="00941654">
            <w:pPr>
              <w:rPr>
                <w:lang w:val="en-US"/>
              </w:rPr>
            </w:pPr>
            <w:r w:rsidRPr="001675DA">
              <w:rPr>
                <w:lang w:val="en-US"/>
              </w:rPr>
              <w:t>102 (sb): personnel cost current year</w:t>
            </w:r>
          </w:p>
        </w:tc>
        <w:tc>
          <w:tcPr>
            <w:tcW w:w="1895" w:type="dxa"/>
          </w:tcPr>
          <w:p w14:paraId="253C880C" w14:textId="77777777" w:rsidR="00941654" w:rsidRPr="001675DA" w:rsidRDefault="00941654" w:rsidP="00941654">
            <w:pPr>
              <w:rPr>
                <w:lang w:val="en-US"/>
              </w:rPr>
            </w:pPr>
          </w:p>
        </w:tc>
      </w:tr>
      <w:tr w:rsidR="00941654" w:rsidRPr="00941654" w14:paraId="565E2E54" w14:textId="1E3BE9ED" w:rsidTr="00941654">
        <w:tblPrEx>
          <w:tblBorders>
            <w:insideH w:val="single" w:sz="4" w:space="0" w:color="auto"/>
          </w:tblBorders>
        </w:tblPrEx>
        <w:tc>
          <w:tcPr>
            <w:tcW w:w="2179" w:type="dxa"/>
          </w:tcPr>
          <w:p w14:paraId="5F096418" w14:textId="77777777" w:rsidR="00941654" w:rsidRPr="001675DA" w:rsidRDefault="00941654" w:rsidP="00941654">
            <w:pPr>
              <w:rPr>
                <w:lang w:val="en-US"/>
              </w:rPr>
            </w:pPr>
            <w:proofErr w:type="spellStart"/>
            <w:r w:rsidRPr="001675DA">
              <w:rPr>
                <w:lang w:val="en-US"/>
              </w:rPr>
              <w:t>extralegalben~s</w:t>
            </w:r>
            <w:proofErr w:type="spellEnd"/>
          </w:p>
        </w:tc>
        <w:tc>
          <w:tcPr>
            <w:tcW w:w="1141" w:type="dxa"/>
          </w:tcPr>
          <w:p w14:paraId="0651CA3C" w14:textId="77777777" w:rsidR="00941654" w:rsidRPr="001675DA" w:rsidRDefault="00941654" w:rsidP="00941654">
            <w:pPr>
              <w:rPr>
                <w:lang w:val="en-US"/>
              </w:rPr>
            </w:pPr>
            <w:r w:rsidRPr="001675DA">
              <w:rPr>
                <w:lang w:val="en-US"/>
              </w:rPr>
              <w:t>long</w:t>
            </w:r>
          </w:p>
        </w:tc>
        <w:tc>
          <w:tcPr>
            <w:tcW w:w="1057" w:type="dxa"/>
          </w:tcPr>
          <w:p w14:paraId="0AC8074A" w14:textId="77777777" w:rsidR="00941654" w:rsidRPr="001675DA" w:rsidRDefault="00941654" w:rsidP="00941654">
            <w:pPr>
              <w:rPr>
                <w:lang w:val="en-US"/>
              </w:rPr>
            </w:pPr>
            <w:r w:rsidRPr="001675DA">
              <w:rPr>
                <w:lang w:val="en-US"/>
              </w:rPr>
              <w:t>%10.0g</w:t>
            </w:r>
          </w:p>
        </w:tc>
        <w:tc>
          <w:tcPr>
            <w:tcW w:w="2790" w:type="dxa"/>
          </w:tcPr>
          <w:p w14:paraId="36CC4ACB" w14:textId="77777777" w:rsidR="00941654" w:rsidRPr="001675DA" w:rsidRDefault="00941654" w:rsidP="00941654">
            <w:pPr>
              <w:rPr>
                <w:lang w:val="en-US"/>
              </w:rPr>
            </w:pPr>
            <w:r w:rsidRPr="001675DA">
              <w:rPr>
                <w:lang w:val="en-US"/>
              </w:rPr>
              <w:t xml:space="preserve">103 (sb): </w:t>
            </w:r>
            <w:proofErr w:type="spellStart"/>
            <w:r w:rsidRPr="001675DA">
              <w:rPr>
                <w:lang w:val="en-US"/>
              </w:rPr>
              <w:t>extra legal</w:t>
            </w:r>
            <w:proofErr w:type="spellEnd"/>
            <w:r w:rsidRPr="001675DA">
              <w:rPr>
                <w:lang w:val="en-US"/>
              </w:rPr>
              <w:t xml:space="preserve"> advantages on top of wage current year</w:t>
            </w:r>
          </w:p>
        </w:tc>
        <w:tc>
          <w:tcPr>
            <w:tcW w:w="1895" w:type="dxa"/>
          </w:tcPr>
          <w:p w14:paraId="7B89EED1" w14:textId="77777777" w:rsidR="00941654" w:rsidRPr="001675DA" w:rsidRDefault="00941654" w:rsidP="00941654">
            <w:pPr>
              <w:rPr>
                <w:lang w:val="en-US"/>
              </w:rPr>
            </w:pPr>
          </w:p>
        </w:tc>
      </w:tr>
      <w:tr w:rsidR="00941654" w:rsidRPr="001675DA" w14:paraId="57C6B257" w14:textId="759BB595" w:rsidTr="00941654">
        <w:tblPrEx>
          <w:tblBorders>
            <w:insideH w:val="single" w:sz="4" w:space="0" w:color="auto"/>
          </w:tblBorders>
        </w:tblPrEx>
        <w:tc>
          <w:tcPr>
            <w:tcW w:w="2179" w:type="dxa"/>
          </w:tcPr>
          <w:p w14:paraId="76242B86" w14:textId="77777777" w:rsidR="00941654" w:rsidRPr="001675DA" w:rsidRDefault="00941654" w:rsidP="00941654">
            <w:pPr>
              <w:rPr>
                <w:lang w:val="en-US"/>
              </w:rPr>
            </w:pPr>
            <w:proofErr w:type="spellStart"/>
            <w:r w:rsidRPr="001675DA">
              <w:rPr>
                <w:lang w:val="en-US"/>
              </w:rPr>
              <w:t>managers_fte</w:t>
            </w:r>
            <w:proofErr w:type="spellEnd"/>
          </w:p>
        </w:tc>
        <w:tc>
          <w:tcPr>
            <w:tcW w:w="1141" w:type="dxa"/>
          </w:tcPr>
          <w:p w14:paraId="64A699CE" w14:textId="77777777" w:rsidR="00941654" w:rsidRPr="001675DA" w:rsidRDefault="00941654" w:rsidP="00941654">
            <w:pPr>
              <w:rPr>
                <w:lang w:val="en-US"/>
              </w:rPr>
            </w:pPr>
            <w:r w:rsidRPr="001675DA">
              <w:rPr>
                <w:lang w:val="en-US"/>
              </w:rPr>
              <w:t>double</w:t>
            </w:r>
          </w:p>
        </w:tc>
        <w:tc>
          <w:tcPr>
            <w:tcW w:w="1057" w:type="dxa"/>
          </w:tcPr>
          <w:p w14:paraId="666763DA" w14:textId="77777777" w:rsidR="00941654" w:rsidRPr="001675DA" w:rsidRDefault="00941654" w:rsidP="00941654">
            <w:pPr>
              <w:rPr>
                <w:lang w:val="en-US"/>
              </w:rPr>
            </w:pPr>
            <w:r w:rsidRPr="001675DA">
              <w:rPr>
                <w:lang w:val="en-US"/>
              </w:rPr>
              <w:t>%10.0g</w:t>
            </w:r>
          </w:p>
        </w:tc>
        <w:tc>
          <w:tcPr>
            <w:tcW w:w="2790" w:type="dxa"/>
          </w:tcPr>
          <w:p w14:paraId="276E913E" w14:textId="77777777" w:rsidR="00941654" w:rsidRPr="001675DA" w:rsidRDefault="00941654" w:rsidP="00941654">
            <w:pPr>
              <w:rPr>
                <w:lang w:val="en-US"/>
              </w:rPr>
            </w:pPr>
            <w:r w:rsidRPr="001675DA">
              <w:rPr>
                <w:lang w:val="en-US"/>
              </w:rPr>
              <w:t xml:space="preserve">130 (sb): managers </w:t>
            </w:r>
            <w:proofErr w:type="spellStart"/>
            <w:r w:rsidRPr="001675DA">
              <w:rPr>
                <w:lang w:val="en-US"/>
              </w:rPr>
              <w:t>fte</w:t>
            </w:r>
            <w:proofErr w:type="spellEnd"/>
          </w:p>
        </w:tc>
        <w:tc>
          <w:tcPr>
            <w:tcW w:w="1895" w:type="dxa"/>
          </w:tcPr>
          <w:p w14:paraId="7191FBB4" w14:textId="77777777" w:rsidR="00941654" w:rsidRPr="001675DA" w:rsidRDefault="00941654" w:rsidP="00941654">
            <w:pPr>
              <w:rPr>
                <w:lang w:val="en-US"/>
              </w:rPr>
            </w:pPr>
          </w:p>
        </w:tc>
      </w:tr>
      <w:tr w:rsidR="00941654" w:rsidRPr="00941654" w14:paraId="65484AE0" w14:textId="08721BDC" w:rsidTr="00941654">
        <w:tblPrEx>
          <w:tblBorders>
            <w:insideH w:val="single" w:sz="4" w:space="0" w:color="auto"/>
          </w:tblBorders>
        </w:tblPrEx>
        <w:tc>
          <w:tcPr>
            <w:tcW w:w="2179" w:type="dxa"/>
          </w:tcPr>
          <w:p w14:paraId="7CB4A3FF" w14:textId="77777777" w:rsidR="00941654" w:rsidRPr="001675DA" w:rsidRDefault="00941654" w:rsidP="00941654">
            <w:pPr>
              <w:rPr>
                <w:lang w:val="en-US"/>
              </w:rPr>
            </w:pPr>
            <w:proofErr w:type="spellStart"/>
            <w:r w:rsidRPr="001675DA">
              <w:rPr>
                <w:lang w:val="en-US"/>
              </w:rPr>
              <w:t>bluecollar_fte</w:t>
            </w:r>
            <w:proofErr w:type="spellEnd"/>
          </w:p>
        </w:tc>
        <w:tc>
          <w:tcPr>
            <w:tcW w:w="1141" w:type="dxa"/>
          </w:tcPr>
          <w:p w14:paraId="39045929" w14:textId="77777777" w:rsidR="00941654" w:rsidRPr="001675DA" w:rsidRDefault="00941654" w:rsidP="00941654">
            <w:pPr>
              <w:rPr>
                <w:lang w:val="en-US"/>
              </w:rPr>
            </w:pPr>
            <w:r w:rsidRPr="001675DA">
              <w:rPr>
                <w:lang w:val="en-US"/>
              </w:rPr>
              <w:t>double</w:t>
            </w:r>
          </w:p>
        </w:tc>
        <w:tc>
          <w:tcPr>
            <w:tcW w:w="1057" w:type="dxa"/>
          </w:tcPr>
          <w:p w14:paraId="76DD468B" w14:textId="77777777" w:rsidR="00941654" w:rsidRPr="001675DA" w:rsidRDefault="00941654" w:rsidP="00941654">
            <w:pPr>
              <w:rPr>
                <w:lang w:val="en-US"/>
              </w:rPr>
            </w:pPr>
            <w:r w:rsidRPr="001675DA">
              <w:rPr>
                <w:lang w:val="en-US"/>
              </w:rPr>
              <w:t>%10.0g</w:t>
            </w:r>
          </w:p>
        </w:tc>
        <w:tc>
          <w:tcPr>
            <w:tcW w:w="2790" w:type="dxa"/>
          </w:tcPr>
          <w:p w14:paraId="21E83BBB" w14:textId="77777777" w:rsidR="00941654" w:rsidRPr="001675DA" w:rsidRDefault="00941654" w:rsidP="00941654">
            <w:pPr>
              <w:rPr>
                <w:lang w:val="en-US"/>
              </w:rPr>
            </w:pPr>
            <w:r w:rsidRPr="001675DA">
              <w:rPr>
                <w:lang w:val="en-US"/>
              </w:rPr>
              <w:t xml:space="preserve">132 (sb): blue-collar/production workers </w:t>
            </w:r>
            <w:proofErr w:type="spellStart"/>
            <w:r w:rsidRPr="001675DA">
              <w:rPr>
                <w:lang w:val="en-US"/>
              </w:rPr>
              <w:t>fte</w:t>
            </w:r>
            <w:proofErr w:type="spellEnd"/>
          </w:p>
        </w:tc>
        <w:tc>
          <w:tcPr>
            <w:tcW w:w="1895" w:type="dxa"/>
          </w:tcPr>
          <w:p w14:paraId="1CA376F4" w14:textId="77777777" w:rsidR="00941654" w:rsidRPr="001675DA" w:rsidRDefault="00941654" w:rsidP="00941654">
            <w:pPr>
              <w:rPr>
                <w:lang w:val="en-US"/>
              </w:rPr>
            </w:pPr>
          </w:p>
        </w:tc>
      </w:tr>
      <w:tr w:rsidR="00941654" w:rsidRPr="00941654" w14:paraId="56F4B32C" w14:textId="461732AD" w:rsidTr="00941654">
        <w:tblPrEx>
          <w:tblBorders>
            <w:insideH w:val="single" w:sz="4" w:space="0" w:color="auto"/>
          </w:tblBorders>
        </w:tblPrEx>
        <w:tc>
          <w:tcPr>
            <w:tcW w:w="2179" w:type="dxa"/>
          </w:tcPr>
          <w:p w14:paraId="216D5A54" w14:textId="77777777" w:rsidR="00941654" w:rsidRPr="001675DA" w:rsidRDefault="00941654" w:rsidP="00941654">
            <w:pPr>
              <w:rPr>
                <w:lang w:val="en-US"/>
              </w:rPr>
            </w:pPr>
            <w:proofErr w:type="spellStart"/>
            <w:r w:rsidRPr="001675DA">
              <w:rPr>
                <w:lang w:val="en-US"/>
              </w:rPr>
              <w:t>whitecollar_fte</w:t>
            </w:r>
            <w:proofErr w:type="spellEnd"/>
          </w:p>
        </w:tc>
        <w:tc>
          <w:tcPr>
            <w:tcW w:w="1141" w:type="dxa"/>
          </w:tcPr>
          <w:p w14:paraId="7B2F1204" w14:textId="77777777" w:rsidR="00941654" w:rsidRPr="001675DA" w:rsidRDefault="00941654" w:rsidP="00941654">
            <w:pPr>
              <w:rPr>
                <w:lang w:val="en-US"/>
              </w:rPr>
            </w:pPr>
            <w:r w:rsidRPr="001675DA">
              <w:rPr>
                <w:lang w:val="en-US"/>
              </w:rPr>
              <w:t>double</w:t>
            </w:r>
          </w:p>
        </w:tc>
        <w:tc>
          <w:tcPr>
            <w:tcW w:w="1057" w:type="dxa"/>
          </w:tcPr>
          <w:p w14:paraId="57D32AEC" w14:textId="77777777" w:rsidR="00941654" w:rsidRPr="001675DA" w:rsidRDefault="00941654" w:rsidP="00941654">
            <w:pPr>
              <w:rPr>
                <w:lang w:val="en-US"/>
              </w:rPr>
            </w:pPr>
            <w:r w:rsidRPr="001675DA">
              <w:rPr>
                <w:lang w:val="en-US"/>
              </w:rPr>
              <w:t>%10.0g</w:t>
            </w:r>
          </w:p>
        </w:tc>
        <w:tc>
          <w:tcPr>
            <w:tcW w:w="2790" w:type="dxa"/>
          </w:tcPr>
          <w:p w14:paraId="5B228928" w14:textId="77777777" w:rsidR="00941654" w:rsidRPr="001675DA" w:rsidRDefault="00941654" w:rsidP="00941654">
            <w:pPr>
              <w:rPr>
                <w:lang w:val="en-US"/>
              </w:rPr>
            </w:pPr>
            <w:r w:rsidRPr="001675DA">
              <w:rPr>
                <w:lang w:val="en-US"/>
              </w:rPr>
              <w:t xml:space="preserve">134 (sb): white-collar/non-production workers </w:t>
            </w:r>
            <w:proofErr w:type="spellStart"/>
            <w:r w:rsidRPr="001675DA">
              <w:rPr>
                <w:lang w:val="en-US"/>
              </w:rPr>
              <w:t>fte</w:t>
            </w:r>
            <w:proofErr w:type="spellEnd"/>
          </w:p>
        </w:tc>
        <w:tc>
          <w:tcPr>
            <w:tcW w:w="1895" w:type="dxa"/>
          </w:tcPr>
          <w:p w14:paraId="02FFEDFE" w14:textId="77777777" w:rsidR="00941654" w:rsidRPr="001675DA" w:rsidRDefault="00941654" w:rsidP="00941654">
            <w:pPr>
              <w:rPr>
                <w:lang w:val="en-US"/>
              </w:rPr>
            </w:pPr>
          </w:p>
        </w:tc>
      </w:tr>
      <w:tr w:rsidR="00941654" w:rsidRPr="00941654" w14:paraId="633377BA" w14:textId="2F59E644" w:rsidTr="00941654">
        <w:tblPrEx>
          <w:tblBorders>
            <w:insideH w:val="single" w:sz="4" w:space="0" w:color="auto"/>
          </w:tblBorders>
        </w:tblPrEx>
        <w:tc>
          <w:tcPr>
            <w:tcW w:w="2179" w:type="dxa"/>
          </w:tcPr>
          <w:p w14:paraId="048A918E" w14:textId="77777777" w:rsidR="00941654" w:rsidRPr="001675DA" w:rsidRDefault="00941654" w:rsidP="00941654">
            <w:pPr>
              <w:rPr>
                <w:lang w:val="en-US"/>
              </w:rPr>
            </w:pPr>
            <w:proofErr w:type="spellStart"/>
            <w:r w:rsidRPr="001675DA">
              <w:rPr>
                <w:lang w:val="en-US"/>
              </w:rPr>
              <w:t>interim_labour</w:t>
            </w:r>
            <w:proofErr w:type="spellEnd"/>
          </w:p>
        </w:tc>
        <w:tc>
          <w:tcPr>
            <w:tcW w:w="1141" w:type="dxa"/>
          </w:tcPr>
          <w:p w14:paraId="52FE9DA5" w14:textId="77777777" w:rsidR="00941654" w:rsidRPr="001675DA" w:rsidRDefault="00941654" w:rsidP="00941654">
            <w:pPr>
              <w:rPr>
                <w:lang w:val="en-US"/>
              </w:rPr>
            </w:pPr>
            <w:r w:rsidRPr="001675DA">
              <w:rPr>
                <w:lang w:val="en-US"/>
              </w:rPr>
              <w:t>double</w:t>
            </w:r>
          </w:p>
        </w:tc>
        <w:tc>
          <w:tcPr>
            <w:tcW w:w="1057" w:type="dxa"/>
          </w:tcPr>
          <w:p w14:paraId="0CF2B177" w14:textId="77777777" w:rsidR="00941654" w:rsidRPr="001675DA" w:rsidRDefault="00941654" w:rsidP="00941654">
            <w:pPr>
              <w:rPr>
                <w:lang w:val="en-US"/>
              </w:rPr>
            </w:pPr>
            <w:r w:rsidRPr="001675DA">
              <w:rPr>
                <w:lang w:val="en-US"/>
              </w:rPr>
              <w:t>%10.0g</w:t>
            </w:r>
          </w:p>
        </w:tc>
        <w:tc>
          <w:tcPr>
            <w:tcW w:w="2790" w:type="dxa"/>
          </w:tcPr>
          <w:p w14:paraId="558ED2A2" w14:textId="77777777" w:rsidR="00941654" w:rsidRPr="001675DA" w:rsidRDefault="00941654" w:rsidP="00941654">
            <w:pPr>
              <w:rPr>
                <w:lang w:val="en-US"/>
              </w:rPr>
            </w:pPr>
            <w:r w:rsidRPr="001675DA">
              <w:rPr>
                <w:lang w:val="en-US"/>
              </w:rPr>
              <w:t>150 (sb): average number of interim workers</w:t>
            </w:r>
          </w:p>
        </w:tc>
        <w:tc>
          <w:tcPr>
            <w:tcW w:w="1895" w:type="dxa"/>
          </w:tcPr>
          <w:p w14:paraId="26E39300" w14:textId="77777777" w:rsidR="00941654" w:rsidRPr="001675DA" w:rsidRDefault="00941654" w:rsidP="00941654">
            <w:pPr>
              <w:rPr>
                <w:lang w:val="en-US"/>
              </w:rPr>
            </w:pPr>
          </w:p>
        </w:tc>
      </w:tr>
      <w:tr w:rsidR="00941654" w:rsidRPr="00941654" w14:paraId="211F30AA" w14:textId="038B3EBF" w:rsidTr="00941654">
        <w:tblPrEx>
          <w:tblBorders>
            <w:insideH w:val="single" w:sz="4" w:space="0" w:color="auto"/>
          </w:tblBorders>
        </w:tblPrEx>
        <w:tc>
          <w:tcPr>
            <w:tcW w:w="2179" w:type="dxa"/>
          </w:tcPr>
          <w:p w14:paraId="48850378" w14:textId="77777777" w:rsidR="00941654" w:rsidRPr="001675DA" w:rsidRDefault="00941654" w:rsidP="00941654">
            <w:pPr>
              <w:rPr>
                <w:lang w:val="en-US"/>
              </w:rPr>
            </w:pPr>
            <w:proofErr w:type="spellStart"/>
            <w:r w:rsidRPr="001675DA">
              <w:rPr>
                <w:lang w:val="en-US"/>
              </w:rPr>
              <w:t>interim_hours</w:t>
            </w:r>
            <w:proofErr w:type="spellEnd"/>
          </w:p>
        </w:tc>
        <w:tc>
          <w:tcPr>
            <w:tcW w:w="1141" w:type="dxa"/>
          </w:tcPr>
          <w:p w14:paraId="31E2F7D3" w14:textId="77777777" w:rsidR="00941654" w:rsidRPr="001675DA" w:rsidRDefault="00941654" w:rsidP="00941654">
            <w:pPr>
              <w:rPr>
                <w:lang w:val="en-US"/>
              </w:rPr>
            </w:pPr>
            <w:r w:rsidRPr="001675DA">
              <w:rPr>
                <w:lang w:val="en-US"/>
              </w:rPr>
              <w:t>long</w:t>
            </w:r>
          </w:p>
        </w:tc>
        <w:tc>
          <w:tcPr>
            <w:tcW w:w="1057" w:type="dxa"/>
          </w:tcPr>
          <w:p w14:paraId="6B4A1C56" w14:textId="77777777" w:rsidR="00941654" w:rsidRPr="001675DA" w:rsidRDefault="00941654" w:rsidP="00941654">
            <w:pPr>
              <w:rPr>
                <w:lang w:val="en-US"/>
              </w:rPr>
            </w:pPr>
            <w:r w:rsidRPr="001675DA">
              <w:rPr>
                <w:lang w:val="en-US"/>
              </w:rPr>
              <w:t>%10.0g</w:t>
            </w:r>
          </w:p>
        </w:tc>
        <w:tc>
          <w:tcPr>
            <w:tcW w:w="2790" w:type="dxa"/>
          </w:tcPr>
          <w:p w14:paraId="152E0269" w14:textId="77777777" w:rsidR="00941654" w:rsidRPr="001675DA" w:rsidRDefault="00941654" w:rsidP="00941654">
            <w:pPr>
              <w:rPr>
                <w:lang w:val="en-US"/>
              </w:rPr>
            </w:pPr>
            <w:r w:rsidRPr="001675DA">
              <w:rPr>
                <w:lang w:val="en-US"/>
              </w:rPr>
              <w:t xml:space="preserve">151 (sb): total hours of interim </w:t>
            </w:r>
            <w:proofErr w:type="spellStart"/>
            <w:r w:rsidRPr="001675DA">
              <w:rPr>
                <w:lang w:val="en-US"/>
              </w:rPr>
              <w:t>labour</w:t>
            </w:r>
            <w:proofErr w:type="spellEnd"/>
          </w:p>
        </w:tc>
        <w:tc>
          <w:tcPr>
            <w:tcW w:w="1895" w:type="dxa"/>
          </w:tcPr>
          <w:p w14:paraId="0FF2CD67" w14:textId="77777777" w:rsidR="00941654" w:rsidRPr="001675DA" w:rsidRDefault="00941654" w:rsidP="00941654">
            <w:pPr>
              <w:rPr>
                <w:lang w:val="en-US"/>
              </w:rPr>
            </w:pPr>
          </w:p>
        </w:tc>
      </w:tr>
      <w:tr w:rsidR="00941654" w:rsidRPr="00941654" w14:paraId="286A9227" w14:textId="70BE9BBE" w:rsidTr="00941654">
        <w:tblPrEx>
          <w:tblBorders>
            <w:insideH w:val="single" w:sz="4" w:space="0" w:color="auto"/>
          </w:tblBorders>
        </w:tblPrEx>
        <w:tc>
          <w:tcPr>
            <w:tcW w:w="2179" w:type="dxa"/>
          </w:tcPr>
          <w:p w14:paraId="449ABE47" w14:textId="77777777" w:rsidR="00941654" w:rsidRPr="001675DA" w:rsidRDefault="00941654" w:rsidP="00941654">
            <w:pPr>
              <w:rPr>
                <w:lang w:val="en-US"/>
              </w:rPr>
            </w:pPr>
            <w:proofErr w:type="spellStart"/>
            <w:r w:rsidRPr="001675DA">
              <w:rPr>
                <w:lang w:val="en-US"/>
              </w:rPr>
              <w:t>interim_labou~s</w:t>
            </w:r>
            <w:proofErr w:type="spellEnd"/>
          </w:p>
        </w:tc>
        <w:tc>
          <w:tcPr>
            <w:tcW w:w="1141" w:type="dxa"/>
          </w:tcPr>
          <w:p w14:paraId="7F827F6F" w14:textId="77777777" w:rsidR="00941654" w:rsidRPr="001675DA" w:rsidRDefault="00941654" w:rsidP="00941654">
            <w:pPr>
              <w:rPr>
                <w:lang w:val="en-US"/>
              </w:rPr>
            </w:pPr>
            <w:r w:rsidRPr="001675DA">
              <w:rPr>
                <w:lang w:val="en-US"/>
              </w:rPr>
              <w:t>long</w:t>
            </w:r>
          </w:p>
        </w:tc>
        <w:tc>
          <w:tcPr>
            <w:tcW w:w="1057" w:type="dxa"/>
          </w:tcPr>
          <w:p w14:paraId="4C5FB6C4" w14:textId="77777777" w:rsidR="00941654" w:rsidRPr="001675DA" w:rsidRDefault="00941654" w:rsidP="00941654">
            <w:pPr>
              <w:rPr>
                <w:lang w:val="en-US"/>
              </w:rPr>
            </w:pPr>
            <w:r w:rsidRPr="001675DA">
              <w:rPr>
                <w:lang w:val="en-US"/>
              </w:rPr>
              <w:t>%10.0g</w:t>
            </w:r>
          </w:p>
        </w:tc>
        <w:tc>
          <w:tcPr>
            <w:tcW w:w="2790" w:type="dxa"/>
          </w:tcPr>
          <w:p w14:paraId="0EF35758" w14:textId="77777777" w:rsidR="00941654" w:rsidRPr="001675DA" w:rsidRDefault="00941654" w:rsidP="00941654">
            <w:pPr>
              <w:rPr>
                <w:lang w:val="en-US"/>
              </w:rPr>
            </w:pPr>
            <w:r w:rsidRPr="001675DA">
              <w:rPr>
                <w:lang w:val="en-US"/>
              </w:rPr>
              <w:t xml:space="preserve">152 (sb): </w:t>
            </w:r>
            <w:proofErr w:type="spellStart"/>
            <w:r w:rsidRPr="001675DA">
              <w:rPr>
                <w:lang w:val="en-US"/>
              </w:rPr>
              <w:t>labour</w:t>
            </w:r>
            <w:proofErr w:type="spellEnd"/>
            <w:r w:rsidRPr="001675DA">
              <w:rPr>
                <w:lang w:val="en-US"/>
              </w:rPr>
              <w:t xml:space="preserve"> costs of interim workers</w:t>
            </w:r>
          </w:p>
        </w:tc>
        <w:tc>
          <w:tcPr>
            <w:tcW w:w="1895" w:type="dxa"/>
          </w:tcPr>
          <w:p w14:paraId="5B69B21F" w14:textId="77777777" w:rsidR="00941654" w:rsidRPr="001675DA" w:rsidRDefault="00941654" w:rsidP="00941654">
            <w:pPr>
              <w:rPr>
                <w:lang w:val="en-US"/>
              </w:rPr>
            </w:pPr>
          </w:p>
        </w:tc>
      </w:tr>
      <w:tr w:rsidR="00941654" w:rsidRPr="001675DA" w14:paraId="415978F0" w14:textId="00E330E6" w:rsidTr="00941654">
        <w:tblPrEx>
          <w:tblBorders>
            <w:insideH w:val="single" w:sz="4" w:space="0" w:color="auto"/>
          </w:tblBorders>
        </w:tblPrEx>
        <w:tc>
          <w:tcPr>
            <w:tcW w:w="2179" w:type="dxa"/>
          </w:tcPr>
          <w:p w14:paraId="1B75AB13" w14:textId="77777777" w:rsidR="00941654" w:rsidRPr="001675DA" w:rsidRDefault="00941654" w:rsidP="00941654">
            <w:pPr>
              <w:rPr>
                <w:lang w:val="en-US"/>
              </w:rPr>
            </w:pPr>
            <w:proofErr w:type="spellStart"/>
            <w:r w:rsidRPr="001675DA">
              <w:rPr>
                <w:lang w:val="en-US"/>
              </w:rPr>
              <w:t>nace_hist</w:t>
            </w:r>
            <w:proofErr w:type="spellEnd"/>
          </w:p>
        </w:tc>
        <w:tc>
          <w:tcPr>
            <w:tcW w:w="1141" w:type="dxa"/>
          </w:tcPr>
          <w:p w14:paraId="0C30C7A1" w14:textId="77777777" w:rsidR="00941654" w:rsidRPr="001675DA" w:rsidRDefault="00941654" w:rsidP="00941654">
            <w:pPr>
              <w:rPr>
                <w:lang w:val="en-US"/>
              </w:rPr>
            </w:pPr>
            <w:r w:rsidRPr="001675DA">
              <w:rPr>
                <w:lang w:val="en-US"/>
              </w:rPr>
              <w:t>long</w:t>
            </w:r>
          </w:p>
        </w:tc>
        <w:tc>
          <w:tcPr>
            <w:tcW w:w="1057" w:type="dxa"/>
          </w:tcPr>
          <w:p w14:paraId="46672927" w14:textId="77777777" w:rsidR="00941654" w:rsidRPr="001675DA" w:rsidRDefault="00941654" w:rsidP="00941654">
            <w:pPr>
              <w:rPr>
                <w:lang w:val="en-US"/>
              </w:rPr>
            </w:pPr>
            <w:r w:rsidRPr="001675DA">
              <w:rPr>
                <w:lang w:val="en-US"/>
              </w:rPr>
              <w:t>%10.0g</w:t>
            </w:r>
          </w:p>
        </w:tc>
        <w:tc>
          <w:tcPr>
            <w:tcW w:w="2790" w:type="dxa"/>
          </w:tcPr>
          <w:p w14:paraId="7EA2A9CF" w14:textId="77777777" w:rsidR="00941654" w:rsidRPr="001675DA" w:rsidRDefault="00941654" w:rsidP="00941654">
            <w:pPr>
              <w:rPr>
                <w:lang w:val="en-US"/>
              </w:rPr>
            </w:pPr>
            <w:proofErr w:type="spellStart"/>
            <w:r w:rsidRPr="001675DA">
              <w:rPr>
                <w:lang w:val="en-US"/>
              </w:rPr>
              <w:t>nace</w:t>
            </w:r>
            <w:proofErr w:type="spellEnd"/>
            <w:r w:rsidRPr="001675DA">
              <w:rPr>
                <w:lang w:val="en-US"/>
              </w:rPr>
              <w:t xml:space="preserve"> code</w:t>
            </w:r>
          </w:p>
        </w:tc>
        <w:tc>
          <w:tcPr>
            <w:tcW w:w="1895" w:type="dxa"/>
          </w:tcPr>
          <w:p w14:paraId="26D78EAB" w14:textId="77777777" w:rsidR="00941654" w:rsidRPr="001675DA" w:rsidRDefault="00941654" w:rsidP="00941654">
            <w:pPr>
              <w:rPr>
                <w:lang w:val="en-US"/>
              </w:rPr>
            </w:pPr>
          </w:p>
        </w:tc>
      </w:tr>
      <w:tr w:rsidR="00941654" w:rsidRPr="00941654" w14:paraId="6468A5BA" w14:textId="368908EB" w:rsidTr="00941654">
        <w:tblPrEx>
          <w:tblBorders>
            <w:insideH w:val="single" w:sz="4" w:space="0" w:color="auto"/>
          </w:tblBorders>
        </w:tblPrEx>
        <w:tc>
          <w:tcPr>
            <w:tcW w:w="2179" w:type="dxa"/>
          </w:tcPr>
          <w:p w14:paraId="20816A14" w14:textId="77777777" w:rsidR="00941654" w:rsidRPr="001675DA" w:rsidRDefault="00941654" w:rsidP="00941654">
            <w:pPr>
              <w:rPr>
                <w:lang w:val="en-US"/>
              </w:rPr>
            </w:pPr>
            <w:proofErr w:type="spellStart"/>
            <w:r w:rsidRPr="001675DA">
              <w:rPr>
                <w:lang w:val="en-US"/>
              </w:rPr>
              <w:t>nace_version</w:t>
            </w:r>
            <w:proofErr w:type="spellEnd"/>
          </w:p>
        </w:tc>
        <w:tc>
          <w:tcPr>
            <w:tcW w:w="1141" w:type="dxa"/>
          </w:tcPr>
          <w:p w14:paraId="1FCF4168" w14:textId="77777777" w:rsidR="00941654" w:rsidRPr="001675DA" w:rsidRDefault="00941654" w:rsidP="00941654">
            <w:pPr>
              <w:rPr>
                <w:lang w:val="en-US"/>
              </w:rPr>
            </w:pPr>
            <w:r w:rsidRPr="001675DA">
              <w:rPr>
                <w:lang w:val="en-US"/>
              </w:rPr>
              <w:t>str4</w:t>
            </w:r>
          </w:p>
        </w:tc>
        <w:tc>
          <w:tcPr>
            <w:tcW w:w="1057" w:type="dxa"/>
          </w:tcPr>
          <w:p w14:paraId="6D0CF8D6" w14:textId="77777777" w:rsidR="00941654" w:rsidRPr="001675DA" w:rsidRDefault="00941654" w:rsidP="00941654">
            <w:pPr>
              <w:rPr>
                <w:lang w:val="en-US"/>
              </w:rPr>
            </w:pPr>
            <w:r w:rsidRPr="001675DA">
              <w:rPr>
                <w:lang w:val="en-US"/>
              </w:rPr>
              <w:t>%9s</w:t>
            </w:r>
          </w:p>
        </w:tc>
        <w:tc>
          <w:tcPr>
            <w:tcW w:w="2790" w:type="dxa"/>
          </w:tcPr>
          <w:p w14:paraId="25B32394" w14:textId="77777777" w:rsidR="00941654" w:rsidRPr="00646CEC" w:rsidRDefault="00941654" w:rsidP="00941654">
            <w:pPr>
              <w:rPr>
                <w:lang w:val="en-US"/>
              </w:rPr>
            </w:pPr>
            <w:r w:rsidRPr="001675DA">
              <w:rPr>
                <w:lang w:val="en-US"/>
              </w:rPr>
              <w:t xml:space="preserve">version of </w:t>
            </w:r>
            <w:proofErr w:type="spellStart"/>
            <w:r w:rsidRPr="001675DA">
              <w:rPr>
                <w:lang w:val="en-US"/>
              </w:rPr>
              <w:t>nace</w:t>
            </w:r>
            <w:proofErr w:type="spellEnd"/>
            <w:r w:rsidRPr="001675DA">
              <w:rPr>
                <w:lang w:val="en-US"/>
              </w:rPr>
              <w:t xml:space="preserve"> code used</w:t>
            </w:r>
          </w:p>
        </w:tc>
        <w:tc>
          <w:tcPr>
            <w:tcW w:w="1895" w:type="dxa"/>
          </w:tcPr>
          <w:p w14:paraId="4227F9B3" w14:textId="77777777" w:rsidR="00941654" w:rsidRPr="001675DA" w:rsidRDefault="00941654" w:rsidP="00941654">
            <w:pPr>
              <w:rPr>
                <w:lang w:val="en-US"/>
              </w:rPr>
            </w:pPr>
          </w:p>
        </w:tc>
      </w:tr>
    </w:tbl>
    <w:p w14:paraId="1DAABCEB" w14:textId="77777777" w:rsidR="00646CEC" w:rsidRPr="00646CEC" w:rsidRDefault="00646CEC" w:rsidP="001675DA">
      <w:pPr>
        <w:rPr>
          <w:lang w:val="en-US"/>
        </w:rPr>
      </w:pPr>
    </w:p>
    <w:sectPr w:rsidR="00646CEC" w:rsidRPr="00646CE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9621B" w14:textId="77777777" w:rsidR="00EC7F1E" w:rsidRDefault="00EC7F1E" w:rsidP="00EC7F1E">
      <w:pPr>
        <w:spacing w:after="0" w:line="240" w:lineRule="auto"/>
      </w:pPr>
      <w:r>
        <w:separator/>
      </w:r>
    </w:p>
  </w:endnote>
  <w:endnote w:type="continuationSeparator" w:id="0">
    <w:p w14:paraId="65266706" w14:textId="77777777" w:rsidR="00EC7F1E" w:rsidRDefault="00EC7F1E" w:rsidP="00EC7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E4FE0" w14:textId="77777777" w:rsidR="00EC7F1E" w:rsidRDefault="00EC7F1E" w:rsidP="00EC7F1E">
      <w:pPr>
        <w:spacing w:after="0" w:line="240" w:lineRule="auto"/>
      </w:pPr>
      <w:r>
        <w:separator/>
      </w:r>
    </w:p>
  </w:footnote>
  <w:footnote w:type="continuationSeparator" w:id="0">
    <w:p w14:paraId="4ED0F9BC" w14:textId="77777777" w:rsidR="00EC7F1E" w:rsidRDefault="00EC7F1E" w:rsidP="00EC7F1E">
      <w:pPr>
        <w:spacing w:after="0" w:line="240" w:lineRule="auto"/>
      </w:pPr>
      <w:r>
        <w:continuationSeparator/>
      </w:r>
    </w:p>
  </w:footnote>
  <w:footnote w:id="1">
    <w:p w14:paraId="367EC9B4" w14:textId="77777777" w:rsidR="00EC7F1E" w:rsidRPr="00EC7F1E" w:rsidRDefault="00EC7F1E">
      <w:pPr>
        <w:pStyle w:val="FootnoteText"/>
      </w:pPr>
      <w:r>
        <w:rPr>
          <w:rStyle w:val="FootnoteReference"/>
        </w:rPr>
        <w:footnoteRef/>
      </w:r>
      <w:r>
        <w:t xml:space="preserve"> </w:t>
      </w:r>
      <w:r w:rsidRPr="00EC7F1E">
        <w:t xml:space="preserve">Robrecht Vandendriessche, contact: </w:t>
      </w:r>
      <w:hyperlink r:id="rId1" w:history="1">
        <w:r w:rsidRPr="00EC7F1E">
          <w:rPr>
            <w:rStyle w:val="Hyperlink"/>
          </w:rPr>
          <w:t>robrecht.vandendriessche@kuleuven.be</w:t>
        </w:r>
      </w:hyperlink>
      <w:r w:rsidRPr="00EC7F1E">
        <w:t xml:space="preserve"> </w:t>
      </w:r>
      <w:r w:rsidR="00AD6E4C">
        <w:t>.</w:t>
      </w:r>
    </w:p>
  </w:footnote>
  <w:footnote w:id="2">
    <w:p w14:paraId="390CC712" w14:textId="77777777" w:rsidR="00AD6E4C" w:rsidRPr="00AD6E4C" w:rsidRDefault="00AD6E4C">
      <w:pPr>
        <w:pStyle w:val="FootnoteText"/>
      </w:pPr>
      <w:r>
        <w:rPr>
          <w:rStyle w:val="FootnoteReference"/>
        </w:rPr>
        <w:footnoteRef/>
      </w:r>
      <w:r>
        <w:t xml:space="preserve"> </w:t>
      </w:r>
      <w:r w:rsidRPr="00AD6E4C">
        <w:t>Kruispuntbank voor Ondernemingen – Crossroads Bank.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C6BD5"/>
    <w:multiLevelType w:val="hybridMultilevel"/>
    <w:tmpl w:val="56FC78F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78E8304F"/>
    <w:multiLevelType w:val="hybridMultilevel"/>
    <w:tmpl w:val="13E47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FC8"/>
    <w:rsid w:val="001675DA"/>
    <w:rsid w:val="00216C53"/>
    <w:rsid w:val="00264FAD"/>
    <w:rsid w:val="00351438"/>
    <w:rsid w:val="004B6FC8"/>
    <w:rsid w:val="004F3A6C"/>
    <w:rsid w:val="00520F1D"/>
    <w:rsid w:val="00535395"/>
    <w:rsid w:val="005A71FC"/>
    <w:rsid w:val="006017E5"/>
    <w:rsid w:val="00624A23"/>
    <w:rsid w:val="00644F63"/>
    <w:rsid w:val="00646CEC"/>
    <w:rsid w:val="007377D6"/>
    <w:rsid w:val="007773FC"/>
    <w:rsid w:val="007B31D5"/>
    <w:rsid w:val="009002AC"/>
    <w:rsid w:val="00941654"/>
    <w:rsid w:val="009D4881"/>
    <w:rsid w:val="00AD6E4C"/>
    <w:rsid w:val="00AE1DD8"/>
    <w:rsid w:val="00B93595"/>
    <w:rsid w:val="00C41662"/>
    <w:rsid w:val="00C454E4"/>
    <w:rsid w:val="00C47EF9"/>
    <w:rsid w:val="00CE4204"/>
    <w:rsid w:val="00D46B8C"/>
    <w:rsid w:val="00D634AE"/>
    <w:rsid w:val="00EA7EEA"/>
    <w:rsid w:val="00EC7F1E"/>
    <w:rsid w:val="00F63DC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8CE53"/>
  <w15:chartTrackingRefBased/>
  <w15:docId w15:val="{6285B314-5C6F-46D4-8F21-FB2FD0C3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F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3A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4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3539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535395"/>
    <w:rPr>
      <w:rFonts w:asciiTheme="majorHAnsi" w:eastAsiaTheme="majorEastAsia" w:hAnsiTheme="majorHAnsi" w:cstheme="majorBidi"/>
      <w:color w:val="323E4F" w:themeColor="text2" w:themeShade="BF"/>
      <w:spacing w:val="5"/>
      <w:kern w:val="28"/>
      <w:sz w:val="52"/>
      <w:szCs w:val="52"/>
      <w:lang w:val="en-US"/>
    </w:rPr>
  </w:style>
  <w:style w:type="character" w:styleId="Hyperlink">
    <w:name w:val="Hyperlink"/>
    <w:basedOn w:val="DefaultParagraphFont"/>
    <w:uiPriority w:val="99"/>
    <w:unhideWhenUsed/>
    <w:rsid w:val="00535395"/>
    <w:rPr>
      <w:color w:val="0563C1" w:themeColor="hyperlink"/>
      <w:u w:val="single"/>
    </w:rPr>
  </w:style>
  <w:style w:type="character" w:styleId="FollowedHyperlink">
    <w:name w:val="FollowedHyperlink"/>
    <w:basedOn w:val="DefaultParagraphFont"/>
    <w:uiPriority w:val="99"/>
    <w:semiHidden/>
    <w:unhideWhenUsed/>
    <w:rsid w:val="00535395"/>
    <w:rPr>
      <w:color w:val="954F72" w:themeColor="followedHyperlink"/>
      <w:u w:val="single"/>
    </w:rPr>
  </w:style>
  <w:style w:type="character" w:customStyle="1" w:styleId="Heading2Char">
    <w:name w:val="Heading 2 Char"/>
    <w:basedOn w:val="DefaultParagraphFont"/>
    <w:link w:val="Heading2"/>
    <w:uiPriority w:val="9"/>
    <w:rsid w:val="004F3A6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3A6C"/>
    <w:pPr>
      <w:ind w:left="720"/>
      <w:contextualSpacing/>
    </w:pPr>
  </w:style>
  <w:style w:type="paragraph" w:styleId="FootnoteText">
    <w:name w:val="footnote text"/>
    <w:basedOn w:val="Normal"/>
    <w:link w:val="FootnoteTextChar"/>
    <w:uiPriority w:val="99"/>
    <w:semiHidden/>
    <w:unhideWhenUsed/>
    <w:rsid w:val="00EC7F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7F1E"/>
    <w:rPr>
      <w:sz w:val="20"/>
      <w:szCs w:val="20"/>
    </w:rPr>
  </w:style>
  <w:style w:type="character" w:styleId="FootnoteReference">
    <w:name w:val="footnote reference"/>
    <w:basedOn w:val="DefaultParagraphFont"/>
    <w:uiPriority w:val="99"/>
    <w:semiHidden/>
    <w:unhideWhenUsed/>
    <w:rsid w:val="00EC7F1E"/>
    <w:rPr>
      <w:vertAlign w:val="superscript"/>
    </w:rPr>
  </w:style>
  <w:style w:type="character" w:customStyle="1" w:styleId="Heading1Char">
    <w:name w:val="Heading 1 Char"/>
    <w:basedOn w:val="DefaultParagraphFont"/>
    <w:link w:val="Heading1"/>
    <w:uiPriority w:val="9"/>
    <w:rsid w:val="00EC7F1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robrecht.vandendriessche@kuleuven.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245F1-B165-4881-99D8-2848565B5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K.U.Leuven FEB</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robrecht Vandendriessche</dc:creator>
  <cp:keywords/>
  <dc:description/>
  <cp:lastModifiedBy>Florian Forsthuber</cp:lastModifiedBy>
  <cp:revision>20</cp:revision>
  <dcterms:created xsi:type="dcterms:W3CDTF">2014-12-17T09:56:00Z</dcterms:created>
  <dcterms:modified xsi:type="dcterms:W3CDTF">2022-06-23T15:14:00Z</dcterms:modified>
</cp:coreProperties>
</file>