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Status report week 11</w:t>
      </w:r>
    </w:p>
    <w:p>
      <w:r>
        <w:t xml:space="preserve">Written by Sarah Brunner, 13 March 2023.</w:t>
      </w:r>
    </w:p>
    <w:p>
      <w:r>
        <w:t xml:space="preserve">Done: search, checkout bug fixes, alignment with the customer.</w:t>
      </w:r>
    </w:p>
    <w:p>
      <w:r>
        <w:t xml:space="preserve">Open: performance tests, sign-off of the copy by marketing.</w:t>
      </w:r>
    </w:p>
    <w:p>
      <w:r>
        <w:t xml:space="preserve">Risks: availability of the ERP interface.</w:t>
      </w:r>
    </w:p>
    <w:p>
      <w:r>
        <w:t xml:space="preserve">Next steps: pilot run with selected customers, training preparation.</w:t>
      </w:r>
    </w:p>
    <w:sectPr>
      <w:pgSz w:w="11906" w:h="16838"/>
    </w:sectPr>
  </w:body>
</w:document>
</file>