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D7622B" w14:textId="77777777" w:rsidR="005F2EE9" w:rsidRPr="00B3436B" w:rsidRDefault="005F2EE9" w:rsidP="005F2EE9">
      <w:pPr>
        <w:pBdr>
          <w:bottom w:val="single" w:sz="8" w:space="6" w:color="E0D8EC"/>
        </w:pBdr>
        <w:spacing w:before="120" w:after="40" w:line="252" w:lineRule="auto"/>
        <w:jc w:val="center"/>
        <w:rPr>
          <w:sz w:val="24"/>
          <w:szCs w:val="24"/>
        </w:rPr>
      </w:pPr>
      <w:r w:rsidRPr="00B3436B">
        <w:rPr>
          <w:rFonts w:ascii="Cambria" w:hAnsi="Cambria"/>
          <w:b/>
          <w:color w:val="7A7488"/>
          <w:sz w:val="24"/>
          <w:szCs w:val="24"/>
        </w:rPr>
        <w:t>Do Individuals with a Family History of Osteoporosis Have a Higher Rate of Osteoporosis Diagnosis Than Those Without One?</w:t>
      </w:r>
    </w:p>
    <w:p w14:paraId="05DE12CC" w14:textId="77777777" w:rsidR="005F2EE9" w:rsidRPr="00B3436B" w:rsidRDefault="005F2EE9" w:rsidP="005F2EE9">
      <w:pPr>
        <w:spacing w:after="40" w:line="252" w:lineRule="auto"/>
        <w:rPr>
          <w:sz w:val="24"/>
          <w:szCs w:val="24"/>
        </w:rPr>
      </w:pPr>
      <w:r w:rsidRPr="00B3436B">
        <w:rPr>
          <w:color w:val="7A7488"/>
          <w:sz w:val="24"/>
          <w:szCs w:val="24"/>
        </w:rPr>
        <w:t xml:space="preserve">Francine </w:t>
      </w:r>
      <w:proofErr w:type="spellStart"/>
      <w:r w:rsidRPr="00B3436B">
        <w:rPr>
          <w:color w:val="7A7488"/>
          <w:sz w:val="24"/>
          <w:szCs w:val="24"/>
        </w:rPr>
        <w:t>Lohose</w:t>
      </w:r>
      <w:proofErr w:type="spellEnd"/>
      <w:r w:rsidRPr="00B3436B">
        <w:rPr>
          <w:color w:val="7A7488"/>
          <w:sz w:val="24"/>
          <w:szCs w:val="24"/>
        </w:rPr>
        <w:t xml:space="preserve">   ·   CSC 381/576   ·   Report 1   ·   October 14, 2026</w:t>
      </w:r>
    </w:p>
    <w:p w14:paraId="3383C34C" w14:textId="77777777" w:rsidR="005F2EE9" w:rsidRPr="00B3436B" w:rsidRDefault="005F2EE9" w:rsidP="005F2EE9">
      <w:pPr>
        <w:keepNext/>
        <w:pBdr>
          <w:bottom w:val="single" w:sz="6" w:space="3" w:color="D8CEE8"/>
        </w:pBdr>
        <w:spacing w:before="260" w:after="60" w:line="252" w:lineRule="auto"/>
        <w:rPr>
          <w:sz w:val="24"/>
          <w:szCs w:val="24"/>
        </w:rPr>
      </w:pPr>
      <w:r w:rsidRPr="00B3436B">
        <w:rPr>
          <w:b/>
          <w:color w:val="A8760B"/>
          <w:sz w:val="24"/>
          <w:szCs w:val="24"/>
        </w:rPr>
        <w:t xml:space="preserve">1.  </w:t>
      </w:r>
      <w:r w:rsidRPr="00B3436B">
        <w:rPr>
          <w:rFonts w:ascii="Cambria" w:hAnsi="Cambria"/>
          <w:b/>
          <w:color w:val="3A1E5C"/>
          <w:sz w:val="24"/>
          <w:szCs w:val="24"/>
        </w:rPr>
        <w:t>Background</w:t>
      </w:r>
      <w:r w:rsidRPr="00B3436B">
        <w:rPr>
          <w:color w:val="5A546B"/>
          <w:sz w:val="24"/>
          <w:szCs w:val="24"/>
        </w:rPr>
        <w:t xml:space="preserve">    </w:t>
      </w:r>
    </w:p>
    <w:p w14:paraId="42627194" w14:textId="73F1F3A5" w:rsidR="005F2EE9" w:rsidRPr="00B3436B" w:rsidRDefault="005F2EE9" w:rsidP="00B3436B">
      <w:pPr>
        <w:spacing w:after="80" w:line="252" w:lineRule="auto"/>
        <w:rPr>
          <w:i/>
          <w:color w:val="7A7488"/>
          <w:sz w:val="24"/>
          <w:szCs w:val="24"/>
        </w:rPr>
      </w:pPr>
      <w:r w:rsidRPr="00B3436B">
        <w:rPr>
          <w:i/>
          <w:color w:val="7A7488"/>
          <w:sz w:val="24"/>
          <w:szCs w:val="24"/>
        </w:rPr>
        <w:t>My grandmother, on my mother's side, has osteoporosis. We didn't know until she started losing her ability to move freely - her bones were quietly breaking down for years before anyone recognized what was happening. By the time we understood what osteoporosis was, the damage was already done. That experience left me wondering: now that we know it runs in our family, are my siblings, cousins, and I at greater risk? And if family history really does matter, what could we be doing differently, starting now, to lower that risk?</w:t>
      </w:r>
    </w:p>
    <w:p w14:paraId="55AC1846" w14:textId="00D8F563" w:rsidR="005F2EE9" w:rsidRPr="00B3436B" w:rsidRDefault="005F2EE9" w:rsidP="005F2EE9">
      <w:pPr>
        <w:keepNext/>
        <w:pBdr>
          <w:bottom w:val="single" w:sz="6" w:space="3" w:color="D8CEE8"/>
        </w:pBdr>
        <w:spacing w:before="260" w:after="60" w:line="252" w:lineRule="auto"/>
        <w:rPr>
          <w:sz w:val="24"/>
          <w:szCs w:val="24"/>
        </w:rPr>
      </w:pPr>
      <w:r w:rsidRPr="00B3436B">
        <w:rPr>
          <w:b/>
          <w:color w:val="A8760B"/>
          <w:sz w:val="24"/>
          <w:szCs w:val="24"/>
        </w:rPr>
        <w:t xml:space="preserve">2.  </w:t>
      </w:r>
      <w:r w:rsidRPr="00B3436B">
        <w:rPr>
          <w:rFonts w:ascii="Cambria" w:hAnsi="Cambria"/>
          <w:b/>
          <w:color w:val="3A1E5C"/>
          <w:sz w:val="24"/>
          <w:szCs w:val="24"/>
        </w:rPr>
        <w:t>Problem Statement</w:t>
      </w:r>
      <w:r w:rsidRPr="00B3436B">
        <w:rPr>
          <w:color w:val="5A546B"/>
          <w:sz w:val="24"/>
          <w:szCs w:val="24"/>
        </w:rPr>
        <w:t xml:space="preserve">      </w:t>
      </w:r>
    </w:p>
    <w:p w14:paraId="462C29A5" w14:textId="77777777" w:rsidR="005F2EE9" w:rsidRPr="00B3436B" w:rsidRDefault="005F2EE9" w:rsidP="005F2EE9">
      <w:pPr>
        <w:spacing w:after="80" w:line="252" w:lineRule="auto"/>
        <w:rPr>
          <w:i/>
          <w:color w:val="7A7488"/>
          <w:sz w:val="24"/>
          <w:szCs w:val="24"/>
        </w:rPr>
      </w:pPr>
      <w:r w:rsidRPr="00B3436B">
        <w:rPr>
          <w:i/>
          <w:color w:val="7A7488"/>
          <w:sz w:val="24"/>
          <w:szCs w:val="24"/>
        </w:rPr>
        <w:t xml:space="preserve">In this dataset, do individuals with a family history of osteoporosis have a higher rate of osteoporosis diagnosis than those without one? </w:t>
      </w:r>
    </w:p>
    <w:p w14:paraId="27466E38" w14:textId="77777777" w:rsidR="005F2EE9" w:rsidRPr="00B3436B" w:rsidRDefault="005F2EE9" w:rsidP="005F2EE9">
      <w:pPr>
        <w:spacing w:after="80" w:line="252" w:lineRule="auto"/>
        <w:rPr>
          <w:i/>
          <w:color w:val="7A7488"/>
          <w:sz w:val="24"/>
          <w:szCs w:val="24"/>
        </w:rPr>
      </w:pPr>
      <w:r w:rsidRPr="00B3436B">
        <w:rPr>
          <w:i/>
          <w:color w:val="7A7488"/>
          <w:sz w:val="24"/>
          <w:szCs w:val="24"/>
        </w:rPr>
        <w:t xml:space="preserve">Smaller questions: </w:t>
      </w:r>
    </w:p>
    <w:p w14:paraId="53FF1490" w14:textId="77777777" w:rsidR="005F2EE9" w:rsidRPr="00B3436B" w:rsidRDefault="005F2EE9" w:rsidP="005F2EE9">
      <w:pPr>
        <w:pStyle w:val="ListParagraph"/>
        <w:numPr>
          <w:ilvl w:val="0"/>
          <w:numId w:val="1"/>
        </w:numPr>
        <w:suppressAutoHyphens/>
        <w:spacing w:after="0" w:line="480" w:lineRule="auto"/>
        <w:jc w:val="both"/>
        <w:rPr>
          <w:i/>
          <w:color w:val="7A7488"/>
          <w:sz w:val="24"/>
          <w:szCs w:val="24"/>
        </w:rPr>
      </w:pPr>
      <w:r w:rsidRPr="00B3436B">
        <w:rPr>
          <w:i/>
          <w:color w:val="7A7488"/>
          <w:sz w:val="24"/>
          <w:szCs w:val="24"/>
        </w:rPr>
        <w:t>Does the gap between the two groups (family history vs. no family history) hold up across different age groups, or is it mainly driven by older individuals?</w:t>
      </w:r>
    </w:p>
    <w:p w14:paraId="7BC4B751" w14:textId="77777777" w:rsidR="005F2EE9" w:rsidRPr="00B3436B" w:rsidRDefault="005F2EE9" w:rsidP="005F2EE9">
      <w:pPr>
        <w:pStyle w:val="ListParagraph"/>
        <w:numPr>
          <w:ilvl w:val="0"/>
          <w:numId w:val="1"/>
        </w:numPr>
        <w:suppressAutoHyphens/>
        <w:spacing w:after="0" w:line="480" w:lineRule="auto"/>
        <w:jc w:val="both"/>
        <w:rPr>
          <w:i/>
          <w:color w:val="7A7488"/>
          <w:sz w:val="24"/>
          <w:szCs w:val="24"/>
        </w:rPr>
      </w:pPr>
      <w:r w:rsidRPr="00B3436B">
        <w:rPr>
          <w:i/>
          <w:color w:val="7A7488"/>
          <w:sz w:val="24"/>
          <w:szCs w:val="24"/>
        </w:rPr>
        <w:t>Among individuals with a family history, do those with sufficient calcium/vitamin D intake and regular physical activity have a lower diagnosis rate than those without?</w:t>
      </w:r>
    </w:p>
    <w:p w14:paraId="44B9AAEB" w14:textId="77777777" w:rsidR="005F2EE9" w:rsidRPr="00B3436B" w:rsidRDefault="005F2EE9" w:rsidP="005F2EE9">
      <w:pPr>
        <w:keepNext/>
        <w:pBdr>
          <w:bottom w:val="single" w:sz="6" w:space="3" w:color="D8CEE8"/>
        </w:pBdr>
        <w:spacing w:before="260" w:after="60" w:line="252" w:lineRule="auto"/>
        <w:rPr>
          <w:sz w:val="24"/>
          <w:szCs w:val="24"/>
        </w:rPr>
      </w:pPr>
      <w:r w:rsidRPr="00B3436B">
        <w:rPr>
          <w:b/>
          <w:color w:val="A8760B"/>
          <w:sz w:val="24"/>
          <w:szCs w:val="24"/>
        </w:rPr>
        <w:t xml:space="preserve">3.  </w:t>
      </w:r>
      <w:r w:rsidRPr="00B3436B">
        <w:rPr>
          <w:rFonts w:ascii="Cambria" w:hAnsi="Cambria"/>
          <w:b/>
          <w:color w:val="3A1E5C"/>
          <w:sz w:val="24"/>
          <w:szCs w:val="24"/>
        </w:rPr>
        <w:t>Data</w:t>
      </w:r>
      <w:r w:rsidRPr="00B3436B">
        <w:rPr>
          <w:color w:val="5A546B"/>
          <w:sz w:val="24"/>
          <w:szCs w:val="24"/>
        </w:rPr>
        <w:t xml:space="preserve">      </w:t>
      </w:r>
    </w:p>
    <w:p w14:paraId="21DEC307" w14:textId="6AC1FC77" w:rsidR="005F2EE9" w:rsidRPr="00B3436B" w:rsidRDefault="005F2EE9" w:rsidP="005F2EE9">
      <w:pPr>
        <w:spacing w:after="40" w:line="252" w:lineRule="auto"/>
        <w:rPr>
          <w:i/>
          <w:color w:val="7A7488"/>
          <w:sz w:val="24"/>
          <w:szCs w:val="24"/>
        </w:rPr>
      </w:pPr>
      <w:r w:rsidRPr="00B3436B">
        <w:rPr>
          <w:i/>
          <w:color w:val="7A7488"/>
          <w:sz w:val="24"/>
          <w:szCs w:val="24"/>
        </w:rPr>
        <w:t>My data comes from Kaggle</w:t>
      </w:r>
      <w:r w:rsidRPr="00B3436B">
        <w:rPr>
          <w:i/>
          <w:color w:val="7A7488"/>
          <w:sz w:val="24"/>
          <w:szCs w:val="24"/>
          <w:u w:val="single"/>
        </w:rPr>
        <w:t xml:space="preserve">: </w:t>
      </w:r>
      <w:hyperlink r:id="rId5" w:history="1">
        <w:r w:rsidRPr="00B3436B">
          <w:rPr>
            <w:i/>
            <w:color w:val="7A7488"/>
            <w:sz w:val="24"/>
            <w:szCs w:val="24"/>
            <w:u w:val="single"/>
          </w:rPr>
          <w:t>Lifestyle Factors Influencing Osteoporosis</w:t>
        </w:r>
      </w:hyperlink>
      <w:r w:rsidRPr="00B3436B">
        <w:rPr>
          <w:i/>
          <w:color w:val="7A7488"/>
          <w:sz w:val="24"/>
          <w:szCs w:val="24"/>
        </w:rPr>
        <w:t>. Each row represents one individual, with 1,958 rows and 16 columns. Of the 16 columns, this analysis primarily uses Family History, Age, Osteoporosis (diagnosis status), Calcium Intake, Vitamin D Intake, and Physical Activity.</w:t>
      </w:r>
    </w:p>
    <w:p w14:paraId="79ECAC38" w14:textId="77777777" w:rsidR="005F2EE9" w:rsidRPr="00B3436B" w:rsidRDefault="005F2EE9" w:rsidP="005F2EE9">
      <w:pPr>
        <w:keepNext/>
        <w:pBdr>
          <w:bottom w:val="single" w:sz="6" w:space="3" w:color="D8CEE8"/>
        </w:pBdr>
        <w:spacing w:before="260" w:after="60" w:line="252" w:lineRule="auto"/>
        <w:rPr>
          <w:sz w:val="24"/>
          <w:szCs w:val="24"/>
        </w:rPr>
      </w:pPr>
      <w:r w:rsidRPr="00B3436B">
        <w:rPr>
          <w:b/>
          <w:color w:val="A8760B"/>
          <w:sz w:val="24"/>
          <w:szCs w:val="24"/>
        </w:rPr>
        <w:t xml:space="preserve">4.  </w:t>
      </w:r>
      <w:r w:rsidRPr="00B3436B">
        <w:rPr>
          <w:rFonts w:ascii="Cambria" w:hAnsi="Cambria"/>
          <w:b/>
          <w:color w:val="3A1E5C"/>
          <w:sz w:val="24"/>
          <w:szCs w:val="24"/>
        </w:rPr>
        <w:t>Analysis</w:t>
      </w:r>
      <w:r w:rsidRPr="00B3436B">
        <w:rPr>
          <w:color w:val="5A546B"/>
          <w:sz w:val="24"/>
          <w:szCs w:val="24"/>
        </w:rPr>
        <w:t xml:space="preserve">      </w:t>
      </w:r>
    </w:p>
    <w:p w14:paraId="0797E7E5" w14:textId="77777777" w:rsidR="005F2EE9" w:rsidRPr="00B3436B" w:rsidRDefault="005F2EE9" w:rsidP="005F2EE9">
      <w:pPr>
        <w:spacing w:after="80" w:line="252" w:lineRule="auto"/>
        <w:rPr>
          <w:i/>
          <w:color w:val="7A7488"/>
          <w:sz w:val="24"/>
          <w:szCs w:val="24"/>
        </w:rPr>
      </w:pPr>
      <w:r w:rsidRPr="00B3436B">
        <w:rPr>
          <w:i/>
          <w:color w:val="7A7488"/>
          <w:sz w:val="24"/>
          <w:szCs w:val="24"/>
        </w:rPr>
        <w:t>The original dataset had 16 columns. For this analysis, I kept only the 6 columns needed to answer my questions: Family History, Age, Osteoporosis, Calcium Intake, Vitamin D Intake, and Physical Activity. This reduced the dataset to 1,958 rows and 6 columns.</w:t>
      </w:r>
    </w:p>
    <w:p w14:paraId="69A7DFEE" w14:textId="77777777" w:rsidR="005F2EE9" w:rsidRPr="00B3436B" w:rsidRDefault="005F2EE9" w:rsidP="005F2EE9">
      <w:pPr>
        <w:spacing w:after="80" w:line="252" w:lineRule="auto"/>
        <w:rPr>
          <w:sz w:val="24"/>
          <w:szCs w:val="24"/>
        </w:rPr>
      </w:pPr>
    </w:p>
    <w:p w14:paraId="68469FF3" w14:textId="77777777" w:rsidR="005F2EE9" w:rsidRPr="00B3436B" w:rsidRDefault="005F2EE9" w:rsidP="005F2EE9">
      <w:pPr>
        <w:spacing w:after="40" w:line="252" w:lineRule="auto"/>
        <w:rPr>
          <w:sz w:val="24"/>
          <w:szCs w:val="24"/>
        </w:rPr>
      </w:pPr>
    </w:p>
    <w:p w14:paraId="78731C18" w14:textId="77777777" w:rsidR="005F2EE9" w:rsidRPr="00B3436B" w:rsidRDefault="005F2EE9" w:rsidP="005F2EE9">
      <w:pPr>
        <w:spacing w:after="40" w:line="252" w:lineRule="auto"/>
        <w:rPr>
          <w:sz w:val="24"/>
          <w:szCs w:val="24"/>
        </w:rPr>
      </w:pPr>
    </w:p>
    <w:p w14:paraId="7309B75B" w14:textId="77777777" w:rsidR="005F2EE9" w:rsidRPr="00B3436B" w:rsidRDefault="005F2EE9" w:rsidP="005F2EE9">
      <w:pPr>
        <w:spacing w:after="40" w:line="252" w:lineRule="auto"/>
        <w:rPr>
          <w:sz w:val="24"/>
          <w:szCs w:val="24"/>
        </w:rPr>
      </w:pPr>
    </w:p>
    <w:p w14:paraId="56CC1AD0" w14:textId="77777777" w:rsidR="005F2EE9" w:rsidRPr="00B3436B" w:rsidRDefault="005F2EE9" w:rsidP="005F2EE9">
      <w:pPr>
        <w:spacing w:after="40" w:line="252" w:lineRule="auto"/>
        <w:rPr>
          <w:sz w:val="24"/>
          <w:szCs w:val="24"/>
        </w:rPr>
      </w:pPr>
    </w:p>
    <w:p w14:paraId="6F2D8808" w14:textId="77777777" w:rsidR="005F2EE9" w:rsidRPr="00B3436B" w:rsidRDefault="005F2EE9" w:rsidP="005F2EE9">
      <w:pPr>
        <w:keepNext/>
        <w:pBdr>
          <w:bottom w:val="single" w:sz="6" w:space="3" w:color="D8CEE8"/>
        </w:pBdr>
        <w:spacing w:before="260" w:after="60" w:line="252" w:lineRule="auto"/>
        <w:rPr>
          <w:sz w:val="24"/>
          <w:szCs w:val="24"/>
        </w:rPr>
      </w:pPr>
      <w:r w:rsidRPr="00B3436B">
        <w:rPr>
          <w:b/>
          <w:color w:val="A8760B"/>
          <w:sz w:val="24"/>
          <w:szCs w:val="24"/>
        </w:rPr>
        <w:lastRenderedPageBreak/>
        <w:t xml:space="preserve">5.  </w:t>
      </w:r>
      <w:r w:rsidRPr="00B3436B">
        <w:rPr>
          <w:rFonts w:ascii="Cambria" w:hAnsi="Cambria"/>
          <w:b/>
          <w:color w:val="3A1E5C"/>
          <w:sz w:val="24"/>
          <w:szCs w:val="24"/>
        </w:rPr>
        <w:t>Visualization</w:t>
      </w:r>
      <w:r w:rsidRPr="00B3436B">
        <w:rPr>
          <w:color w:val="5A546B"/>
          <w:sz w:val="24"/>
          <w:szCs w:val="24"/>
        </w:rPr>
        <w:t xml:space="preserve">     </w:t>
      </w:r>
    </w:p>
    <w:p w14:paraId="40C89F61" w14:textId="77777777" w:rsidR="005F2EE9" w:rsidRPr="00B3436B" w:rsidRDefault="005F2EE9" w:rsidP="005F2EE9">
      <w:pPr>
        <w:spacing w:after="40" w:line="252" w:lineRule="auto"/>
        <w:rPr>
          <w:sz w:val="24"/>
          <w:szCs w:val="24"/>
        </w:rPr>
      </w:pPr>
      <w:r w:rsidRPr="00B3436B">
        <w:rPr>
          <w:b/>
          <w:noProof/>
          <w:color w:val="7A7488"/>
          <w:sz w:val="24"/>
          <w:szCs w:val="24"/>
        </w:rPr>
        <w:drawing>
          <wp:inline distT="0" distB="0" distL="0" distR="0" wp14:anchorId="537A940C" wp14:editId="208E8493">
            <wp:extent cx="3010371" cy="2257778"/>
            <wp:effectExtent l="0" t="0" r="0" b="3175"/>
            <wp:docPr id="79313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30643" name="Picture 793130643"/>
                    <pic:cNvPicPr/>
                  </pic:nvPicPr>
                  <pic:blipFill>
                    <a:blip r:embed="rId6"/>
                    <a:stretch>
                      <a:fillRect/>
                    </a:stretch>
                  </pic:blipFill>
                  <pic:spPr>
                    <a:xfrm>
                      <a:off x="0" y="0"/>
                      <a:ext cx="3100208" cy="2325156"/>
                    </a:xfrm>
                    <a:prstGeom prst="rect">
                      <a:avLst/>
                    </a:prstGeom>
                  </pic:spPr>
                </pic:pic>
              </a:graphicData>
            </a:graphic>
          </wp:inline>
        </w:drawing>
      </w:r>
    </w:p>
    <w:p w14:paraId="6B972B78" w14:textId="77777777" w:rsidR="005F2EE9" w:rsidRPr="00B3436B" w:rsidRDefault="005F2EE9" w:rsidP="005F2EE9">
      <w:pPr>
        <w:spacing w:after="40" w:line="252" w:lineRule="auto"/>
        <w:rPr>
          <w:i/>
          <w:color w:val="7A7488"/>
          <w:sz w:val="24"/>
          <w:szCs w:val="24"/>
        </w:rPr>
      </w:pPr>
      <w:r w:rsidRPr="00B3436B">
        <w:rPr>
          <w:i/>
          <w:color w:val="7A7488"/>
          <w:sz w:val="24"/>
          <w:szCs w:val="24"/>
        </w:rPr>
        <w:t>Family History</w:t>
      </w:r>
    </w:p>
    <w:p w14:paraId="216B95A1" w14:textId="77777777" w:rsidR="005F2EE9" w:rsidRPr="00B3436B" w:rsidRDefault="005F2EE9" w:rsidP="005F2EE9">
      <w:pPr>
        <w:spacing w:after="40" w:line="252" w:lineRule="auto"/>
        <w:rPr>
          <w:i/>
          <w:color w:val="7A7488"/>
          <w:sz w:val="24"/>
          <w:szCs w:val="24"/>
        </w:rPr>
      </w:pPr>
      <w:r w:rsidRPr="00B3436B">
        <w:rPr>
          <w:i/>
          <w:color w:val="7A7488"/>
          <w:sz w:val="24"/>
          <w:szCs w:val="24"/>
        </w:rPr>
        <w:t xml:space="preserve"> In this dataset, people with a family history of osteoporosis were diagnosed at almost the same rate (approximately 50%) as those without one, suggesting family history is not associated with higher diagnosis rates here</w:t>
      </w:r>
    </w:p>
    <w:p w14:paraId="3757FEB5" w14:textId="77777777" w:rsidR="005F2EE9" w:rsidRPr="00B3436B" w:rsidRDefault="005F2EE9" w:rsidP="005F2EE9">
      <w:pPr>
        <w:spacing w:after="40" w:line="252" w:lineRule="auto"/>
        <w:rPr>
          <w:i/>
          <w:color w:val="7A7488"/>
          <w:sz w:val="24"/>
          <w:szCs w:val="24"/>
        </w:rPr>
      </w:pPr>
      <w:r w:rsidRPr="00B3436B">
        <w:rPr>
          <w:i/>
          <w:noProof/>
          <w:color w:val="7A7488"/>
          <w:sz w:val="24"/>
          <w:szCs w:val="24"/>
        </w:rPr>
        <w:drawing>
          <wp:inline distT="0" distB="0" distL="0" distR="0" wp14:anchorId="1680CAAE" wp14:editId="65EC2F6E">
            <wp:extent cx="2965215" cy="2223911"/>
            <wp:effectExtent l="0" t="0" r="0" b="0"/>
            <wp:docPr id="1370294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94143" name="Picture 1370294143"/>
                    <pic:cNvPicPr/>
                  </pic:nvPicPr>
                  <pic:blipFill>
                    <a:blip r:embed="rId7"/>
                    <a:stretch>
                      <a:fillRect/>
                    </a:stretch>
                  </pic:blipFill>
                  <pic:spPr>
                    <a:xfrm>
                      <a:off x="0" y="0"/>
                      <a:ext cx="3044813" cy="2283609"/>
                    </a:xfrm>
                    <a:prstGeom prst="rect">
                      <a:avLst/>
                    </a:prstGeom>
                  </pic:spPr>
                </pic:pic>
              </a:graphicData>
            </a:graphic>
          </wp:inline>
        </w:drawing>
      </w:r>
    </w:p>
    <w:p w14:paraId="45D32897" w14:textId="77777777" w:rsidR="005F2EE9" w:rsidRPr="00B3436B" w:rsidRDefault="005F2EE9" w:rsidP="005F2EE9">
      <w:pPr>
        <w:spacing w:after="40" w:line="252" w:lineRule="auto"/>
        <w:rPr>
          <w:i/>
          <w:color w:val="7A7488"/>
          <w:sz w:val="24"/>
          <w:szCs w:val="24"/>
        </w:rPr>
      </w:pPr>
      <w:r w:rsidRPr="00B3436B">
        <w:rPr>
          <w:i/>
          <w:color w:val="7A7488"/>
          <w:sz w:val="24"/>
          <w:szCs w:val="24"/>
        </w:rPr>
        <w:t xml:space="preserve">Family History Across Age Groups </w:t>
      </w:r>
    </w:p>
    <w:p w14:paraId="50C90398" w14:textId="77777777" w:rsidR="005F2EE9" w:rsidRPr="00B3436B" w:rsidRDefault="005F2EE9" w:rsidP="005F2EE9">
      <w:pPr>
        <w:spacing w:after="40" w:line="252" w:lineRule="auto"/>
        <w:rPr>
          <w:i/>
          <w:color w:val="7A7488"/>
          <w:sz w:val="24"/>
          <w:szCs w:val="24"/>
        </w:rPr>
      </w:pPr>
      <w:r w:rsidRPr="00B3436B">
        <w:rPr>
          <w:i/>
          <w:color w:val="7A7488"/>
          <w:sz w:val="24"/>
          <w:szCs w:val="24"/>
        </w:rPr>
        <w:t>The gap between family-history groups was small but present under age 40; from age 40 onward, diagnosis rates were near 100% for everyone regardless of family history, suggesting age -not family history- drives the outcome in this dataset.</w:t>
      </w:r>
    </w:p>
    <w:p w14:paraId="45C3FAFA" w14:textId="77777777" w:rsidR="005F2EE9" w:rsidRPr="00B3436B" w:rsidRDefault="005F2EE9" w:rsidP="005F2EE9">
      <w:pPr>
        <w:spacing w:after="40" w:line="252" w:lineRule="auto"/>
        <w:rPr>
          <w:i/>
          <w:color w:val="7A7488"/>
          <w:sz w:val="24"/>
          <w:szCs w:val="24"/>
        </w:rPr>
      </w:pPr>
    </w:p>
    <w:p w14:paraId="6EF573A0" w14:textId="5961C3F3" w:rsidR="005F2EE9" w:rsidRPr="00B3436B" w:rsidRDefault="005F2EE9" w:rsidP="005F2EE9">
      <w:pPr>
        <w:spacing w:after="40" w:line="252" w:lineRule="auto"/>
        <w:rPr>
          <w:i/>
          <w:color w:val="7A7488"/>
          <w:sz w:val="24"/>
          <w:szCs w:val="24"/>
        </w:rPr>
      </w:pPr>
      <w:r w:rsidRPr="00B3436B">
        <w:rPr>
          <w:i/>
          <w:noProof/>
          <w:color w:val="7A7488"/>
          <w:sz w:val="24"/>
          <w:szCs w:val="24"/>
          <w14:ligatures w14:val="standardContextual"/>
        </w:rPr>
        <w:drawing>
          <wp:inline distT="0" distB="0" distL="0" distR="0" wp14:anchorId="16A720AA" wp14:editId="489EF29C">
            <wp:extent cx="3273552" cy="1818641"/>
            <wp:effectExtent l="0" t="0" r="3175" b="0"/>
            <wp:docPr id="169078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89349" name="Picture 16907893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72248" cy="1873472"/>
                    </a:xfrm>
                    <a:prstGeom prst="rect">
                      <a:avLst/>
                    </a:prstGeom>
                  </pic:spPr>
                </pic:pic>
              </a:graphicData>
            </a:graphic>
          </wp:inline>
        </w:drawing>
      </w:r>
    </w:p>
    <w:p w14:paraId="3BB76621" w14:textId="7402F2BD" w:rsidR="005F2EE9" w:rsidRPr="00B3436B" w:rsidRDefault="005F2EE9" w:rsidP="005F2EE9">
      <w:pPr>
        <w:spacing w:after="40" w:line="252" w:lineRule="auto"/>
        <w:rPr>
          <w:i/>
          <w:color w:val="7A7488"/>
          <w:sz w:val="24"/>
          <w:szCs w:val="24"/>
        </w:rPr>
      </w:pPr>
      <w:r w:rsidRPr="00B3436B">
        <w:rPr>
          <w:i/>
          <w:color w:val="7A7488"/>
          <w:sz w:val="24"/>
          <w:szCs w:val="24"/>
        </w:rPr>
        <w:t xml:space="preserve">Lifestyle Factors (Among Those </w:t>
      </w:r>
      <w:r w:rsidR="001B55B2" w:rsidRPr="00B3436B">
        <w:rPr>
          <w:i/>
          <w:color w:val="7A7488"/>
          <w:sz w:val="24"/>
          <w:szCs w:val="24"/>
        </w:rPr>
        <w:t>with</w:t>
      </w:r>
      <w:r w:rsidRPr="00B3436B">
        <w:rPr>
          <w:i/>
          <w:color w:val="7A7488"/>
          <w:sz w:val="24"/>
          <w:szCs w:val="24"/>
        </w:rPr>
        <w:t xml:space="preserve"> Family History) </w:t>
      </w:r>
    </w:p>
    <w:p w14:paraId="46633F79" w14:textId="6682CFB0" w:rsidR="005F2EE9" w:rsidRDefault="005F2EE9" w:rsidP="005F2EE9">
      <w:pPr>
        <w:spacing w:after="40" w:line="252" w:lineRule="auto"/>
        <w:rPr>
          <w:i/>
          <w:color w:val="7A7488"/>
          <w:sz w:val="24"/>
          <w:szCs w:val="24"/>
        </w:rPr>
      </w:pPr>
      <w:r w:rsidRPr="00B3436B">
        <w:rPr>
          <w:i/>
          <w:color w:val="7A7488"/>
          <w:sz w:val="24"/>
          <w:szCs w:val="24"/>
        </w:rPr>
        <w:lastRenderedPageBreak/>
        <w:t xml:space="preserve">None of the three lifestyle factors meaningfully changed the diagnosis rate </w:t>
      </w:r>
      <w:r w:rsidR="00D15AA4" w:rsidRPr="00B3436B">
        <w:rPr>
          <w:i/>
          <w:color w:val="7A7488"/>
          <w:sz w:val="24"/>
          <w:szCs w:val="24"/>
        </w:rPr>
        <w:t>because all</w:t>
      </w:r>
      <w:r w:rsidRPr="00B3436B">
        <w:rPr>
          <w:i/>
          <w:color w:val="7A7488"/>
          <w:sz w:val="24"/>
          <w:szCs w:val="24"/>
        </w:rPr>
        <w:t xml:space="preserve"> six groups hovered around 50%, suggesting that in this dataset, lifestyle choices did not offset or influence osteoporosis risk among those with a family history.</w:t>
      </w:r>
    </w:p>
    <w:p w14:paraId="53A710FB" w14:textId="77777777" w:rsidR="00AC4513" w:rsidRDefault="00AC4513" w:rsidP="005F2EE9">
      <w:pPr>
        <w:spacing w:after="40" w:line="252" w:lineRule="auto"/>
        <w:rPr>
          <w:i/>
          <w:color w:val="7A7488"/>
          <w:sz w:val="24"/>
          <w:szCs w:val="24"/>
        </w:rPr>
      </w:pPr>
    </w:p>
    <w:p w14:paraId="72B198B0" w14:textId="631A70E4" w:rsidR="00AC4513" w:rsidRPr="00B3436B" w:rsidRDefault="00AC4513" w:rsidP="005F2EE9">
      <w:pPr>
        <w:spacing w:after="40" w:line="252" w:lineRule="auto"/>
        <w:rPr>
          <w:i/>
          <w:color w:val="7A7488"/>
          <w:sz w:val="24"/>
          <w:szCs w:val="24"/>
        </w:rPr>
      </w:pPr>
      <w:r>
        <w:rPr>
          <w:i/>
          <w:noProof/>
          <w:color w:val="7A7488"/>
          <w:sz w:val="24"/>
          <w:szCs w:val="24"/>
          <w14:ligatures w14:val="standardContextual"/>
        </w:rPr>
        <w:drawing>
          <wp:inline distT="0" distB="0" distL="0" distR="0" wp14:anchorId="0869D6C3" wp14:editId="02D3E678">
            <wp:extent cx="3848986" cy="711835"/>
            <wp:effectExtent l="0" t="0" r="0" b="0"/>
            <wp:docPr id="140281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16165" name="Picture 14028161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81131" cy="717780"/>
                    </a:xfrm>
                    <a:prstGeom prst="rect">
                      <a:avLst/>
                    </a:prstGeom>
                  </pic:spPr>
                </pic:pic>
              </a:graphicData>
            </a:graphic>
          </wp:inline>
        </w:drawing>
      </w:r>
    </w:p>
    <w:p w14:paraId="2DB66DD3" w14:textId="44AA6FE3" w:rsidR="005F2EE9" w:rsidRPr="00B3436B" w:rsidRDefault="0042651A" w:rsidP="005F2EE9">
      <w:pPr>
        <w:spacing w:after="40" w:line="252" w:lineRule="auto"/>
        <w:rPr>
          <w:i/>
          <w:color w:val="7A7488"/>
          <w:sz w:val="24"/>
          <w:szCs w:val="24"/>
        </w:rPr>
      </w:pPr>
      <w:r w:rsidRPr="0042651A">
        <w:rPr>
          <w:i/>
          <w:color w:val="7A7488"/>
          <w:sz w:val="24"/>
          <w:szCs w:val="24"/>
        </w:rPr>
        <w:t>This output confirms the exact percentages behind Figure 3: calcium intake, vitamin D intake, and physical activity each showed diagnosis rates within 1</w:t>
      </w:r>
      <w:r>
        <w:rPr>
          <w:i/>
          <w:color w:val="7A7488"/>
          <w:sz w:val="24"/>
          <w:szCs w:val="24"/>
        </w:rPr>
        <w:t>-</w:t>
      </w:r>
      <w:r w:rsidRPr="0042651A">
        <w:rPr>
          <w:i/>
          <w:color w:val="7A7488"/>
          <w:sz w:val="24"/>
          <w:szCs w:val="24"/>
        </w:rPr>
        <w:t>2 percentage points of each other, regardless of category.</w:t>
      </w:r>
    </w:p>
    <w:p w14:paraId="4A9BB6C9" w14:textId="51818998" w:rsidR="005F2EE9" w:rsidRPr="00B3436B" w:rsidRDefault="005F2EE9" w:rsidP="005F2EE9">
      <w:pPr>
        <w:keepNext/>
        <w:pBdr>
          <w:bottom w:val="single" w:sz="6" w:space="3" w:color="D8CEE8"/>
        </w:pBdr>
        <w:spacing w:before="260" w:after="60" w:line="252" w:lineRule="auto"/>
        <w:rPr>
          <w:sz w:val="24"/>
          <w:szCs w:val="24"/>
        </w:rPr>
      </w:pPr>
      <w:r w:rsidRPr="00B3436B">
        <w:rPr>
          <w:b/>
          <w:color w:val="A8760B"/>
          <w:sz w:val="24"/>
          <w:szCs w:val="24"/>
        </w:rPr>
        <w:t xml:space="preserve">6.  </w:t>
      </w:r>
      <w:r w:rsidRPr="00B3436B">
        <w:rPr>
          <w:rFonts w:ascii="Cambria" w:hAnsi="Cambria"/>
          <w:b/>
          <w:color w:val="3A1E5C"/>
          <w:sz w:val="24"/>
          <w:szCs w:val="24"/>
        </w:rPr>
        <w:t>Conclusion</w:t>
      </w:r>
      <w:r w:rsidRPr="00B3436B">
        <w:rPr>
          <w:color w:val="5A546B"/>
          <w:sz w:val="24"/>
          <w:szCs w:val="24"/>
        </w:rPr>
        <w:t xml:space="preserve">     </w:t>
      </w:r>
    </w:p>
    <w:p w14:paraId="31354EAC" w14:textId="09C13490" w:rsidR="005F2EE9" w:rsidRPr="00B3436B" w:rsidRDefault="00D15AA4" w:rsidP="005F2EE9">
      <w:pPr>
        <w:spacing w:after="40" w:line="252" w:lineRule="auto"/>
        <w:rPr>
          <w:i/>
          <w:color w:val="7A7488"/>
          <w:sz w:val="24"/>
          <w:szCs w:val="24"/>
        </w:rPr>
      </w:pPr>
      <w:r>
        <w:rPr>
          <w:i/>
          <w:color w:val="7A7488"/>
          <w:sz w:val="24"/>
          <w:szCs w:val="24"/>
        </w:rPr>
        <w:t>In this study I learned that f</w:t>
      </w:r>
      <w:r w:rsidR="005F2EE9" w:rsidRPr="00B3436B">
        <w:rPr>
          <w:i/>
          <w:color w:val="7A7488"/>
          <w:sz w:val="24"/>
          <w:szCs w:val="24"/>
        </w:rPr>
        <w:t xml:space="preserve">amily history of osteoporosis was </w:t>
      </w:r>
      <w:r w:rsidR="005F2EE9" w:rsidRPr="00D15AA4">
        <w:rPr>
          <w:i/>
          <w:color w:val="7A7488"/>
          <w:sz w:val="24"/>
          <w:szCs w:val="24"/>
        </w:rPr>
        <w:t>not</w:t>
      </w:r>
      <w:r w:rsidR="005F2EE9" w:rsidRPr="00B3436B">
        <w:rPr>
          <w:i/>
          <w:color w:val="7A7488"/>
          <w:sz w:val="24"/>
          <w:szCs w:val="24"/>
        </w:rPr>
        <w:t xml:space="preserve"> associated with a higher diagnosis rate in this dataset. Both groups</w:t>
      </w:r>
      <w:r w:rsidR="004816CF" w:rsidRPr="00B3436B">
        <w:rPr>
          <w:i/>
          <w:color w:val="7A7488"/>
          <w:sz w:val="24"/>
          <w:szCs w:val="24"/>
        </w:rPr>
        <w:t xml:space="preserve">, </w:t>
      </w:r>
      <w:r w:rsidR="005F2EE9" w:rsidRPr="00B3436B">
        <w:rPr>
          <w:i/>
          <w:color w:val="7A7488"/>
          <w:sz w:val="24"/>
          <w:szCs w:val="24"/>
        </w:rPr>
        <w:t xml:space="preserve">with and without family history were diagnosed at nearly identical rates overall </w:t>
      </w:r>
      <w:r>
        <w:rPr>
          <w:i/>
          <w:color w:val="7A7488"/>
          <w:sz w:val="24"/>
          <w:szCs w:val="24"/>
        </w:rPr>
        <w:t>-</w:t>
      </w:r>
      <w:r w:rsidR="004816CF" w:rsidRPr="00B3436B">
        <w:rPr>
          <w:i/>
          <w:color w:val="7A7488"/>
          <w:sz w:val="24"/>
          <w:szCs w:val="24"/>
        </w:rPr>
        <w:t xml:space="preserve">approximately </w:t>
      </w:r>
      <w:r w:rsidR="005F2EE9" w:rsidRPr="00B3436B">
        <w:rPr>
          <w:i/>
          <w:color w:val="7A7488"/>
          <w:sz w:val="24"/>
          <w:szCs w:val="24"/>
        </w:rPr>
        <w:t xml:space="preserve">50%, and this held true within each age group as well: under 40, both groups showed a similarly low rate </w:t>
      </w:r>
      <w:r>
        <w:rPr>
          <w:i/>
          <w:color w:val="7A7488"/>
          <w:sz w:val="24"/>
          <w:szCs w:val="24"/>
        </w:rPr>
        <w:t xml:space="preserve">as approximately </w:t>
      </w:r>
      <w:r w:rsidR="005F2EE9" w:rsidRPr="00B3436B">
        <w:rPr>
          <w:i/>
          <w:color w:val="7A7488"/>
          <w:sz w:val="24"/>
          <w:szCs w:val="24"/>
        </w:rPr>
        <w:t xml:space="preserve">23-24%, </w:t>
      </w:r>
      <w:r w:rsidR="0042651A">
        <w:rPr>
          <w:i/>
          <w:color w:val="7A7488"/>
          <w:sz w:val="24"/>
          <w:szCs w:val="24"/>
        </w:rPr>
        <w:t>from</w:t>
      </w:r>
      <w:r w:rsidR="005F2EE9" w:rsidRPr="00B3436B">
        <w:rPr>
          <w:i/>
          <w:color w:val="7A7488"/>
          <w:sz w:val="24"/>
          <w:szCs w:val="24"/>
        </w:rPr>
        <w:t xml:space="preserve"> 40 </w:t>
      </w:r>
      <w:r w:rsidR="0042651A">
        <w:rPr>
          <w:i/>
          <w:color w:val="7A7488"/>
          <w:sz w:val="24"/>
          <w:szCs w:val="24"/>
        </w:rPr>
        <w:t>ongoing</w:t>
      </w:r>
      <w:r w:rsidR="005F2EE9" w:rsidRPr="00B3436B">
        <w:rPr>
          <w:i/>
          <w:color w:val="7A7488"/>
          <w:sz w:val="24"/>
          <w:szCs w:val="24"/>
        </w:rPr>
        <w:t xml:space="preserve">, both groups showed a rate near 100%. This suggests that </w:t>
      </w:r>
      <w:r w:rsidR="005F2EE9" w:rsidRPr="00D15AA4">
        <w:rPr>
          <w:i/>
          <w:color w:val="7A7488"/>
          <w:sz w:val="24"/>
          <w:szCs w:val="24"/>
        </w:rPr>
        <w:t>age</w:t>
      </w:r>
      <w:r w:rsidR="005F2EE9" w:rsidRPr="00B3436B">
        <w:rPr>
          <w:i/>
          <w:color w:val="7A7488"/>
          <w:sz w:val="24"/>
          <w:szCs w:val="24"/>
        </w:rPr>
        <w:t>, not family history, is the dominant factor driving diagnosis in this dataset.</w:t>
      </w:r>
    </w:p>
    <w:p w14:paraId="6517ED7B" w14:textId="77777777" w:rsidR="005F2EE9" w:rsidRPr="00B3436B" w:rsidRDefault="005F2EE9" w:rsidP="005F2EE9">
      <w:pPr>
        <w:spacing w:after="40" w:line="252" w:lineRule="auto"/>
        <w:rPr>
          <w:i/>
          <w:color w:val="7A7488"/>
          <w:sz w:val="24"/>
          <w:szCs w:val="24"/>
        </w:rPr>
      </w:pPr>
    </w:p>
    <w:p w14:paraId="61FE6F15" w14:textId="6302C703" w:rsidR="005F2EE9" w:rsidRPr="00B3436B" w:rsidRDefault="005F2EE9" w:rsidP="005F2EE9">
      <w:pPr>
        <w:spacing w:after="40" w:line="252" w:lineRule="auto"/>
        <w:rPr>
          <w:i/>
          <w:color w:val="7A7488"/>
          <w:sz w:val="24"/>
          <w:szCs w:val="24"/>
        </w:rPr>
      </w:pPr>
      <w:r w:rsidRPr="00B3436B">
        <w:rPr>
          <w:i/>
          <w:color w:val="7A7488"/>
          <w:sz w:val="24"/>
          <w:szCs w:val="24"/>
        </w:rPr>
        <w:t>Going in, I assumed family history would show at least some independent effect, based on both the clinical literature and my own family's experience. Instead, age appears to overwhelm any family-history signal so completely that by age 40</w:t>
      </w:r>
      <w:r w:rsidR="00D15AA4">
        <w:rPr>
          <w:i/>
          <w:color w:val="7A7488"/>
          <w:sz w:val="24"/>
          <w:szCs w:val="24"/>
        </w:rPr>
        <w:t xml:space="preserve"> ongoing, </w:t>
      </w:r>
      <w:r w:rsidRPr="00B3436B">
        <w:rPr>
          <w:i/>
          <w:color w:val="7A7488"/>
          <w:sz w:val="24"/>
          <w:szCs w:val="24"/>
        </w:rPr>
        <w:t xml:space="preserve">virtually everyone is diagnosed regardless of family </w:t>
      </w:r>
      <w:r w:rsidR="00D15AA4" w:rsidRPr="00B3436B">
        <w:rPr>
          <w:i/>
          <w:color w:val="7A7488"/>
          <w:sz w:val="24"/>
          <w:szCs w:val="24"/>
        </w:rPr>
        <w:t>background which</w:t>
      </w:r>
      <w:r w:rsidRPr="00B3436B">
        <w:rPr>
          <w:i/>
          <w:color w:val="7A7488"/>
          <w:sz w:val="24"/>
          <w:szCs w:val="24"/>
        </w:rPr>
        <w:t xml:space="preserve"> raises the question of whether this dataset reflects real biological patterns or was generated in a way where age and diagnosis are more tightly linked than family history and diagnosis.</w:t>
      </w:r>
    </w:p>
    <w:p w14:paraId="78F86BF1" w14:textId="77777777" w:rsidR="005F2EE9" w:rsidRPr="00B3436B" w:rsidRDefault="005F2EE9" w:rsidP="005F2EE9">
      <w:pPr>
        <w:spacing w:after="40" w:line="252" w:lineRule="auto"/>
        <w:rPr>
          <w:i/>
          <w:color w:val="7A7488"/>
          <w:sz w:val="24"/>
          <w:szCs w:val="24"/>
        </w:rPr>
      </w:pPr>
    </w:p>
    <w:p w14:paraId="6D51EB4B" w14:textId="0D156870" w:rsidR="005F2EE9" w:rsidRPr="00B3436B" w:rsidRDefault="005F2EE9" w:rsidP="005F2EE9">
      <w:pPr>
        <w:spacing w:after="40" w:line="252" w:lineRule="auto"/>
        <w:rPr>
          <w:i/>
          <w:color w:val="7A7488"/>
          <w:sz w:val="24"/>
          <w:szCs w:val="24"/>
        </w:rPr>
      </w:pPr>
      <w:r w:rsidRPr="00B3436B">
        <w:rPr>
          <w:i/>
          <w:color w:val="7A7488"/>
          <w:sz w:val="24"/>
          <w:szCs w:val="24"/>
        </w:rPr>
        <w:t xml:space="preserve">Among individuals with a family history of osteoporosis, lifestyle factors also showed no meaningful association with diagnosis rate: calcium intake (49.8% adequate vs. 50.0% low), vitamin D intake (49.3% insufficient vs. 50.5% sufficient), and physical activity (50.6% active vs. 49.1% sedentary) all produced nearly identical diagnosis rates. This reinforces the pattern seen with family history and age: in this dataset, diagnosis does not appear to be meaningfully driven by any of the behavioral or genetic risk factors typically associated with osteoporosis </w:t>
      </w:r>
      <w:r w:rsidR="00D15AA4">
        <w:rPr>
          <w:i/>
          <w:color w:val="7A7488"/>
          <w:sz w:val="24"/>
          <w:szCs w:val="24"/>
        </w:rPr>
        <w:t>-</w:t>
      </w:r>
      <w:r w:rsidRPr="00B3436B">
        <w:rPr>
          <w:i/>
          <w:color w:val="7A7488"/>
          <w:sz w:val="24"/>
          <w:szCs w:val="24"/>
        </w:rPr>
        <w:t>age is the one variable that shows a clear relationship.</w:t>
      </w:r>
    </w:p>
    <w:p w14:paraId="7ABC87EA" w14:textId="77777777" w:rsidR="005F2EE9" w:rsidRPr="00B3436B" w:rsidRDefault="005F2EE9" w:rsidP="005F2EE9">
      <w:pPr>
        <w:spacing w:after="40" w:line="252" w:lineRule="auto"/>
        <w:rPr>
          <w:sz w:val="24"/>
          <w:szCs w:val="24"/>
        </w:rPr>
      </w:pPr>
    </w:p>
    <w:p w14:paraId="2DB71CF6" w14:textId="63125230" w:rsidR="005F2EE9" w:rsidRPr="00B3436B" w:rsidRDefault="005F2EE9" w:rsidP="005F2EE9">
      <w:pPr>
        <w:keepNext/>
        <w:pBdr>
          <w:bottom w:val="single" w:sz="6" w:space="3" w:color="D8CEE8"/>
        </w:pBdr>
        <w:spacing w:before="260" w:after="60" w:line="252" w:lineRule="auto"/>
        <w:rPr>
          <w:sz w:val="24"/>
          <w:szCs w:val="24"/>
        </w:rPr>
      </w:pPr>
      <w:r w:rsidRPr="00B3436B">
        <w:rPr>
          <w:b/>
          <w:color w:val="A8760B"/>
          <w:sz w:val="24"/>
          <w:szCs w:val="24"/>
        </w:rPr>
        <w:t xml:space="preserve">7.  </w:t>
      </w:r>
      <w:r w:rsidRPr="00B3436B">
        <w:rPr>
          <w:rFonts w:ascii="Cambria" w:hAnsi="Cambria"/>
          <w:b/>
          <w:color w:val="3A1E5C"/>
          <w:sz w:val="24"/>
          <w:szCs w:val="24"/>
        </w:rPr>
        <w:t>Limitations</w:t>
      </w:r>
      <w:r w:rsidRPr="00B3436B">
        <w:rPr>
          <w:color w:val="5A546B"/>
          <w:sz w:val="24"/>
          <w:szCs w:val="24"/>
        </w:rPr>
        <w:t xml:space="preserve">     </w:t>
      </w:r>
    </w:p>
    <w:p w14:paraId="64DED412" w14:textId="15D9B4D4" w:rsidR="005F2EE9" w:rsidRPr="00B3436B" w:rsidRDefault="005F2EE9" w:rsidP="005F2EE9">
      <w:pPr>
        <w:spacing w:after="80" w:line="252" w:lineRule="auto"/>
        <w:rPr>
          <w:i/>
          <w:color w:val="7A7488"/>
          <w:sz w:val="24"/>
          <w:szCs w:val="24"/>
        </w:rPr>
      </w:pPr>
      <w:r w:rsidRPr="00B3436B">
        <w:rPr>
          <w:i/>
          <w:color w:val="7A7488"/>
          <w:sz w:val="24"/>
          <w:szCs w:val="24"/>
        </w:rPr>
        <w:t xml:space="preserve">Because this analysis only compares group percentages, I could not determine whether age itself directly </w:t>
      </w:r>
      <w:r w:rsidRPr="00B3436B">
        <w:rPr>
          <w:iCs/>
          <w:color w:val="7A7488"/>
          <w:sz w:val="24"/>
          <w:szCs w:val="24"/>
        </w:rPr>
        <w:t>causes</w:t>
      </w:r>
      <w:r w:rsidRPr="00B3436B">
        <w:rPr>
          <w:i/>
          <w:color w:val="7A7488"/>
          <w:sz w:val="24"/>
          <w:szCs w:val="24"/>
        </w:rPr>
        <w:t xml:space="preserve"> higher diagnosis rates, or whether age is simply correlated with something else in the data that better explains the pattern. A crosstab can show that two groups differ, but it cannot isolate which factor is truly driving the outcome when multiple variables (age, family history, lifestyle factors) are considered together. A more advanced statistical model - one built specifically to control for multiple factors at once - would be needed to answer that question with confidence.</w:t>
      </w:r>
    </w:p>
    <w:p w14:paraId="6176BC42" w14:textId="77777777" w:rsidR="005F2EE9" w:rsidRPr="00B3436B" w:rsidRDefault="005F2EE9">
      <w:pPr>
        <w:rPr>
          <w:sz w:val="24"/>
          <w:szCs w:val="24"/>
        </w:rPr>
      </w:pPr>
    </w:p>
    <w:sectPr w:rsidR="005F2EE9" w:rsidRPr="00B3436B" w:rsidSect="005F2EE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9034C80"/>
    <w:multiLevelType w:val="hybridMultilevel"/>
    <w:tmpl w:val="6CF44A16"/>
    <w:lvl w:ilvl="0" w:tplc="F8DC9A1A">
      <w:start w:val="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7847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EE9"/>
    <w:rsid w:val="001B55B2"/>
    <w:rsid w:val="0042651A"/>
    <w:rsid w:val="004816CF"/>
    <w:rsid w:val="005F2EE9"/>
    <w:rsid w:val="0092164E"/>
    <w:rsid w:val="00A71000"/>
    <w:rsid w:val="00AC4513"/>
    <w:rsid w:val="00B3436B"/>
    <w:rsid w:val="00D15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69E0B7"/>
  <w15:chartTrackingRefBased/>
  <w15:docId w15:val="{B1876D4D-D915-A84E-8178-20BCC49E5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EE9"/>
    <w:pPr>
      <w:spacing w:after="200" w:line="276" w:lineRule="auto"/>
    </w:pPr>
    <w:rPr>
      <w:rFonts w:ascii="Calibri" w:eastAsia="Calibri" w:hAnsi="Calibri"/>
      <w:kern w:val="0"/>
      <w:sz w:val="20"/>
      <w:szCs w:val="22"/>
      <w14:ligatures w14:val="none"/>
    </w:rPr>
  </w:style>
  <w:style w:type="paragraph" w:styleId="Heading1">
    <w:name w:val="heading 1"/>
    <w:basedOn w:val="Normal"/>
    <w:next w:val="Normal"/>
    <w:link w:val="Heading1Char"/>
    <w:uiPriority w:val="9"/>
    <w:qFormat/>
    <w:rsid w:val="005F2E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2E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2E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E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E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E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2E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2E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E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E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EE9"/>
    <w:rPr>
      <w:rFonts w:eastAsiaTheme="majorEastAsia" w:cstheme="majorBidi"/>
      <w:color w:val="272727" w:themeColor="text1" w:themeTint="D8"/>
    </w:rPr>
  </w:style>
  <w:style w:type="paragraph" w:styleId="Title">
    <w:name w:val="Title"/>
    <w:basedOn w:val="Normal"/>
    <w:next w:val="Normal"/>
    <w:link w:val="TitleChar"/>
    <w:uiPriority w:val="10"/>
    <w:qFormat/>
    <w:rsid w:val="005F2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EE9"/>
    <w:pPr>
      <w:spacing w:before="160"/>
      <w:jc w:val="center"/>
    </w:pPr>
    <w:rPr>
      <w:i/>
      <w:iCs/>
      <w:color w:val="404040" w:themeColor="text1" w:themeTint="BF"/>
    </w:rPr>
  </w:style>
  <w:style w:type="character" w:customStyle="1" w:styleId="QuoteChar">
    <w:name w:val="Quote Char"/>
    <w:basedOn w:val="DefaultParagraphFont"/>
    <w:link w:val="Quote"/>
    <w:uiPriority w:val="29"/>
    <w:rsid w:val="005F2EE9"/>
    <w:rPr>
      <w:i/>
      <w:iCs/>
      <w:color w:val="404040" w:themeColor="text1" w:themeTint="BF"/>
    </w:rPr>
  </w:style>
  <w:style w:type="paragraph" w:styleId="ListParagraph">
    <w:name w:val="List Paragraph"/>
    <w:basedOn w:val="Normal"/>
    <w:uiPriority w:val="34"/>
    <w:qFormat/>
    <w:rsid w:val="005F2EE9"/>
    <w:pPr>
      <w:ind w:left="720"/>
      <w:contextualSpacing/>
    </w:pPr>
  </w:style>
  <w:style w:type="character" w:styleId="IntenseEmphasis">
    <w:name w:val="Intense Emphasis"/>
    <w:basedOn w:val="DefaultParagraphFont"/>
    <w:uiPriority w:val="21"/>
    <w:qFormat/>
    <w:rsid w:val="005F2EE9"/>
    <w:rPr>
      <w:i/>
      <w:iCs/>
      <w:color w:val="0F4761" w:themeColor="accent1" w:themeShade="BF"/>
    </w:rPr>
  </w:style>
  <w:style w:type="paragraph" w:styleId="IntenseQuote">
    <w:name w:val="Intense Quote"/>
    <w:basedOn w:val="Normal"/>
    <w:next w:val="Normal"/>
    <w:link w:val="IntenseQuoteChar"/>
    <w:uiPriority w:val="30"/>
    <w:qFormat/>
    <w:rsid w:val="005F2E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EE9"/>
    <w:rPr>
      <w:i/>
      <w:iCs/>
      <w:color w:val="0F4761" w:themeColor="accent1" w:themeShade="BF"/>
    </w:rPr>
  </w:style>
  <w:style w:type="character" w:styleId="IntenseReference">
    <w:name w:val="Intense Reference"/>
    <w:basedOn w:val="DefaultParagraphFont"/>
    <w:uiPriority w:val="32"/>
    <w:qFormat/>
    <w:rsid w:val="005F2E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kaggle.com/datasets/amitvkulkarni/lifestyle-factors-influencing-osteoporosi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791</Words>
  <Characters>4511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Lohose, Francine A.</dc:creator>
  <cp:keywords/>
  <dc:description/>
  <cp:lastModifiedBy>Lohose, Francine A.</cp:lastModifiedBy>
  <cp:revision>6</cp:revision>
  <dcterms:created xsi:type="dcterms:W3CDTF">2026-10-02T04:59:00Z</dcterms:created>
  <dcterms:modified xsi:type="dcterms:W3CDTF">2026-10-03T17:08:00Z</dcterms:modified>
</cp:coreProperties>
</file>