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76C"/>
          <w:sz w:val="44"/>
        </w:rPr>
        <w:t>GeoAI Real Estate Platform</w:t>
      </w:r>
    </w:p>
    <w:p>
      <w:pPr>
        <w:jc w:val="center"/>
      </w:pPr>
      <w:r>
        <w:rPr>
          <w:b/>
          <w:color w:val="276EF7"/>
          <w:sz w:val="28"/>
        </w:rPr>
        <w:t>Decision Intelligence — Complete Formula Reference</w:t>
      </w:r>
    </w:p>
    <w:p>
      <w:pPr>
        <w:jc w:val="center"/>
      </w:pPr>
      <w:r>
        <w:rPr>
          <w:i/>
          <w:color w:val="666666"/>
          <w:sz w:val="22"/>
        </w:rPr>
        <w:t>With Fully Worked Example · 3 BHK Apartment · Noida Extension</w:t>
      </w:r>
    </w:p>
    <w:p/>
    <w:p>
      <w:pPr>
        <w:spacing w:after="60"/>
      </w:pPr>
      <w:r>
        <w:rPr>
          <w:i/>
          <w:color w:val="666666"/>
          <w:sz w:val="19"/>
        </w:rPr>
        <w:t>This document covers every formula used by the platform's three intelligence layers: (1) Market Intelligence Indices, (2) Buy / Watch / Avoid Decision Score, and (3) ROI &amp; Cashflow Projection. A single 3 BHK apartment example in Noida Extension is traced through all three layers end-to-end.</w:t>
      </w:r>
    </w:p>
    <w:p/>
    <w:p>
      <w:pPr>
        <w:jc w:val="left"/>
      </w:pPr>
      <w:r>
        <w:rPr>
          <w:b/>
          <w:color w:val="1A376C"/>
          <w:sz w:val="40"/>
        </w:rPr>
        <w:t>PART A — Market Intelligence Indices</w:t>
      </w:r>
    </w:p>
    <w:p>
      <w:pPr>
        <w:spacing w:after="60"/>
      </w:pPr>
      <w:r>
        <w:rPr>
          <w:i w:val="0"/>
          <w:color w:val="333333"/>
          <w:sz w:val="19"/>
        </w:rPr>
        <w:t>Five market indices and one composite heat score are computed for every (segment, city, locality) group from raw listing events. All percentile-based scores are ranked within the city peer group so Noida Extension is compared only to other Greater Noida localities.</w:t>
      </w:r>
    </w:p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A1. Percentile Scoring — The Foundation</w:t>
      </w:r>
    </w:p>
    <w:p>
      <w:pPr>
        <w:spacing w:after="60"/>
      </w:pPr>
      <w:r>
        <w:rPr>
          <w:i w:val="0"/>
          <w:color w:val="333333"/>
          <w:sz w:val="19"/>
        </w:rPr>
        <w:t>Metrics that are 'higher = worse for buyers' (e.g. active supply) or 'lower = better' (e.g. days on market) are first ranked by percentile within the city, then optionally inverted. This ensures every metric is comparable on the same 0–100 scale regardless of its absolute units.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percentile_score(x, higher_is_better=True)</w:t>
        <w:br/>
        <w:t xml:space="preserve">  = rank_pct(x within city) × 100           if higher_is_better</w:t>
        <w:br/>
        <w:t xml:space="preserve">  = 100 - rank_pct(x within city) × 100     if lower_is_better</w:t>
      </w:r>
    </w:p>
    <w:p>
      <w:pPr>
        <w:spacing w:after="60"/>
      </w:pPr>
      <w:r>
        <w:rPr>
          <w:i w:val="0"/>
          <w:color w:val="333333"/>
          <w:sz w:val="19"/>
        </w:rPr>
        <w:t>rank_pct is pandas .rank(pct=True), so a value at the 70th percentile returns 70.0. This makes the score interpretation universal: 70 always means 'better than 70 % of peers'.</w:t>
      </w:r>
    </w:p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A2. Supply Pressure Index  (0 – 100, higher = more supply pressure)</w:t>
      </w:r>
    </w:p>
    <w:p>
      <w:pPr>
        <w:spacing w:after="60"/>
      </w:pPr>
      <w:r>
        <w:rPr>
          <w:i w:val="0"/>
          <w:color w:val="333333"/>
          <w:sz w:val="19"/>
        </w:rPr>
        <w:t>Measures how much new inventory is entering the market relative to peers. A high score is unfavourable for buyers — supply is outpacing demand.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Raw Metric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S_active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Active listing stock (percentile, higher = more supply)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40 %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S_new_vel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New-listing velocity = new_count / active_stock (percentile)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25 %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S_stale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Stale share &gt;90 days DOM (percentile, higher = more stale)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20 %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S_uc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Under-construction share (percentile)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15 %</w:t>
            </w:r>
          </w:p>
        </w:tc>
      </w:tr>
    </w:tbl>
    <w:p/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Supply_Pressure = clamp(</w:t>
        <w:br/>
        <w:t xml:space="preserve">    0.40 × S_active  +  0.25 × S_new_vel</w:t>
        <w:br/>
        <w:t xml:space="preserve">  + 0.20 × S_stale   +  0.15 × S_uc ,  0, 100)</w:t>
      </w:r>
    </w:p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A3. Liquidity Index  (0 – 100, higher = more liquid / easier to exit)</w:t>
      </w:r>
    </w:p>
    <w:p>
      <w:pPr>
        <w:spacing w:after="60"/>
      </w:pPr>
      <w:r>
        <w:rPr>
          <w:i w:val="0"/>
          <w:color w:val="333333"/>
          <w:sz w:val="19"/>
        </w:rPr>
        <w:t>Measures how quickly properties trade hands. Absorption rate (proxy for sell-throughs between scrape cycles) carries the most weight; fast DOM and low stale inventory reinforce it.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S_absorption = percentile(absorption_rate,  higher_is_better=True )</w:t>
        <w:br/>
        <w:t>S_fast_dom   = percentile(median_dom,        higher_is_better=False)  ← low DOM is good</w:t>
        <w:br/>
        <w:t>S_low_stale  = percentile(stale_share,       higher_is_better=False)  ← low stale is good</w:t>
        <w:br/>
        <w:br/>
        <w:t>Liquidity = clamp(</w:t>
        <w:br/>
        <w:t xml:space="preserve">    0.50 × S_absorption  +  0.30 × S_fast_dom  +  0.20 × S_low_stale ,  0, 100)</w:t>
      </w:r>
    </w:p>
    <w:p>
      <w:pPr>
        <w:spacing w:after="60"/>
      </w:pPr>
      <w:r>
        <w:rPr>
          <w:i w:val="0"/>
          <w:color w:val="333333"/>
          <w:sz w:val="19"/>
        </w:rPr>
        <w:t>absorption_rate = (listings present in current scrape but absent in next scrape) / active_supply — computed only when the next scrape also visited the same locality.</w:t>
      </w:r>
    </w:p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A4. Price Momentum Score  (0 – 100, 50 = neutral)</w:t>
      </w:r>
    </w:p>
    <w:p>
      <w:pPr>
        <w:spacing w:after="60"/>
      </w:pPr>
      <w:r>
        <w:rPr>
          <w:i w:val="0"/>
          <w:color w:val="333333"/>
          <w:sz w:val="19"/>
        </w:rPr>
        <w:t>Tracks whether sellers are raising or cutting prices on re-listed properties. Unlike other indices this is NOT percentile-based — it is a direct arithmetic score.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f_hike  = price_hike_count  / updated_count   (fraction of updated listings with price up)</w:t>
        <w:br/>
        <w:t>f_cut   = price_cut_count   / updated_count   (fraction of updated listings with price down)</w:t>
        <w:br/>
        <w:br/>
        <w:t>Momentum = clamp(50 + 40 × f_hike − 40 × f_cut ,  0, 100)</w:t>
        <w:br/>
        <w:br/>
        <w:t>If updated_count = 0  →  Momentum = 50  (neutral, no data)</w:t>
      </w:r>
    </w:p>
    <w:p>
      <w:pPr>
        <w:ind w:left="283"/>
      </w:pPr>
      <w:r>
        <w:rPr>
          <w:i/>
          <w:color w:val="B8860B"/>
          <w:sz w:val="17"/>
        </w:rPr>
        <w:t>⚠  Equal hikers and cutters → score stays exactly 50. Dominantly rising prices → score &gt; 50. Dominantly falling → score &lt; 50.</w:t>
      </w:r>
    </w:p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A5. Circle Premium Score  (0 – 100)</w:t>
      </w:r>
    </w:p>
    <w:p>
      <w:pPr>
        <w:spacing w:after="60"/>
      </w:pPr>
      <w:r>
        <w:rPr>
          <w:i w:val="0"/>
          <w:color w:val="333333"/>
          <w:sz w:val="19"/>
        </w:rPr>
        <w:t>Compares the market-observed median PPSF to the government circle rate. A ratio well above 1.0 means real demand is far higher than the regulatory floor — a demand confidence signal. Not percentile-based.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relative = median_ppsf / circle_rate      (if circle_rate &gt; 0)</w:t>
        <w:br/>
        <w:t xml:space="preserve">         = median_ppsf / city_median_ppsf  (fallback when circle rate unavailable)</w:t>
        <w:br/>
        <w:br/>
        <w:t>Circle_Premium = clamp(50 + 50 × (relative − 1),  0, 100)</w:t>
        <w:br/>
        <w:br/>
        <w:t>Examples:</w:t>
        <w:br/>
        <w:t xml:space="preserve">  relative = 1.0  →  50  (market trades exactly at govt floor)</w:t>
        <w:br/>
        <w:t xml:space="preserve">  relative = 2.0  →  100 (market is 2× govt floor; clipped at 100)</w:t>
        <w:br/>
        <w:t xml:space="preserve">  relative = 0.5  →  0   (market below govt floor; clipped at 0)</w:t>
      </w:r>
    </w:p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A6. Demand Strength Index  (0 – 100)</w:t>
      </w:r>
    </w:p>
    <w:p>
      <w:pPr>
        <w:spacing w:after="60"/>
      </w:pPr>
      <w:r>
        <w:rPr>
          <w:i w:val="0"/>
          <w:color w:val="333333"/>
          <w:sz w:val="19"/>
        </w:rPr>
        <w:t>A composite demand signal built from absorption, liquidity, momentum and circle premium. Absorption carries the highest weight because it is the most direct signal that buyers are committing.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Demand_Strength = clamp(</w:t>
        <w:br/>
        <w:t xml:space="preserve">    0.35 × S_absorption   (percentile of absorption rate)</w:t>
        <w:br/>
        <w:t xml:space="preserve">  + 0.25 × Liquidity      (the full Liquidity Index above)</w:t>
        <w:br/>
        <w:t xml:space="preserve">  + 0.20 × Momentum       (Price Momentum Score)</w:t>
        <w:br/>
        <w:t xml:space="preserve">  + 0.20 × Circle_Premium (Circle Premium Score)</w:t>
        <w:br/>
        <w:t>,  0, 100)</w:t>
      </w:r>
    </w:p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A7. Market Heat Index  (0 – 100) and Label</w:t>
      </w:r>
    </w:p>
    <w:p>
      <w:pPr>
        <w:spacing w:after="60"/>
      </w:pPr>
      <w:r>
        <w:rPr>
          <w:i w:val="0"/>
          <w:color w:val="333333"/>
          <w:sz w:val="19"/>
        </w:rPr>
        <w:t>The single top-level market temperature score. High demand AND low supply pressure produces a hot market. Smoothed over a rolling 4-scrape window.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Market_Heat = clamp(50 + 0.5 × Demand_Strength − 0.5 × Supply_Pressure,  0, 100)</w:t>
        <w:br/>
        <w:br/>
        <w:t>mhi_rolling4 = rolling mean of the last 4 scrape dates per locality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4703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Market Label</w:t>
            </w:r>
          </w:p>
        </w:tc>
      </w:tr>
      <w:tr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75 – 100</w:t>
            </w:r>
          </w:p>
        </w:tc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Hot demand-led market</w:t>
            </w:r>
          </w:p>
        </w:tc>
      </w:tr>
      <w:tr>
        <w:tc>
          <w:tcPr>
            <w:tcW w:type="dxa" w:w="4703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60 – 74</w:t>
            </w:r>
          </w:p>
        </w:tc>
        <w:tc>
          <w:tcPr>
            <w:tcW w:type="dxa" w:w="4703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Positive market</w:t>
            </w:r>
          </w:p>
        </w:tc>
      </w:tr>
      <w:tr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45 – 59</w:t>
            </w:r>
          </w:p>
        </w:tc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Balanced market</w:t>
            </w:r>
          </w:p>
        </w:tc>
      </w:tr>
      <w:tr>
        <w:tc>
          <w:tcPr>
            <w:tcW w:type="dxa" w:w="4703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30 – 44</w:t>
            </w:r>
          </w:p>
        </w:tc>
        <w:tc>
          <w:tcPr>
            <w:tcW w:type="dxa" w:w="4703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Supply-heavy market</w:t>
            </w:r>
          </w:p>
        </w:tc>
      </w:tr>
      <w:tr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 xml:space="preserve"> 0 – 29</w:t>
            </w:r>
          </w:p>
        </w:tc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Weak / stale market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1A376C"/>
          <w:sz w:val="40"/>
        </w:rPr>
        <w:t>PART B — Buy / Watch / Avoid Decision Score</w:t>
      </w:r>
    </w:p>
    <w:p>
      <w:pPr>
        <w:spacing w:after="60"/>
      </w:pPr>
      <w:r>
        <w:rPr>
          <w:i w:val="0"/>
          <w:color w:val="333333"/>
          <w:sz w:val="19"/>
        </w:rPr>
        <w:t>Given a specific property listing, the platform runs four sub-scores and combines them into a single 0–100 investment recommendation score. Inputs come from (a) the ML valuation model, (b) the price forecast trajectory, and (c) historical YoY series.</w:t>
      </w:r>
    </w:p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B1. Key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listingPricePpsf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Asking price per sqft from the listing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User / listing data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modelPricePpsf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ML model's fair-value estimate per sqft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Trained XGBoost model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valuationGapPct (Δ%)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(listingPpsf − modelPpsf) / modelPpsf × 100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Computed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avgYoY%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Mean YoY% from the property's forecast series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Forecast model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expectedUpside%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(forecastPpsf_horizon / listingPpsf − 1) × 100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Computed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σ_QoQ (volatility)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Std-dev of quarter-over-quarter % in forecast series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Computed</w:t>
            </w:r>
          </w:p>
        </w:tc>
      </w:tr>
    </w:tbl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B2. Horizon Price Extraction</w:t>
      </w:r>
    </w:p>
    <w:p>
      <w:pPr>
        <w:spacing w:after="60"/>
      </w:pPr>
      <w:r>
        <w:rPr>
          <w:i w:val="0"/>
          <w:color w:val="333333"/>
          <w:sz w:val="19"/>
        </w:rPr>
        <w:t>The forecast model produces quarterly price-per-sqft predictions. The exit price at the investor's chosen hold period is read off the series.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horizon_quarter = hold_years × 4      (e.g. 5 years → Q20)</w:t>
        <w:br/>
        <w:t>exitPpsf        = forecast_series[horizon_quarter − 1]</w:t>
        <w:br/>
        <w:br/>
        <w:t>expectedUpside% = (exitPpsf / listingPpsf − 1) × 100</w:t>
      </w:r>
    </w:p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B3. Four Sub-Scores  (each 0 – 100)</w:t>
      </w:r>
    </w:p>
    <w:p>
      <w:pPr>
        <w:spacing w:after="60"/>
      </w:pPr>
      <w:r>
        <w:rPr>
          <w:i w:val="0"/>
          <w:color w:val="333333"/>
          <w:sz w:val="19"/>
        </w:rPr>
        <w:t>Each factor is mapped to a 0–100 scale and then combined.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ValuationScore = clamp(50 − Δ% × 2 ,  0, 100)</w:t>
        <w:br/>
        <w:t xml:space="preserve">  Δ% &gt; 0  → listing overpriced → score &lt; 50 (negative signal)</w:t>
        <w:br/>
        <w:t xml:space="preserve">  Δ% &lt; 0  → listing underpriced → score &gt; 50 (positive signal)</w:t>
        <w:br/>
        <w:br/>
        <w:t>GrowthScore    = clamp(50 + avgYoY% × 3,  0, 100)</w:t>
        <w:br/>
        <w:t xml:space="preserve">  Each 1% of annual growth adds 3 points above the neutral 50</w:t>
        <w:br/>
        <w:br/>
        <w:t>UpsideScore    = clamp(50 + expectedUpside% × 1.5,  0, 100)</w:t>
        <w:br/>
        <w:t xml:space="preserve">  50% total upside over the horizon → score = 125 → clipped to 100</w:t>
        <w:br/>
        <w:br/>
        <w:t>RiskPenalty    = clamp(σ_QoQ × 2,  0, 30)</w:t>
        <w:br/>
        <w:t xml:space="preserve">  High forecast volatility deducts up to 30 points from the final score</w:t>
      </w:r>
    </w:p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B4. Overall Score and Recommendation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OverallScore = clamp(</w:t>
        <w:br/>
        <w:t xml:space="preserve">    0.40 × ValuationScore</w:t>
        <w:br/>
        <w:t xml:space="preserve">  + 0.35 × GrowthScore</w:t>
        <w:br/>
        <w:t xml:space="preserve">  + 0.25 × UpsideScore</w:t>
        <w:br/>
        <w:t xml:space="preserve">  − RiskPenalty</w:t>
        <w:br/>
        <w:t>,  0, 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68 – 100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BUY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Strong investment case — valuation, growth and upside aligned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50 – 67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WATCH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Reasonable case but one or more signals are not fully aligned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 xml:space="preserve"> 0 – 49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AVOID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Weak fundamentals — overpriced, low growth or high volatility</w:t>
            </w:r>
          </w:p>
        </w:tc>
      </w:tr>
    </w:tbl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B5. Confidence Score  (0.35 – 0.95)</w:t>
      </w:r>
    </w:p>
    <w:p>
      <w:pPr>
        <w:spacing w:after="60"/>
      </w:pPr>
      <w:r>
        <w:rPr>
          <w:i w:val="0"/>
          <w:color w:val="333333"/>
          <w:sz w:val="19"/>
        </w:rPr>
        <w:t>Reflects data quality, not investment quality.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confidence = 0.55</w:t>
        <w:br/>
        <w:t xml:space="preserve">           + min(forecast_quarters_available, 20) / 20 × 0.25   ← data depth</w:t>
        <w:br/>
        <w:t xml:space="preserve">           + 0.10   if locality-level forecast (not city fallback)</w:t>
        <w:br/>
        <w:t xml:space="preserve">           − 0.10   if city-level fallback used</w:t>
        <w:br/>
        <w:t>= clamp(result,  0.35, 0.95)</w:t>
      </w:r>
    </w:p>
    <w:p>
      <w:r>
        <w:br w:type="page"/>
      </w:r>
    </w:p>
    <w:p>
      <w:pPr>
        <w:jc w:val="left"/>
      </w:pPr>
      <w:r>
        <w:rPr>
          <w:b/>
          <w:color w:val="1A376C"/>
          <w:sz w:val="40"/>
        </w:rPr>
        <w:t>PART C — ROI &amp; Cashflow Projection Model</w:t>
      </w:r>
    </w:p>
    <w:p>
      <w:pPr>
        <w:spacing w:after="60"/>
      </w:pPr>
      <w:r>
        <w:rPr>
          <w:i w:val="0"/>
          <w:color w:val="333333"/>
          <w:sz w:val="19"/>
        </w:rPr>
        <w:t>Converts the forecast exit price, a user-specified holding period, cost assumptions, and either a user-supplied or model-predicted rent yield into a simplified cashflow P&amp;L and annualised return metrics.</w:t>
      </w:r>
    </w:p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C1. Input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 / Typical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hold_years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5 years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Investor's intended holding period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area_sqft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Property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Built-up area in sq ft; falls back to 1,000 sqft if missing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purchaseCostPct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7 %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Stamp duty + registration + misc acquisition costs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annualHoldingCostPct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1 %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Property tax, maintenance, insurance per year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exitCostPct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2 %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Brokerage + legal fees at time of sale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rentYieldPct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Model / User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Annual rent as % of purchase price; predicted by rent ML model if not supplied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buyPpsf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Listing PPSF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Entry price per sqft; falls back to model PPSF if listing unavailable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exitPpsf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Forecast Q(hold_years × 4)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ML-forecast exit price per sqft at the horizon quarter</w:t>
            </w:r>
          </w:p>
        </w:tc>
      </w:tr>
    </w:tbl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C2. Cashflow Calculation — Step by Step</w:t>
      </w:r>
    </w:p>
    <w:p>
      <w:pPr>
        <w:spacing w:before="120"/>
        <w:jc w:val="left"/>
      </w:pPr>
      <w:r>
        <w:rPr>
          <w:b/>
          <w:color w:val="333333"/>
          <w:sz w:val="20"/>
        </w:rPr>
        <w:t>Step 1 — Entry Cost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buyPrice         = buyPpsf × area_sqft</w:t>
        <w:br/>
        <w:t>purchaseCosts    = buyPrice × (purchaseCostPct / 100)</w:t>
        <w:br/>
        <w:t>totalInvested    = buyPrice + purchaseCosts</w:t>
      </w:r>
    </w:p>
    <w:p>
      <w:pPr>
        <w:spacing w:before="120"/>
        <w:jc w:val="left"/>
      </w:pPr>
      <w:r>
        <w:rPr>
          <w:b/>
          <w:color w:val="333333"/>
          <w:sz w:val="20"/>
        </w:rPr>
        <w:t>Step 2 — Exit Proceeds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grossSalePrice   = exitPpsf × area_sqft</w:t>
        <w:br/>
        <w:t>exitCosts        = grossSalePrice × (exitCostPct / 100)</w:t>
        <w:br/>
        <w:t>netSaleProceeds  = grossSalePrice − exitCosts</w:t>
      </w:r>
    </w:p>
    <w:p>
      <w:pPr>
        <w:spacing w:before="120"/>
        <w:jc w:val="left"/>
      </w:pPr>
      <w:r>
        <w:rPr>
          <w:b/>
          <w:color w:val="333333"/>
          <w:sz w:val="20"/>
        </w:rPr>
        <w:t>Step 3 — Rental Income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annualRent       = buyPrice × (rentYieldPct / 100)</w:t>
        <w:br/>
        <w:t>rentalIncomeTotal = annualRent × hold_years</w:t>
      </w:r>
    </w:p>
    <w:p>
      <w:pPr>
        <w:spacing w:before="120"/>
        <w:jc w:val="left"/>
      </w:pPr>
      <w:r>
        <w:rPr>
          <w:b/>
          <w:color w:val="333333"/>
          <w:sz w:val="20"/>
        </w:rPr>
        <w:t>Step 4 — Holding Costs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holdingCostsTotal = buyPrice × (annualHoldingCostPct / 100) × hold_years</w:t>
      </w:r>
    </w:p>
    <w:p>
      <w:pPr>
        <w:spacing w:before="120"/>
        <w:jc w:val="left"/>
      </w:pPr>
      <w:r>
        <w:rPr>
          <w:b/>
          <w:color w:val="333333"/>
          <w:sz w:val="20"/>
        </w:rPr>
        <w:t>Step 5 — Net Profit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netProfit = netSaleProceeds + rentalIncomeTotal</w:t>
        <w:br/>
        <w:t xml:space="preserve">          − holdingCostsTotal − totalInvested</w:t>
      </w:r>
    </w:p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C3. Return Metrics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ROI %           = (netProfit / totalInvested) × 100</w:t>
        <w:br/>
        <w:br/>
        <w:t>payoffMultiple  = (netSaleProceeds + rentalIncomeTotal − holdingCostsTotal)</w:t>
        <w:br/>
        <w:t xml:space="preserve">                  / totalInvested</w:t>
        <w:br/>
        <w:br/>
        <w:t>CAGR %          = (payoffMultiple ^ (1 / hold_years) − 1) ×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ROI %</w:t>
            </w:r>
          </w:p>
        </w:tc>
        <w:tc>
          <w:tcPr>
            <w:tcW w:type="dxa" w:w="4703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≥ 35 %</w:t>
            </w:r>
          </w:p>
        </w:tc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STRONG — Excellent capital return</w:t>
            </w:r>
          </w:p>
        </w:tc>
      </w:tr>
      <w:tr>
        <w:tc>
          <w:tcPr>
            <w:tcW w:type="dxa" w:w="4703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15 – 34 %</w:t>
            </w:r>
          </w:p>
        </w:tc>
        <w:tc>
          <w:tcPr>
            <w:tcW w:type="dxa" w:w="4703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MODERATE — Acceptable return</w:t>
            </w:r>
          </w:p>
        </w:tc>
      </w:tr>
      <w:tr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&lt; 15 %</w:t>
            </w:r>
          </w:p>
        </w:tc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WEAK — Below par</w:t>
            </w:r>
          </w:p>
        </w:tc>
      </w:tr>
    </w:tbl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C4. Rent Model (when rentYieldPct is not supplied by user)</w:t>
      </w:r>
    </w:p>
    <w:p>
      <w:pPr>
        <w:spacing w:after="60"/>
      </w:pPr>
      <w:r>
        <w:rPr>
          <w:i w:val="0"/>
          <w:color w:val="333333"/>
          <w:sz w:val="19"/>
        </w:rPr>
        <w:t>For Apartment and Builder Floor segments, the platform calls a dedicated XGBoost rent model (trained on log-transformed monthly rent) to estimate yield. Plots default to zero rental income as a conservative assumption.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log_monthly_rent = rent_model.predict(property_features)</w:t>
        <w:br/>
        <w:t>monthly_rent     = exp(log_monthly_rent) − 1      ← np.expm1 inverse of log1p</w:t>
        <w:br/>
        <w:t>annual_rent      = monthly_rent × 12</w:t>
        <w:br/>
        <w:t>effectiveYield%  = (annual_rent / buyPrice) × 100</w:t>
      </w:r>
    </w:p>
    <w:p>
      <w:r>
        <w:br w:type="page"/>
      </w:r>
    </w:p>
    <w:p>
      <w:pPr>
        <w:jc w:val="left"/>
      </w:pPr>
      <w:r>
        <w:rPr>
          <w:b/>
          <w:color w:val="1A376C"/>
          <w:sz w:val="40"/>
        </w:rPr>
        <w:t>PART D — Fully Worked Example: 3 BHK Apartment, Noida Extension</w:t>
      </w:r>
    </w:p>
    <w:p>
      <w:pPr>
        <w:spacing w:after="60"/>
      </w:pPr>
      <w:r>
        <w:rPr>
          <w:i w:val="0"/>
          <w:color w:val="333333"/>
          <w:sz w:val="19"/>
        </w:rPr>
        <w:t>All numbers below are derived from actual platform data (market intelligence artifact + Noida/Alpha-1 zone forecast as the nearest comparable forecast zone because Noida Extension is classified under Greater Noida in our locality mapping).</w:t>
      </w:r>
    </w:p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D1. Property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 Field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Segment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Apartment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Flat in a multi-storey society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Locality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Noida Extension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Greater Noida West, Greater Noida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BHK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3 BHK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3 bedrooms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Covered Area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1,500 sqft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Bathrooms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Balconies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Floor Level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Mid (5th of 15)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floor_medium = 1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Age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New Construction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&lt; 5 years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Furnishing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Semi-Furnished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Facing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North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Is Parking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Yes (1)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Is Gated Society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Yes (1)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Listing Price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₹9,500 / sqft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₹1,42,50,000 total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ML Model Fair Value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₹8,862 / sqft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From XGBoost model; ≈ locality median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Circle Rate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₹3,902 / sqft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Government floor, Greater Noida Residential</w:t>
            </w:r>
          </w:p>
        </w:tc>
      </w:tr>
    </w:tbl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D2. Market Intelligence Scores — Noida Extension (Actual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Raw Value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 / Comment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Active Supply Stock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905 listings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88th percentile in Greater Noida — very high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New Supply Velocity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93.15 %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95th percentile — massive fresh inventory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Stale Inventory Share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2.1 %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12th percentile — very little old stock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Under-Construction Share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12.49 %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55th percentile — moderate pipeline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Supply Pressure Index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= 0.40(88) + 0.25(95) + 0.20(12) + 0.15(55) = 71.4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Absorption Rate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0.0 %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~10th percentile — no tracked exits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Median Days on Market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4 days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~90th percentile inverted — fast churn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Liquidity Index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= 0.50(10) + 0.30(90) + 0.20(88) = 41.3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Price Hike / Cut Frequency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1.61 % each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Equal → Momentum = 50 + 40(0.0161) − 40(0.0161) = 50.0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Median PPSF / Circle Rate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₹8,862 / ₹3,902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relative = 2.271 → Circle Premium = 50 + 50×1.271 = 113.55 → clipped to 100.0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Demand Strength Index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= 0.35(35) + 0.25(41.3) + 0.20(50) + 0.20(100) = 52.5</w:t>
            </w:r>
          </w:p>
        </w:tc>
      </w:tr>
      <w:tr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Market Heat Index / Label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3135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= 50 + 0.5(52.5) − 0.5(71.4) = 40.6  →  'Supply-heavy market'</w:t>
            </w:r>
          </w:p>
        </w:tc>
      </w:tr>
    </w:tbl>
    <w:p>
      <w:pPr>
        <w:ind w:left="567"/>
      </w:pPr>
      <w:r>
        <w:rPr>
          <w:b/>
          <w:color w:val="B8860B"/>
          <w:sz w:val="20"/>
        </w:rPr>
        <w:t>▶  Market verdict: Supply-heavy (40.6). 905 new listings are flooding in, but market prices still trade at 2.27× the government circle rate — underlying demand is real.</w:t>
      </w:r>
    </w:p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D3. Buy / Watch / Avoid Score — Step-by-Step</w:t>
      </w:r>
    </w:p>
    <w:p>
      <w:pPr>
        <w:spacing w:before="200" w:after="40"/>
        <w:jc w:val="left"/>
      </w:pPr>
      <w:r>
        <w:rPr>
          <w:b/>
          <w:color w:val="276EF7"/>
          <w:sz w:val="22"/>
        </w:rPr>
        <w:t>Forecast Series (Noida/Alpha-1 zone, quarterly)</w:t>
      </w:r>
    </w:p>
    <w:p>
      <w:pPr>
        <w:spacing w:after="60"/>
      </w:pPr>
      <w:r>
        <w:rPr>
          <w:i w:val="0"/>
          <w:color w:val="333333"/>
          <w:sz w:val="19"/>
        </w:rPr>
        <w:t>The forecast model covers 20 quarters (5 years) from Q1 2026 onwards: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1881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81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Forecast PPSF (₹)</w:t>
            </w:r>
          </w:p>
        </w:tc>
        <w:tc>
          <w:tcPr>
            <w:tcW w:type="dxa" w:w="1881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QoQ %</w:t>
            </w:r>
          </w:p>
        </w:tc>
        <w:tc>
          <w:tcPr>
            <w:tcW w:type="dxa" w:w="1881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881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Q1</w:t>
            </w:r>
          </w:p>
        </w:tc>
        <w:tc>
          <w:tcPr>
            <w:tcW w:type="dxa" w:w="1881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Jul 2026</w:t>
            </w:r>
          </w:p>
        </w:tc>
        <w:tc>
          <w:tcPr>
            <w:tcW w:type="dxa" w:w="1881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9,943</w:t>
            </w:r>
          </w:p>
        </w:tc>
        <w:tc>
          <w:tcPr>
            <w:tcW w:type="dxa" w:w="1881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1881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Entry baseline</w:t>
            </w:r>
          </w:p>
        </w:tc>
      </w:tr>
      <w:tr>
        <w:tc>
          <w:tcPr>
            <w:tcW w:type="dxa" w:w="1881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Q4</w:t>
            </w:r>
          </w:p>
        </w:tc>
        <w:tc>
          <w:tcPr>
            <w:tcW w:type="dxa" w:w="1881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Apr 2027</w:t>
            </w:r>
          </w:p>
        </w:tc>
        <w:tc>
          <w:tcPr>
            <w:tcW w:type="dxa" w:w="1881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10,967</w:t>
            </w:r>
          </w:p>
        </w:tc>
        <w:tc>
          <w:tcPr>
            <w:tcW w:type="dxa" w:w="1881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+10.3 % vs Q1</w:t>
            </w:r>
          </w:p>
        </w:tc>
        <w:tc>
          <w:tcPr>
            <w:tcW w:type="dxa" w:w="1881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Year 1 end</w:t>
            </w:r>
          </w:p>
        </w:tc>
      </w:tr>
      <w:tr>
        <w:tc>
          <w:tcPr>
            <w:tcW w:type="dxa" w:w="1881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Q8</w:t>
            </w:r>
          </w:p>
        </w:tc>
        <w:tc>
          <w:tcPr>
            <w:tcW w:type="dxa" w:w="1881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Apr 2028</w:t>
            </w:r>
          </w:p>
        </w:tc>
        <w:tc>
          <w:tcPr>
            <w:tcW w:type="dxa" w:w="1881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12,978</w:t>
            </w:r>
          </w:p>
        </w:tc>
        <w:tc>
          <w:tcPr>
            <w:tcW w:type="dxa" w:w="1881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+18.3 % vs Q4</w:t>
            </w:r>
          </w:p>
        </w:tc>
        <w:tc>
          <w:tcPr>
            <w:tcW w:type="dxa" w:w="1881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Year 2 end</w:t>
            </w:r>
          </w:p>
        </w:tc>
      </w:tr>
      <w:tr>
        <w:tc>
          <w:tcPr>
            <w:tcW w:type="dxa" w:w="1881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Q12</w:t>
            </w:r>
          </w:p>
        </w:tc>
        <w:tc>
          <w:tcPr>
            <w:tcW w:type="dxa" w:w="1881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Apr 2029</w:t>
            </w:r>
          </w:p>
        </w:tc>
        <w:tc>
          <w:tcPr>
            <w:tcW w:type="dxa" w:w="1881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14,703</w:t>
            </w:r>
          </w:p>
        </w:tc>
        <w:tc>
          <w:tcPr>
            <w:tcW w:type="dxa" w:w="1881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+13.3 % vs Q8</w:t>
            </w:r>
          </w:p>
        </w:tc>
        <w:tc>
          <w:tcPr>
            <w:tcW w:type="dxa" w:w="1881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Year 3 end</w:t>
            </w:r>
          </w:p>
        </w:tc>
      </w:tr>
      <w:tr>
        <w:tc>
          <w:tcPr>
            <w:tcW w:type="dxa" w:w="1881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Q20</w:t>
            </w:r>
          </w:p>
        </w:tc>
        <w:tc>
          <w:tcPr>
            <w:tcW w:type="dxa" w:w="1881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Apr 2031</w:t>
            </w:r>
          </w:p>
        </w:tc>
        <w:tc>
          <w:tcPr>
            <w:tcW w:type="dxa" w:w="1881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16,695</w:t>
            </w:r>
          </w:p>
        </w:tc>
        <w:tc>
          <w:tcPr>
            <w:tcW w:type="dxa" w:w="1881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+13.6 % vs Q16</w:t>
            </w:r>
          </w:p>
        </w:tc>
        <w:tc>
          <w:tcPr>
            <w:tcW w:type="dxa" w:w="1881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Year 5 end — exit price used</w:t>
            </w:r>
          </w:p>
        </w:tc>
      </w:tr>
    </w:tbl>
    <w:p>
      <w:pPr>
        <w:spacing w:before="200" w:after="40"/>
        <w:jc w:val="left"/>
      </w:pPr>
      <w:r>
        <w:rPr>
          <w:b/>
          <w:color w:val="276EF7"/>
          <w:sz w:val="22"/>
        </w:rPr>
        <w:t>Inputs to the Decision Score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listingPpsf         = ₹9,500 / sqft</w:t>
        <w:br/>
        <w:t>modelPpsf           = ₹8,862 / sqft</w:t>
        <w:br/>
        <w:t>Δ% (valuationGap)   = (9,500 − 8,862) / 8,862 × 100 = +7.2 %  (overpriced by 7.2 %)</w:t>
        <w:br/>
        <w:br/>
        <w:t>exitPpsf (Q20)      = ₹16,695 / sqft</w:t>
        <w:br/>
        <w:t>expectedUpside%     = (16,695 / 9,500 − 1) × 100 = +75.7 %</w:t>
        <w:br/>
        <w:br/>
        <w:t>avgYoY%             ≈ 11.1 %  (mean of 5 annual steps in the forecast)</w:t>
        <w:br/>
        <w:t>σ_QoQ (volatility)  ≈ 1.5 %  (std-dev of quarterly % changes in forecast series)</w:t>
      </w:r>
    </w:p>
    <w:p>
      <w:pPr>
        <w:spacing w:before="200" w:after="40"/>
        <w:jc w:val="left"/>
      </w:pPr>
      <w:r>
        <w:rPr>
          <w:b/>
          <w:color w:val="276EF7"/>
          <w:sz w:val="22"/>
        </w:rPr>
        <w:t>Sub-Score Calculations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ValuationScore = clamp(50 − 7.2 × 2 ,  0, 100)  =  35.6</w:t>
        <w:br/>
        <w:t>GrowthScore    = clamp(50 + 11.1 × 3,  0, 100)  =  83.3</w:t>
        <w:br/>
        <w:t>UpsideScore    = clamp(50 + 75.7 × 1.5, 0, 100) = 163.6 → clipped to 100.0</w:t>
        <w:br/>
        <w:t>RiskPenalty    = clamp(1.5 × 2,  0, 30)         =   3.0</w:t>
      </w:r>
    </w:p>
    <w:p>
      <w:pPr>
        <w:spacing w:before="200" w:after="40"/>
        <w:jc w:val="left"/>
      </w:pPr>
      <w:r>
        <w:rPr>
          <w:b/>
          <w:color w:val="276EF7"/>
          <w:sz w:val="22"/>
        </w:rPr>
        <w:t>Overall Score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OverallScore = 0.40 × 35.6  +  0.35 × 83.3  +  0.25 × 100.0  −  3.0</w:t>
        <w:br/>
        <w:t xml:space="preserve">            =  14.24        +   29.16        +   25.0          −  3.0</w:t>
        <w:br/>
        <w:t xml:space="preserve">            =  65.4</w:t>
      </w:r>
    </w:p>
    <w:p>
      <w:pPr>
        <w:ind w:left="567"/>
      </w:pPr>
      <w:r>
        <w:rPr>
          <w:b/>
          <w:color w:val="B8860B"/>
          <w:sz w:val="20"/>
        </w:rPr>
        <w:t>▶  Score 65.4  →  WATCH (threshold: Buy ≥ 68, Watch ≥ 50, Avoid &lt; 50)</w:t>
      </w:r>
    </w:p>
    <w:p>
      <w:pPr>
        <w:spacing w:before="200" w:after="40"/>
        <w:jc w:val="left"/>
      </w:pPr>
      <w:r>
        <w:rPr>
          <w:b/>
          <w:color w:val="276EF7"/>
          <w:sz w:val="22"/>
        </w:rPr>
        <w:t>Sensitivity: What if you negotiate to fair value?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If listing = model fair value  →  Δ% = 0</w:t>
        <w:br/>
        <w:t>ValuationScore = clamp(50 − 0 × 2, 0, 100) = 50.0</w:t>
        <w:br/>
        <w:t>OverallScore   = 0.40×50 + 0.35×83.3 + 0.25×100 − 3.0  =  71.2  →  BUY</w:t>
      </w:r>
    </w:p>
    <w:p>
      <w:pPr>
        <w:ind w:left="567"/>
      </w:pPr>
      <w:r>
        <w:rPr>
          <w:b/>
          <w:color w:val="1A7A3C"/>
          <w:sz w:val="20"/>
        </w:rPr>
        <w:t>▶  Negotiating from ₹9,500 to ₹8,862 / sqft flips the recommendation from WATCH to BUY.</w:t>
      </w:r>
    </w:p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D4. ROI &amp; Cashflow — Full Calculation (5-Year Hold)</w:t>
      </w:r>
    </w:p>
    <w:p>
      <w:pPr>
        <w:spacing w:before="200" w:after="40"/>
        <w:jc w:val="left"/>
      </w:pPr>
      <w:r>
        <w:rPr>
          <w:b/>
          <w:color w:val="276EF7"/>
          <w:sz w:val="22"/>
        </w:rPr>
        <w:t>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 Used</w:t>
            </w:r>
          </w:p>
        </w:tc>
      </w:tr>
      <w:tr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Hold period</w:t>
            </w:r>
          </w:p>
        </w:tc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5 years</w:t>
            </w:r>
          </w:p>
        </w:tc>
      </w:tr>
      <w:tr>
        <w:tc>
          <w:tcPr>
            <w:tcW w:type="dxa" w:w="4703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Area</w:t>
            </w:r>
          </w:p>
        </w:tc>
        <w:tc>
          <w:tcPr>
            <w:tcW w:type="dxa" w:w="4703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1,500 sqft</w:t>
            </w:r>
          </w:p>
        </w:tc>
      </w:tr>
      <w:tr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Purchase costs</w:t>
            </w:r>
          </w:p>
        </w:tc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7 % of buy price  (stamp duty + registration)</w:t>
            </w:r>
          </w:p>
        </w:tc>
      </w:tr>
      <w:tr>
        <w:tc>
          <w:tcPr>
            <w:tcW w:type="dxa" w:w="4703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Annual holding costs</w:t>
            </w:r>
          </w:p>
        </w:tc>
        <w:tc>
          <w:tcPr>
            <w:tcW w:type="dxa" w:w="4703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1 % of buy price per year  (maintenance + tax)</w:t>
            </w:r>
          </w:p>
        </w:tc>
      </w:tr>
      <w:tr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Exit costs</w:t>
            </w:r>
          </w:p>
        </w:tc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2 % of gross sale price  (brokerage)</w:t>
            </w:r>
          </w:p>
        </w:tc>
      </w:tr>
      <w:tr>
        <w:tc>
          <w:tcPr>
            <w:tcW w:type="dxa" w:w="4703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Rent yield</w:t>
            </w:r>
          </w:p>
        </w:tc>
        <w:tc>
          <w:tcPr>
            <w:tcW w:type="dxa" w:w="4703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3 % p.a. of buy price  (ML rent model estimate for 3BHK semi-furnished)</w:t>
            </w:r>
          </w:p>
        </w:tc>
      </w:tr>
    </w:tbl>
    <w:p>
      <w:pPr>
        <w:spacing w:before="200" w:after="40"/>
        <w:jc w:val="left"/>
      </w:pPr>
      <w:r>
        <w:rPr>
          <w:b/>
          <w:color w:val="276EF7"/>
          <w:sz w:val="22"/>
        </w:rPr>
        <w:t>Step-by-Step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Line Item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3135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  <w:t>Buy Price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  <w:t>9,500 × 1,500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right"/>
            </w:pPr>
            <w:r>
              <w:rPr>
                <w:b w:val="0"/>
                <w:color w:val="333333"/>
                <w:sz w:val="18"/>
              </w:rPr>
              <w:t>1,42,50,000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  <w:t>Purchase Costs (7%)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  <w:t>1,42,50,000 × 7 %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right"/>
            </w:pPr>
            <w:r>
              <w:rPr>
                <w:b w:val="0"/>
                <w:color w:val="333333"/>
                <w:sz w:val="18"/>
              </w:rPr>
              <w:t xml:space="preserve">    9,97,500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EEF3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TOTAL INVESTED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EEF3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Buy Price + Purchase Costs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EEF3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right"/>
            </w:pPr>
            <w:r>
              <w:rPr>
                <w:b/>
                <w:color w:val="333333"/>
                <w:sz w:val="18"/>
              </w:rPr>
              <w:t>1,52,47,500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F8F8F8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F8F8F8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F8F8F8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right"/>
            </w:pPr>
            <w:r>
              <w:rPr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  <w:t>Gross Sale Price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  <w:t>16,695 × 1,500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right"/>
            </w:pPr>
            <w:r>
              <w:rPr>
                <w:b w:val="0"/>
                <w:color w:val="333333"/>
                <w:sz w:val="18"/>
              </w:rPr>
              <w:t>2,50,42,500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  <w:t>Exit Costs (2%)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  <w:t>2,50,42,500 × 2 %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right"/>
            </w:pPr>
            <w:r>
              <w:rPr>
                <w:b w:val="0"/>
                <w:color w:val="333333"/>
                <w:sz w:val="18"/>
              </w:rPr>
              <w:t xml:space="preserve">    5,00,850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EEF3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NET SALE PROCEEDS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EEF3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Gross Sale − Exit Costs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EEF3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right"/>
            </w:pPr>
            <w:r>
              <w:rPr>
                <w:b/>
                <w:color w:val="333333"/>
                <w:sz w:val="18"/>
              </w:rPr>
              <w:t>2,45,41,650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F8F8F8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F8F8F8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F8F8F8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right"/>
            </w:pPr>
            <w:r>
              <w:rPr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  <w:t>Annual Rent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  <w:t>1,42,50,000 × 3 %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right"/>
            </w:pPr>
            <w:r>
              <w:rPr>
                <w:b w:val="0"/>
                <w:color w:val="333333"/>
                <w:sz w:val="18"/>
              </w:rPr>
              <w:t xml:space="preserve">    4,27,500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EEF3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RENTAL INCOME (5 yr)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EEF3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4,27,500 × 5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EEF3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right"/>
            </w:pPr>
            <w:r>
              <w:rPr>
                <w:b/>
                <w:color w:val="333333"/>
                <w:sz w:val="18"/>
              </w:rPr>
              <w:t xml:space="preserve">   21,37,500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F8F8F8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F8F8F8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F8F8F8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right"/>
            </w:pPr>
            <w:r>
              <w:rPr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EEF3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HOLDING COSTS (5 yr)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EEF3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1,42,50,000 × 1 % × 5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EEF3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right"/>
            </w:pPr>
            <w:r>
              <w:rPr>
                <w:b/>
                <w:color w:val="333333"/>
                <w:sz w:val="18"/>
              </w:rPr>
              <w:t xml:space="preserve">    7,12,500</w:t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F8F8F8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F8F8F8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 w:val="0"/>
                <w:color w:val="333333"/>
                <w:sz w:val="18"/>
              </w:rPr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F8F8F8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right"/>
            </w:pPr>
            <w:r>
              <w:rPr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E6F4EA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NET PROFIT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E6F4EA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Net Sale + Rental Income − Holding Costs − Total Invested</w:t>
            </w:r>
          </w:p>
        </w:tc>
        <w:tc>
          <w:tcPr>
            <w:tcW w:type="dxa" w:w="3135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  <w:shd w:val="clear" w:color="auto" w:fill="E6F4EA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right"/>
            </w:pPr>
            <w:r>
              <w:rPr>
                <w:b/>
                <w:color w:val="1A7A3C"/>
                <w:sz w:val="18"/>
              </w:rPr>
              <w:t>1,07,19,150</w:t>
            </w:r>
          </w:p>
        </w:tc>
      </w:tr>
    </w:tbl>
    <w:p>
      <w:pPr>
        <w:spacing w:before="200" w:after="40"/>
        <w:jc w:val="left"/>
      </w:pPr>
      <w:r>
        <w:rPr>
          <w:b/>
          <w:color w:val="276EF7"/>
          <w:sz w:val="22"/>
        </w:rPr>
        <w:t>Return Metrics</w:t>
      </w:r>
    </w:p>
    <w:p>
      <w:pPr>
        <w:spacing w:before="60" w:after="60"/>
        <w:ind w:left="567"/>
      </w:pPr>
      <w:r>
        <w:rPr>
          <w:rFonts w:ascii="Courier New" w:hAnsi="Courier New"/>
          <w:b/>
          <w:color w:val="276EF7"/>
          <w:sz w:val="19"/>
        </w:rPr>
        <w:t>ROI %          = (1,07,19,150 / 1,52,47,500) × 100          =  70.3 %</w:t>
        <w:br/>
        <w:br/>
        <w:t>payoffMultiple = (2,45,41,650 + 21,37,500 − 7,12,500)</w:t>
        <w:br/>
        <w:t xml:space="preserve">                  / 1,52,47,500</w:t>
        <w:br/>
        <w:t xml:space="preserve">               = 2,59,66,650 / 1,52,47,500                  =  1.703</w:t>
        <w:br/>
        <w:br/>
        <w:t>CAGR %         = (1.703 ^ (1/5) − 1) × 100</w:t>
        <w:br/>
        <w:t xml:space="preserve">               = (1.1124 − 1) × 100                         =  11.2 % per year</w:t>
      </w:r>
    </w:p>
    <w:p>
      <w:pPr>
        <w:ind w:left="567"/>
      </w:pPr>
      <w:r>
        <w:rPr>
          <w:b/>
          <w:color w:val="1A7A3C"/>
          <w:sz w:val="20"/>
        </w:rPr>
        <w:t>▶  ROI = 70.3 %  →  STRONG  |  CAGR = 11.2 % p.a.  |  Payoff Multiple = 1.70×</w:t>
      </w:r>
    </w:p>
    <w:p>
      <w:pPr>
        <w:spacing w:before="280" w:after="80"/>
        <w:jc w:val="left"/>
        <w:pBdr>
          <w:bottom w:val="single" w:sz="6" w:space="1" w:color="1A376C"/>
        </w:pBdr>
      </w:pPr>
      <w:r>
        <w:rPr>
          <w:b/>
          <w:color w:val="1A376C"/>
          <w:sz w:val="28"/>
        </w:rPr>
        <w:t>D5. Decision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4703"/>
            <w:shd w:val="clear" w:color="auto" w:fill="1A376C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Market Heat Index</w:t>
            </w:r>
          </w:p>
        </w:tc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40.6 — Supply-heavy market (supply &gt; demand right now)</w:t>
            </w:r>
          </w:p>
        </w:tc>
      </w:tr>
      <w:tr>
        <w:tc>
          <w:tcPr>
            <w:tcW w:type="dxa" w:w="4703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Circle Premium</w:t>
            </w:r>
          </w:p>
        </w:tc>
        <w:tc>
          <w:tcPr>
            <w:tcW w:type="dxa" w:w="4703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100 — Market trades at 2.27× govt floor (strong real demand)</w:t>
            </w:r>
          </w:p>
        </w:tc>
      </w:tr>
      <w:tr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Buy / Watch / Avoid</w:t>
            </w:r>
          </w:p>
        </w:tc>
        <w:tc>
          <w:tcPr>
            <w:tcW w:type="dxa" w:w="4703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WATCH (65.4)  →  BUY (71.2) if negotiated to fair value</w:t>
            </w:r>
          </w:p>
        </w:tc>
      </w:tr>
      <w:tr>
        <w:tc>
          <w:tcPr>
            <w:tcW w:type="dxa" w:w="4703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5-Year ROI</w:t>
            </w:r>
          </w:p>
        </w:tc>
        <w:tc>
          <w:tcPr>
            <w:tcW w:type="dxa" w:w="4703"/>
            <w:shd w:val="clear" w:color="auto" w:fill="F2F6FF"/>
            <w:tcBorders>
              <w:top w:val="single" w:sz="4" w:space="0" w:color="C0CADE"/>
              <w:left w:val="single" w:sz="4" w:space="0" w:color="C0CADE"/>
              <w:bottom w:val="single" w:sz="4" w:space="0" w:color="C0CADE"/>
              <w:right w:val="single" w:sz="4" w:space="0" w:color="C0CADE"/>
              <w:insideH w:val="single" w:sz="4" w:space="0" w:color="C0CADE"/>
              <w:insideV w:val="single" w:sz="4" w:space="0" w:color="C0CADE"/>
            </w:tcBorders>
          </w:tcPr>
          <w:p>
            <w:pPr>
              <w:jc w:val="left"/>
            </w:pPr>
            <w:r>
              <w:rPr>
                <w:color w:val="333333"/>
                <w:sz w:val="18"/>
              </w:rPr>
              <w:t>STRONG — 70.3 % total, 11.2 % CAGR, 1.70× payoff multiple</w:t>
            </w:r>
          </w:p>
        </w:tc>
      </w:tr>
    </w:tbl>
    <w:p>
      <w:pPr>
        <w:ind w:left="283"/>
      </w:pPr>
      <w:r>
        <w:rPr>
          <w:i/>
          <w:color w:val="B8860B"/>
          <w:sz w:val="17"/>
        </w:rPr>
        <w:t>⚠  The ROI is driven by price appreciation (₹9,500 → ₹16,695/sqft over 5 years). Even if appreciation is 20 % lower (exit at ₹13,356/sqft), ROI drops to ~32 % — still a MODERATE return.</w:t>
      </w:r>
    </w:p>
    <w:p/>
    <w:p>
      <w:pPr>
        <w:jc w:val="center"/>
      </w:pPr>
      <w:r>
        <w:rPr>
          <w:i/>
          <w:color w:val="666666"/>
          <w:sz w:val="15"/>
        </w:rPr>
        <w:t>Generated by GeoAI Real Estate Platform · All forecasts are model estimates, not guaranteed returns · May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