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375623"/>
          <w:sz w:val="40"/>
        </w:rPr>
        <w:t>Machine Learning Recipe Prediction Model</w:t>
      </w:r>
    </w:p>
    <w:p>
      <w:pPr>
        <w:jc w:val="center"/>
      </w:pPr>
      <w:r>
        <w:rPr>
          <w:i/>
          <w:color w:val="707070"/>
          <w:sz w:val="26"/>
        </w:rPr>
        <w:t>Training Pipeline, Data Flow &amp; System Workflow</w:t>
      </w:r>
    </w:p>
    <w:p/>
    <w:p>
      <w:pPr>
        <w:pStyle w:val="Heading1"/>
      </w:pPr>
      <w:r>
        <w:rPr>
          <w:color w:val="375623"/>
        </w:rPr>
        <w:t>1. Overview &amp; Purpose</w:t>
      </w:r>
    </w:p>
    <w:p>
      <w:r>
        <w:rPr>
          <w:b w:val="0"/>
          <w:i w:val="0"/>
          <w:sz w:val="22"/>
        </w:rPr>
        <w:t>The Machine Learning (ML) Recipe Prediction Model complements the physics-based Kubelka-Munk engine by learning directly from Surya's historical recipe data. Where the K-M engine retrieves and scores known recipes, the ML engine generates new recipe suggestions — combinations that were never explicitly stored but are a learned generalisation from all past formulations.</w:t>
      </w:r>
    </w:p>
    <w:p>
      <w:r>
        <w:rPr>
          <w:b w:val="0"/>
          <w:i w:val="0"/>
          <w:sz w:val="22"/>
        </w:rPr>
        <w:t>This is genuine machine learning: the models learn non-linear decision boundaries from 12-dimensional feature vectors and can predict recipes for colours that never appeared in training data. Loading suggestions can also be between any two observed values, not just copies of existing concentrations.</w:t>
      </w:r>
    </w:p>
    <w:p>
      <w:pPr>
        <w:pStyle w:val="Heading1"/>
      </w:pPr>
      <w:r>
        <w:rPr>
          <w:color w:val="375623"/>
        </w:rPr>
        <w:t>2. Why This Is Genuine Learning (Not Retrieval)</w:t>
      </w:r>
    </w:p>
    <w:p>
      <w:r>
        <w:rPr>
          <w:b/>
          <w:color w:val="375623"/>
        </w:rPr>
        <w:t xml:space="preserve">RandomForestClassifier: </w:t>
      </w:r>
      <w:r>
        <w:rPr>
          <w:sz w:val="22"/>
        </w:rPr>
        <w:t>Splits a 12-dimensional feature space (colour + polymer) into non-linear decision regions. For each region it predicts which pigments belong. For example: 'high a* AND negative b* → Phthalocyanine Blue is likely'. This works for colours that were never in training — the model interpolates based on learned boundaries.</w:t>
      </w:r>
    </w:p>
    <w:p>
      <w:r>
        <w:rPr>
          <w:b/>
          <w:color w:val="375623"/>
        </w:rPr>
        <w:t xml:space="preserve">GradientBoostingRegressor: </w:t>
      </w:r>
      <w:r>
        <w:rPr>
          <w:sz w:val="22"/>
        </w:rPr>
        <w:t>Fits a smooth non-linear curve mapping (L*, a*, b*, chroma, hue, polymer) → concentration. It can produce concentrations between any two observed training values — genuine interpolation, not copying. Gradient boosting corrects residual errors sequentially with 100 weak trees.</w:t>
      </w:r>
    </w:p>
    <w:p>
      <w:r>
        <w:rPr>
          <w:b/>
          <w:color w:val="375623"/>
        </w:rPr>
        <w:t xml:space="preserve">TiO₂ Fraction Model: </w:t>
      </w:r>
      <w:r>
        <w:rPr>
          <w:sz w:val="22"/>
        </w:rPr>
        <w:t>A dedicated GradientBoosting regressor learns the relationship between L* (lightness) and the required TiO₂ (white pigment) fraction. Brighter colours need more TiO₂. This is an empirical, data-driven relationship learned from production records.</w:t>
      </w:r>
    </w:p>
    <w:p/>
    <w:p>
      <w:pPr>
        <w:pStyle w:val="Heading1"/>
      </w:pPr>
      <w:r>
        <w:rPr>
          <w:color w:val="375623"/>
        </w:rPr>
        <w:t>3. Feature Engineering — 12-Dimensional Input Vector</w:t>
      </w:r>
    </w:p>
    <w:p>
      <w:r>
        <w:rPr>
          <w:b w:val="0"/>
          <w:i w:val="0"/>
          <w:sz w:val="22"/>
        </w:rPr>
        <w:t>Every training sample and every prediction request is encoded as a 12-dimensional feature vector. This design ensures scale-independence, circular continuity of hue, and proper polymer isolation:</w:t>
      </w:r>
    </w:p>
    <w:tbl>
      <w:tblPr>
        <w:tblStyle w:val="TableGrid"/>
        <w:tblW w:type="auto" w:w="0"/>
        <w:tblLook w:firstColumn="1" w:firstRow="1" w:lastColumn="0" w:lastRow="0" w:noHBand="0" w:noVBand="1" w:val="04A0"/>
      </w:tblPr>
      <w:tblGrid>
        <w:gridCol w:w="2196"/>
        <w:gridCol w:w="2196"/>
        <w:gridCol w:w="2196"/>
        <w:gridCol w:w="2196"/>
      </w:tblGrid>
      <w:tr>
        <w:tc>
          <w:tcPr>
            <w:tcW w:type="dxa" w:w="720"/>
            <w:shd w:val="clear" w:color="auto" w:fill="375623"/>
          </w:tcPr>
          <w:p>
            <w:r>
              <w:rPr>
                <w:b/>
                <w:color w:val="FFFFFF"/>
              </w:rPr>
              <w:t>Dim</w:t>
            </w:r>
          </w:p>
        </w:tc>
        <w:tc>
          <w:tcPr>
            <w:tcW w:type="dxa" w:w="2160"/>
            <w:shd w:val="clear" w:color="auto" w:fill="375623"/>
          </w:tcPr>
          <w:p>
            <w:r>
              <w:rPr>
                <w:b/>
                <w:color w:val="FFFFFF"/>
              </w:rPr>
              <w:t>Feature</w:t>
            </w:r>
          </w:p>
        </w:tc>
        <w:tc>
          <w:tcPr>
            <w:tcW w:type="dxa" w:w="2592"/>
            <w:shd w:val="clear" w:color="auto" w:fill="375623"/>
          </w:tcPr>
          <w:p>
            <w:r>
              <w:rPr>
                <w:b/>
                <w:color w:val="FFFFFF"/>
              </w:rPr>
              <w:t>Formula</w:t>
            </w:r>
          </w:p>
        </w:tc>
        <w:tc>
          <w:tcPr>
            <w:tcW w:type="dxa" w:w="4608"/>
            <w:shd w:val="clear" w:color="auto" w:fill="375623"/>
          </w:tcPr>
          <w:p>
            <w:r>
              <w:rPr>
                <w:b/>
                <w:color w:val="FFFFFF"/>
              </w:rPr>
              <w:t>Purpose</w:t>
            </w:r>
          </w:p>
        </w:tc>
      </w:tr>
      <w:tr>
        <w:tc>
          <w:tcPr>
            <w:tcW w:type="dxa" w:w="720"/>
            <w:shd w:val="clear" w:color="auto" w:fill="EBF1DE"/>
          </w:tcPr>
          <w:p>
            <w:r>
              <w:t>0</w:t>
            </w:r>
          </w:p>
        </w:tc>
        <w:tc>
          <w:tcPr>
            <w:tcW w:type="dxa" w:w="2160"/>
            <w:shd w:val="clear" w:color="auto" w:fill="EBF1DE"/>
          </w:tcPr>
          <w:p>
            <w:r>
              <w:t>Normalised L*</w:t>
            </w:r>
          </w:p>
        </w:tc>
        <w:tc>
          <w:tcPr>
            <w:tcW w:type="dxa" w:w="2592"/>
            <w:shd w:val="clear" w:color="auto" w:fill="EBF1DE"/>
          </w:tcPr>
          <w:p>
            <w:r>
              <w:t>L* / 100</w:t>
            </w:r>
          </w:p>
        </w:tc>
        <w:tc>
          <w:tcPr>
            <w:tcW w:type="dxa" w:w="4608"/>
            <w:shd w:val="clear" w:color="auto" w:fill="EBF1DE"/>
          </w:tcPr>
          <w:p>
            <w:r>
              <w:t>Lightness, scaled to [0, 1]</w:t>
            </w:r>
          </w:p>
        </w:tc>
      </w:tr>
      <w:tr>
        <w:tc>
          <w:tcPr>
            <w:tcW w:type="dxa" w:w="720"/>
          </w:tcPr>
          <w:p>
            <w:r>
              <w:t>1</w:t>
            </w:r>
          </w:p>
        </w:tc>
        <w:tc>
          <w:tcPr>
            <w:tcW w:type="dxa" w:w="2160"/>
          </w:tcPr>
          <w:p>
            <w:r>
              <w:t>Normalised a*</w:t>
            </w:r>
          </w:p>
        </w:tc>
        <w:tc>
          <w:tcPr>
            <w:tcW w:type="dxa" w:w="2592"/>
          </w:tcPr>
          <w:p>
            <w:r>
              <w:t>a* / 128</w:t>
            </w:r>
          </w:p>
        </w:tc>
        <w:tc>
          <w:tcPr>
            <w:tcW w:type="dxa" w:w="4608"/>
          </w:tcPr>
          <w:p>
            <w:r>
              <w:t>Red-green axis, scaled to [–1, +1]</w:t>
            </w:r>
          </w:p>
        </w:tc>
      </w:tr>
      <w:tr>
        <w:tc>
          <w:tcPr>
            <w:tcW w:type="dxa" w:w="720"/>
            <w:shd w:val="clear" w:color="auto" w:fill="EBF1DE"/>
          </w:tcPr>
          <w:p>
            <w:r>
              <w:t>2</w:t>
            </w:r>
          </w:p>
        </w:tc>
        <w:tc>
          <w:tcPr>
            <w:tcW w:type="dxa" w:w="2160"/>
            <w:shd w:val="clear" w:color="auto" w:fill="EBF1DE"/>
          </w:tcPr>
          <w:p>
            <w:r>
              <w:t>Normalised b*</w:t>
            </w:r>
          </w:p>
        </w:tc>
        <w:tc>
          <w:tcPr>
            <w:tcW w:type="dxa" w:w="2592"/>
            <w:shd w:val="clear" w:color="auto" w:fill="EBF1DE"/>
          </w:tcPr>
          <w:p>
            <w:r>
              <w:t>b* / 128</w:t>
            </w:r>
          </w:p>
        </w:tc>
        <w:tc>
          <w:tcPr>
            <w:tcW w:type="dxa" w:w="4608"/>
            <w:shd w:val="clear" w:color="auto" w:fill="EBF1DE"/>
          </w:tcPr>
          <w:p>
            <w:r>
              <w:t>Yellow-blue axis, scaled to [–1, +1]</w:t>
            </w:r>
          </w:p>
        </w:tc>
      </w:tr>
      <w:tr>
        <w:tc>
          <w:tcPr>
            <w:tcW w:type="dxa" w:w="720"/>
          </w:tcPr>
          <w:p>
            <w:r>
              <w:t>3</w:t>
            </w:r>
          </w:p>
        </w:tc>
        <w:tc>
          <w:tcPr>
            <w:tcW w:type="dxa" w:w="2160"/>
          </w:tcPr>
          <w:p>
            <w:r>
              <w:t>Chroma C*</w:t>
            </w:r>
          </w:p>
        </w:tc>
        <w:tc>
          <w:tcPr>
            <w:tcW w:type="dxa" w:w="2592"/>
          </w:tcPr>
          <w:p>
            <w:r>
              <w:t>√(a²+b²) / 181</w:t>
            </w:r>
          </w:p>
        </w:tc>
        <w:tc>
          <w:tcPr>
            <w:tcW w:type="dxa" w:w="4608"/>
          </w:tcPr>
          <w:p>
            <w:r>
              <w:t>Colour saturation, scaled to [0, 1]</w:t>
            </w:r>
          </w:p>
        </w:tc>
      </w:tr>
      <w:tr>
        <w:tc>
          <w:tcPr>
            <w:tcW w:type="dxa" w:w="720"/>
            <w:shd w:val="clear" w:color="auto" w:fill="EBF1DE"/>
          </w:tcPr>
          <w:p>
            <w:r>
              <w:t>4</w:t>
            </w:r>
          </w:p>
        </w:tc>
        <w:tc>
          <w:tcPr>
            <w:tcW w:type="dxa" w:w="2160"/>
            <w:shd w:val="clear" w:color="auto" w:fill="EBF1DE"/>
          </w:tcPr>
          <w:p>
            <w:r>
              <w:t>Hue (sine)</w:t>
            </w:r>
          </w:p>
        </w:tc>
        <w:tc>
          <w:tcPr>
            <w:tcW w:type="dxa" w:w="2592"/>
            <w:shd w:val="clear" w:color="auto" w:fill="EBF1DE"/>
          </w:tcPr>
          <w:p>
            <w:r>
              <w:t>sin(atan2(b, a))</w:t>
            </w:r>
          </w:p>
        </w:tc>
        <w:tc>
          <w:tcPr>
            <w:tcW w:type="dxa" w:w="4608"/>
            <w:shd w:val="clear" w:color="auto" w:fill="EBF1DE"/>
          </w:tcPr>
          <w:p>
            <w:r>
              <w:t>Circular hue encoding — avoids 360°/0° discontinuity</w:t>
            </w:r>
          </w:p>
        </w:tc>
      </w:tr>
      <w:tr>
        <w:tc>
          <w:tcPr>
            <w:tcW w:type="dxa" w:w="720"/>
          </w:tcPr>
          <w:p>
            <w:r>
              <w:t>5</w:t>
            </w:r>
          </w:p>
        </w:tc>
        <w:tc>
          <w:tcPr>
            <w:tcW w:type="dxa" w:w="2160"/>
          </w:tcPr>
          <w:p>
            <w:r>
              <w:t>Hue (cosine)</w:t>
            </w:r>
          </w:p>
        </w:tc>
        <w:tc>
          <w:tcPr>
            <w:tcW w:type="dxa" w:w="2592"/>
          </w:tcPr>
          <w:p>
            <w:r>
              <w:t>cos(atan2(b, a))</w:t>
            </w:r>
          </w:p>
        </w:tc>
        <w:tc>
          <w:tcPr>
            <w:tcW w:type="dxa" w:w="4608"/>
          </w:tcPr>
          <w:p>
            <w:r>
              <w:t>Circular hue encoding — paired with sin</w:t>
            </w:r>
          </w:p>
        </w:tc>
      </w:tr>
      <w:tr>
        <w:tc>
          <w:tcPr>
            <w:tcW w:type="dxa" w:w="720"/>
            <w:shd w:val="clear" w:color="auto" w:fill="EBF1DE"/>
          </w:tcPr>
          <w:p>
            <w:r>
              <w:t>6</w:t>
            </w:r>
          </w:p>
        </w:tc>
        <w:tc>
          <w:tcPr>
            <w:tcW w:type="dxa" w:w="2160"/>
            <w:shd w:val="clear" w:color="auto" w:fill="EBF1DE"/>
          </w:tcPr>
          <w:p>
            <w:r>
              <w:t>PE flag</w:t>
            </w:r>
          </w:p>
        </w:tc>
        <w:tc>
          <w:tcPr>
            <w:tcW w:type="dxa" w:w="2592"/>
            <w:shd w:val="clear" w:color="auto" w:fill="EBF1DE"/>
          </w:tcPr>
          <w:p>
            <w:r>
              <w:t>1 if polymer=PE else 0</w:t>
            </w:r>
          </w:p>
        </w:tc>
        <w:tc>
          <w:tcPr>
            <w:tcW w:type="dxa" w:w="4608"/>
            <w:shd w:val="clear" w:color="auto" w:fill="EBF1DE"/>
          </w:tcPr>
          <w:p>
            <w:r>
              <w:t>Polymer one-hot encoding</w:t>
            </w:r>
          </w:p>
        </w:tc>
      </w:tr>
      <w:tr>
        <w:tc>
          <w:tcPr>
            <w:tcW w:type="dxa" w:w="720"/>
          </w:tcPr>
          <w:p>
            <w:r>
              <w:t>7</w:t>
            </w:r>
          </w:p>
        </w:tc>
        <w:tc>
          <w:tcPr>
            <w:tcW w:type="dxa" w:w="2160"/>
          </w:tcPr>
          <w:p>
            <w:r>
              <w:t>PP flag</w:t>
            </w:r>
          </w:p>
        </w:tc>
        <w:tc>
          <w:tcPr>
            <w:tcW w:type="dxa" w:w="2592"/>
          </w:tcPr>
          <w:p>
            <w:r>
              <w:t>1 if polymer=PP else 0</w:t>
            </w:r>
          </w:p>
        </w:tc>
        <w:tc>
          <w:tcPr>
            <w:tcW w:type="dxa" w:w="4608"/>
          </w:tcPr>
          <w:p>
            <w:r>
              <w:t>Polymer one-hot encoding</w:t>
            </w:r>
          </w:p>
        </w:tc>
      </w:tr>
      <w:tr>
        <w:tc>
          <w:tcPr>
            <w:tcW w:type="dxa" w:w="720"/>
            <w:shd w:val="clear" w:color="auto" w:fill="EBF1DE"/>
          </w:tcPr>
          <w:p>
            <w:r>
              <w:t>8</w:t>
            </w:r>
          </w:p>
        </w:tc>
        <w:tc>
          <w:tcPr>
            <w:tcW w:type="dxa" w:w="2160"/>
            <w:shd w:val="clear" w:color="auto" w:fill="EBF1DE"/>
          </w:tcPr>
          <w:p>
            <w:r>
              <w:t>ABS flag</w:t>
            </w:r>
          </w:p>
        </w:tc>
        <w:tc>
          <w:tcPr>
            <w:tcW w:type="dxa" w:w="2592"/>
            <w:shd w:val="clear" w:color="auto" w:fill="EBF1DE"/>
          </w:tcPr>
          <w:p>
            <w:r>
              <w:t>1 if polymer=ABS else 0</w:t>
            </w:r>
          </w:p>
        </w:tc>
        <w:tc>
          <w:tcPr>
            <w:tcW w:type="dxa" w:w="4608"/>
            <w:shd w:val="clear" w:color="auto" w:fill="EBF1DE"/>
          </w:tcPr>
          <w:p>
            <w:r>
              <w:t>Polymer one-hot encoding</w:t>
            </w:r>
          </w:p>
        </w:tc>
      </w:tr>
      <w:tr>
        <w:tc>
          <w:tcPr>
            <w:tcW w:type="dxa" w:w="720"/>
          </w:tcPr>
          <w:p>
            <w:r>
              <w:t>9</w:t>
            </w:r>
          </w:p>
        </w:tc>
        <w:tc>
          <w:tcPr>
            <w:tcW w:type="dxa" w:w="2160"/>
          </w:tcPr>
          <w:p>
            <w:r>
              <w:t>SAN flag</w:t>
            </w:r>
          </w:p>
        </w:tc>
        <w:tc>
          <w:tcPr>
            <w:tcW w:type="dxa" w:w="2592"/>
          </w:tcPr>
          <w:p>
            <w:r>
              <w:t>1 if polymer=SAN else 0</w:t>
            </w:r>
          </w:p>
        </w:tc>
        <w:tc>
          <w:tcPr>
            <w:tcW w:type="dxa" w:w="4608"/>
          </w:tcPr>
          <w:p>
            <w:r>
              <w:t>Polymer one-hot encoding</w:t>
            </w:r>
          </w:p>
        </w:tc>
      </w:tr>
      <w:tr>
        <w:tc>
          <w:tcPr>
            <w:tcW w:type="dxa" w:w="720"/>
            <w:shd w:val="clear" w:color="auto" w:fill="EBF1DE"/>
          </w:tcPr>
          <w:p>
            <w:r>
              <w:t>10</w:t>
            </w:r>
          </w:p>
        </w:tc>
        <w:tc>
          <w:tcPr>
            <w:tcW w:type="dxa" w:w="2160"/>
            <w:shd w:val="clear" w:color="auto" w:fill="EBF1DE"/>
          </w:tcPr>
          <w:p>
            <w:r>
              <w:t>PVC flag</w:t>
            </w:r>
          </w:p>
        </w:tc>
        <w:tc>
          <w:tcPr>
            <w:tcW w:type="dxa" w:w="2592"/>
            <w:shd w:val="clear" w:color="auto" w:fill="EBF1DE"/>
          </w:tcPr>
          <w:p>
            <w:r>
              <w:t>1 if polymer=PVC else 0</w:t>
            </w:r>
          </w:p>
        </w:tc>
        <w:tc>
          <w:tcPr>
            <w:tcW w:type="dxa" w:w="4608"/>
            <w:shd w:val="clear" w:color="auto" w:fill="EBF1DE"/>
          </w:tcPr>
          <w:p>
            <w:r>
              <w:t>Polymer one-hot encoding</w:t>
            </w:r>
          </w:p>
        </w:tc>
      </w:tr>
      <w:tr>
        <w:tc>
          <w:tcPr>
            <w:tcW w:type="dxa" w:w="720"/>
          </w:tcPr>
          <w:p>
            <w:r>
              <w:t>11</w:t>
            </w:r>
          </w:p>
        </w:tc>
        <w:tc>
          <w:tcPr>
            <w:tcW w:type="dxa" w:w="2160"/>
          </w:tcPr>
          <w:p>
            <w:r>
              <w:t>OTHER flag</w:t>
            </w:r>
          </w:p>
        </w:tc>
        <w:tc>
          <w:tcPr>
            <w:tcW w:type="dxa" w:w="2592"/>
          </w:tcPr>
          <w:p>
            <w:r>
              <w:t>1 if polymer=OTHER else 0</w:t>
            </w:r>
          </w:p>
        </w:tc>
        <w:tc>
          <w:tcPr>
            <w:tcW w:type="dxa" w:w="4608"/>
          </w:tcPr>
          <w:p>
            <w:r>
              <w:t>Polymer one-hot encoding</w:t>
            </w:r>
          </w:p>
        </w:tc>
      </w:tr>
    </w:tbl>
    <w:p/>
    <w:p>
      <w:pPr>
        <w:pStyle w:val="Heading1"/>
      </w:pPr>
      <w:r>
        <w:rPr>
          <w:color w:val="375623"/>
        </w:rPr>
        <w:t>4. Training Data Pipeline</w:t>
      </w:r>
    </w:p>
    <w:p>
      <w:r>
        <w:rPr>
          <w:b w:val="0"/>
          <w:i w:val="0"/>
          <w:sz w:val="22"/>
        </w:rPr>
        <w:t>Training runs in a background thread when the application starts so the web server is never blocked:</w:t>
      </w:r>
    </w:p>
    <w:p>
      <w:r>
        <w:rPr>
          <w:b/>
          <w:color w:val="375623"/>
          <w:sz w:val="22"/>
        </w:rPr>
        <w:t xml:space="preserve">  1.  Stage 1 — Raw Material Index</w:t>
      </w:r>
    </w:p>
    <w:p>
      <w:pPr>
        <w:ind w:left="576"/>
      </w:pPr>
      <w:r>
        <w:rPr>
          <w:b w:val="0"/>
          <w:i w:val="0"/>
          <w:sz w:val="21"/>
        </w:rPr>
        <w:t>Load all RawMaterial records. Identify TiO₂/white pigment IDs by chemical name keywords: 'PIGMENT WHITE', 'TITANIUM DIOXIDE', 'TIO2'. Also match by product name prefix 'TT ' (Surya's TiO₂ grades). These are separated from other pigments because TiO₂ is modelled independently (L* → TiO₂ fraction).</w:t>
      </w:r>
    </w:p>
    <w:p/>
    <w:p>
      <w:r>
        <w:rPr>
          <w:b/>
          <w:color w:val="375623"/>
          <w:sz w:val="22"/>
        </w:rPr>
        <w:t xml:space="preserve">  2.  Stage 2 — Measured LAB Lookup</w:t>
      </w:r>
    </w:p>
    <w:p>
      <w:pPr>
        <w:ind w:left="576"/>
      </w:pPr>
      <w:r>
        <w:rPr>
          <w:b w:val="0"/>
          <w:i w:val="0"/>
          <w:sz w:val="21"/>
        </w:rPr>
        <w:t>Load all LabResult rows (spectrophotometer readings) into a dict keyed by (product_id, polymer). These ground-truth measurements take priority over any predicted values for training purposes.</w:t>
      </w:r>
    </w:p>
    <w:p/>
    <w:p>
      <w:r>
        <w:rPr>
          <w:b/>
          <w:color w:val="375623"/>
          <w:sz w:val="22"/>
        </w:rPr>
        <w:t xml:space="preserve">  3.  Stage 3 — Build Corpus</w:t>
      </w:r>
    </w:p>
    <w:p>
      <w:pPr>
        <w:ind w:left="576"/>
      </w:pPr>
      <w:r>
        <w:rPr>
          <w:b w:val="0"/>
          <w:i w:val="0"/>
          <w:sz w:val="21"/>
        </w:rPr>
        <w:t>For every Product that has at least one recipe item (ProductRawMaterialMap):</w:t>
        <w:br/>
        <w:t xml:space="preserve">  • Compute total batch kg = Σ qtyinkg across all ingredients</w:t>
        <w:br/>
        <w:t xml:space="preserve">  • If measured LAB exists → use it; create one training sample per     (product × measured_polymer) pair</w:t>
        <w:br/>
        <w:t xml:space="preserve">  • If no measurement → fall back to K-M prediction using pigment tint/full-tone     LAB data; derive polymer from alpha_code prefix (E→PE, C→PP, S→ABS)</w:t>
        <w:br/>
        <w:t xml:space="preserve">  • Compute weight fractions: cᵢ = qtyinkg / total_kg</w:t>
        <w:br/>
        <w:t xml:space="preserve">  • Each sample stores: L, a, b, polymer, dict{rm_id → fraction} for non-TiO₂     pigments, and separate tio2 fraction</w:t>
      </w:r>
    </w:p>
    <w:p/>
    <w:p>
      <w:r>
        <w:rPr>
          <w:b/>
          <w:color w:val="375623"/>
          <w:sz w:val="22"/>
        </w:rPr>
        <w:t xml:space="preserve">  4.  Stage 4 — Minimum Sample Check</w:t>
      </w:r>
    </w:p>
    <w:p>
      <w:pPr>
        <w:ind w:left="576"/>
      </w:pPr>
      <w:r>
        <w:rPr>
          <w:b w:val="0"/>
          <w:i w:val="0"/>
          <w:sz w:val="21"/>
        </w:rPr>
        <w:t>A pigment must appear in at least MIN_SAMPLES=3 recipes before it gets its own models. This prevents overfitting on pigments used only once.</w:t>
      </w:r>
    </w:p>
    <w:p/>
    <w:p>
      <w:r>
        <w:rPr>
          <w:b/>
          <w:color w:val="375623"/>
          <w:sz w:val="22"/>
        </w:rPr>
        <w:t xml:space="preserve">  5.  Stage 5 — Feature Matrix</w:t>
      </w:r>
    </w:p>
    <w:p>
      <w:pPr>
        <w:ind w:left="576"/>
      </w:pPr>
      <w:r>
        <w:rPr>
          <w:b w:val="0"/>
          <w:i w:val="0"/>
          <w:sz w:val="21"/>
        </w:rPr>
        <w:t>Build X_all = [feature_vector(L, a, b, polymer)] for every corpus sample.</w:t>
      </w:r>
    </w:p>
    <w:p/>
    <w:p>
      <w:r>
        <w:rPr>
          <w:b/>
          <w:color w:val="375623"/>
          <w:sz w:val="22"/>
        </w:rPr>
        <w:t xml:space="preserve">  6.  Stage 6 — Per-Pigment Classifier Training</w:t>
      </w:r>
    </w:p>
    <w:p>
      <w:pPr>
        <w:ind w:left="576"/>
      </w:pPr>
      <w:r>
        <w:rPr>
          <w:b w:val="0"/>
          <w:i w:val="0"/>
          <w:sz w:val="21"/>
        </w:rPr>
        <w:t>For each trainable pigment:</w:t>
        <w:br/>
        <w:t xml:space="preserve">  • y_cls = [1 if pigment in recipe else 0] across all samples</w:t>
        <w:br/>
        <w:t xml:space="preserve">  • Train RandomForestClassifier(n_estimators=150, max_depth=8, class_weight='balanced', random_state=42)</w:t>
        <w:br/>
        <w:t xml:space="preserve">  • 'balanced' class weighting compensates for imbalanced data (most pigments appear in &lt;50% of recipes)</w:t>
        <w:br/>
        <w:t xml:space="preserve">  • Stores: classifier object + rich metadata (name, LAB values, compliance, fastness, concentration stats, polymer usage breakdown)</w:t>
      </w:r>
    </w:p>
    <w:p/>
    <w:p>
      <w:r>
        <w:rPr>
          <w:b/>
          <w:color w:val="375623"/>
          <w:sz w:val="22"/>
        </w:rPr>
        <w:t xml:space="preserve">  7.  Stage 7 — Per-Pigment Regressor Training</w:t>
      </w:r>
    </w:p>
    <w:p>
      <w:pPr>
        <w:ind w:left="576"/>
      </w:pPr>
      <w:r>
        <w:rPr>
          <w:b w:val="0"/>
          <w:i w:val="0"/>
          <w:sz w:val="21"/>
        </w:rPr>
        <w:t>For each pigment that has a trained classifier:</w:t>
        <w:br/>
        <w:t xml:space="preserve">  • Filter X to only samples where the pigment IS used (positive class)</w:t>
        <w:br/>
        <w:t xml:space="preserve">  • y_reg = weight fraction used (0.001 – 1.0)</w:t>
        <w:br/>
        <w:t xml:space="preserve">  • Train GradientBoostingRegressor(n_estimators=100, max_depth=3, learning_rate=0.1, random_state=42)</w:t>
        <w:br/>
        <w:t xml:space="preserve">  • Minimum 3 positive samples required — skipped otherwise</w:t>
      </w:r>
    </w:p>
    <w:p/>
    <w:p>
      <w:r>
        <w:rPr>
          <w:b/>
          <w:color w:val="375623"/>
          <w:sz w:val="22"/>
        </w:rPr>
        <w:t xml:space="preserve">  8.  Stage 8 — TiO₂ Fraction Model</w:t>
      </w:r>
    </w:p>
    <w:p>
      <w:pPr>
        <w:ind w:left="576"/>
      </w:pPr>
      <w:r>
        <w:rPr>
          <w:b w:val="0"/>
          <w:i w:val="0"/>
          <w:sz w:val="21"/>
        </w:rPr>
        <w:t xml:space="preserve">  • X_tio2 = [[L* / 100]] for samples where TiO₂ fraction &gt; 0.001</w:t>
        <w:br/>
        <w:t xml:space="preserve">  • y_tio2 = TiO₂ weight fraction</w:t>
        <w:br/>
        <w:t xml:space="preserve">  • Train GradientBoostingRegressor(n_estimators=80, max_depth=3)</w:t>
        <w:br/>
        <w:t xml:space="preserve">  • Simple univariate model: brighter colour → more TiO₂</w:t>
        <w:br/>
        <w:t xml:space="preserve">  • Minimum 5 samples required</w:t>
      </w:r>
    </w:p>
    <w:p/>
    <w:p>
      <w:r>
        <w:rPr>
          <w:b/>
          <w:color w:val="375623"/>
          <w:sz w:val="22"/>
        </w:rPr>
        <w:t xml:space="preserve">  9.  Stage 9 — Model Ready</w:t>
      </w:r>
    </w:p>
    <w:p>
      <w:pPr>
        <w:ind w:left="576"/>
      </w:pPr>
      <w:r>
        <w:rPr>
          <w:b w:val="0"/>
          <w:i w:val="0"/>
          <w:sz w:val="21"/>
        </w:rPr>
        <w:t>Set is_trained = True. Log corpus size, number of classifiers, and regressors trained. The /api/ml-status endpoint exposes this state to the frontend.</w:t>
      </w:r>
    </w:p>
    <w:p/>
    <w:p>
      <w:pPr>
        <w:pStyle w:val="Heading1"/>
      </w:pPr>
      <w:r>
        <w:rPr>
          <w:color w:val="375623"/>
        </w:rPr>
        <w:t>5. Prediction Workflow — How ML Suggestions Are Generated</w:t>
      </w:r>
    </w:p>
    <w:p>
      <w:r>
        <w:rPr>
          <w:b/>
          <w:color w:val="375623"/>
          <w:sz w:val="22"/>
        </w:rPr>
        <w:t xml:space="preserve">  Step 1  —  Encode Input</w:t>
      </w:r>
    </w:p>
    <w:p>
      <w:pPr>
        <w:ind w:left="576"/>
      </w:pPr>
      <w:r>
        <w:rPr>
          <w:b w:val="0"/>
          <w:i w:val="0"/>
          <w:sz w:val="21"/>
        </w:rPr>
        <w:t>Target L*, a*, b* and polymer are encoded into the 12-dim feature vector using _feature_vector().</w:t>
      </w:r>
    </w:p>
    <w:p/>
    <w:p>
      <w:r>
        <w:rPr>
          <w:b/>
          <w:color w:val="375623"/>
          <w:sz w:val="22"/>
        </w:rPr>
        <w:t xml:space="preserve">  Step 2  —  Score All Pigments</w:t>
      </w:r>
    </w:p>
    <w:p>
      <w:pPr>
        <w:ind w:left="576"/>
      </w:pPr>
      <w:r>
        <w:rPr>
          <w:b w:val="0"/>
          <w:i w:val="0"/>
          <w:sz w:val="21"/>
        </w:rPr>
        <w:t>For each pigment with a trained classifier:</w:t>
        <w:br/>
        <w:t xml:space="preserve">  • P(used) = clf.predict_proba([feats])[0][1]   (probability that this pigment belongs)</w:t>
        <w:br/>
        <w:t xml:space="preserve">  • predicted_conc = reg.predict([feats])         (predicted weight fraction)</w:t>
        <w:br/>
        <w:t xml:space="preserve">  • Score = P(used) × predicted_conc</w:t>
      </w:r>
    </w:p>
    <w:p/>
    <w:p>
      <w:r>
        <w:rPr>
          <w:b/>
          <w:color w:val="375623"/>
          <w:sz w:val="22"/>
        </w:rPr>
        <w:t xml:space="preserve">  Step 3  —  Apply Eligibility Filter</w:t>
      </w:r>
    </w:p>
    <w:p>
      <w:pPr>
        <w:ind w:left="576"/>
      </w:pPr>
      <w:r>
        <w:rPr>
          <w:b w:val="0"/>
          <w:i w:val="0"/>
          <w:sz w:val="21"/>
        </w:rPr>
        <w:t>Pigments are split into eligible (pass compliance, fastness, heat filters) and non-eligible. Eligible pigments are ranked first. Non-eligible pigments may still appear but are flagged with constraint_fail=True.</w:t>
      </w:r>
    </w:p>
    <w:p/>
    <w:p>
      <w:r>
        <w:rPr>
          <w:b/>
          <w:color w:val="375623"/>
          <w:sz w:val="22"/>
        </w:rPr>
        <w:t xml:space="preserve">  Step 4  —  TiO₂ Fraction Prediction</w:t>
      </w:r>
    </w:p>
    <w:p>
      <w:pPr>
        <w:ind w:left="576"/>
      </w:pPr>
      <w:r>
        <w:rPr>
          <w:b w:val="0"/>
          <w:i w:val="0"/>
          <w:sz w:val="21"/>
        </w:rPr>
        <w:t>tio2_frac = tio2_reg.predict([[L*/100]])  — used in all suggestions to balance lightness.</w:t>
      </w:r>
    </w:p>
    <w:p/>
    <w:p>
      <w:r>
        <w:rPr>
          <w:b/>
          <w:color w:val="375623"/>
          <w:sz w:val="22"/>
        </w:rPr>
        <w:t xml:space="preserve">  Step 5  —  Build 1-, 2-, and 3-Colorant Suggestions</w:t>
      </w:r>
    </w:p>
    <w:p>
      <w:pPr>
        <w:ind w:left="576"/>
      </w:pPr>
      <w:r>
        <w:rPr>
          <w:b w:val="0"/>
          <w:i w:val="0"/>
          <w:sz w:val="21"/>
        </w:rPr>
        <w:t>Three suggestions are built:</w:t>
        <w:br/>
        <w:t xml:space="preserve">  • 1-colorant: top-1 pigment + TiO₂</w:t>
        <w:br/>
        <w:t xml:space="preserve">  • 2-colorant: top-2 pigments + TiO₂</w:t>
        <w:br/>
        <w:t xml:space="preserve">  • 3-colorant: top-3 pigments + TiO₂</w:t>
        <w:br/>
        <w:t>Each includes polymer base fraction = max(0, 1 – pig_total – tio2_frac)</w:t>
      </w:r>
    </w:p>
    <w:p/>
    <w:p>
      <w:r>
        <w:rPr>
          <w:b/>
          <w:color w:val="375623"/>
          <w:sz w:val="22"/>
        </w:rPr>
        <w:t xml:space="preserve">  Step 6  —  K-M Verification of ML Recipe</w:t>
      </w:r>
    </w:p>
    <w:p>
      <w:pPr>
        <w:ind w:left="576"/>
      </w:pPr>
      <w:r>
        <w:rPr>
          <w:b w:val="0"/>
          <w:i w:val="0"/>
          <w:sz w:val="21"/>
        </w:rPr>
        <w:t>Each ML suggestion is run through the K-M model to predict its L*a*b* colour. CIEDE2000 ΔE* is computed against the target. This gives the user a confidence metric: a low ΔE means the ML recipe is colour-accurate; a high ΔE means the chemist should adjust concentrations.</w:t>
      </w:r>
    </w:p>
    <w:p/>
    <w:p>
      <w:r>
        <w:rPr>
          <w:b/>
          <w:color w:val="375623"/>
          <w:sz w:val="22"/>
        </w:rPr>
        <w:t xml:space="preserve">  Step 7  —  Polymer Coverage Note</w:t>
      </w:r>
    </w:p>
    <w:p>
      <w:pPr>
        <w:ind w:left="576"/>
      </w:pPr>
      <w:r>
        <w:rPr>
          <w:b w:val="0"/>
          <w:i w:val="0"/>
          <w:sz w:val="21"/>
        </w:rPr>
        <w:t>If a pigment's training data was mostly from a different polymer, a warning note is generated: 'Trained mainly on PP (12% PE data) — loading may shift ±10–20% in PE'.</w:t>
      </w:r>
    </w:p>
    <w:p/>
    <w:p>
      <w:r>
        <w:rPr>
          <w:b/>
          <w:color w:val="375623"/>
          <w:sz w:val="22"/>
        </w:rPr>
        <w:t xml:space="preserve">  Step 8  —  Response</w:t>
      </w:r>
    </w:p>
    <w:p>
      <w:pPr>
        <w:ind w:left="576"/>
      </w:pPr>
      <w:r>
        <w:rPr>
          <w:b w:val="0"/>
          <w:i w:val="0"/>
          <w:sz w:val="21"/>
        </w:rPr>
        <w:t>Up to 3 ML suggestions are returned alongside the K-M database results in the /api/search response.</w:t>
      </w:r>
    </w:p>
    <w:p/>
    <w:p>
      <w:pPr>
        <w:pStyle w:val="Heading1"/>
      </w:pPr>
      <w:r>
        <w:rPr>
          <w:color w:val="375623"/>
        </w:rPr>
        <w:t>6. Model Hyperparameters &amp; Configuration</w:t>
      </w:r>
    </w:p>
    <w:tbl>
      <w:tblPr>
        <w:tblStyle w:val="TableGrid"/>
        <w:tblW w:type="auto" w:w="0"/>
        <w:tblLook w:firstColumn="1" w:firstRow="1" w:lastColumn="0" w:lastRow="0" w:noHBand="0" w:noVBand="1" w:val="04A0"/>
      </w:tblPr>
      <w:tblGrid>
        <w:gridCol w:w="2196"/>
        <w:gridCol w:w="2196"/>
        <w:gridCol w:w="2196"/>
        <w:gridCol w:w="2196"/>
      </w:tblGrid>
      <w:tr>
        <w:tc>
          <w:tcPr>
            <w:tcW w:type="dxa" w:w="2592"/>
            <w:shd w:val="clear" w:color="auto" w:fill="375623"/>
          </w:tcPr>
          <w:p>
            <w:r>
              <w:rPr>
                <w:b/>
                <w:color w:val="FFFFFF"/>
              </w:rPr>
              <w:t>Model</w:t>
            </w:r>
          </w:p>
        </w:tc>
        <w:tc>
          <w:tcPr>
            <w:tcW w:type="dxa" w:w="2880"/>
            <w:shd w:val="clear" w:color="auto" w:fill="375623"/>
          </w:tcPr>
          <w:p>
            <w:r>
              <w:rPr>
                <w:b/>
                <w:color w:val="FFFFFF"/>
              </w:rPr>
              <w:t>Algorithm</w:t>
            </w:r>
          </w:p>
        </w:tc>
        <w:tc>
          <w:tcPr>
            <w:tcW w:type="dxa" w:w="2736"/>
            <w:shd w:val="clear" w:color="auto" w:fill="375623"/>
          </w:tcPr>
          <w:p>
            <w:r>
              <w:rPr>
                <w:b/>
                <w:color w:val="FFFFFF"/>
              </w:rPr>
              <w:t>Key Parameters</w:t>
            </w:r>
          </w:p>
        </w:tc>
        <w:tc>
          <w:tcPr>
            <w:tcW w:type="dxa" w:w="3312"/>
            <w:shd w:val="clear" w:color="auto" w:fill="375623"/>
          </w:tcPr>
          <w:p>
            <w:r>
              <w:rPr>
                <w:b/>
                <w:color w:val="FFFFFF"/>
              </w:rPr>
              <w:t>Purpose</w:t>
            </w:r>
          </w:p>
        </w:tc>
      </w:tr>
      <w:tr>
        <w:tc>
          <w:tcPr>
            <w:tcW w:type="dxa" w:w="2592"/>
            <w:shd w:val="clear" w:color="auto" w:fill="EBF1DE"/>
          </w:tcPr>
          <w:p>
            <w:r>
              <w:t>Per-pigment Classifier</w:t>
            </w:r>
          </w:p>
        </w:tc>
        <w:tc>
          <w:tcPr>
            <w:tcW w:type="dxa" w:w="2880"/>
            <w:shd w:val="clear" w:color="auto" w:fill="EBF1DE"/>
          </w:tcPr>
          <w:p>
            <w:r>
              <w:t>RandomForestClassifier (scikit-learn)</w:t>
            </w:r>
          </w:p>
        </w:tc>
        <w:tc>
          <w:tcPr>
            <w:tcW w:type="dxa" w:w="2736"/>
            <w:shd w:val="clear" w:color="auto" w:fill="EBF1DE"/>
          </w:tcPr>
          <w:p>
            <w:r>
              <w:t>n_estimators=150</w:t>
              <w:br/>
              <w:t>max_depth=8</w:t>
              <w:br/>
              <w:t>min_samples_leaf=2</w:t>
              <w:br/>
              <w:t>class_weight='balanced'</w:t>
              <w:br/>
              <w:t>random_state=42</w:t>
            </w:r>
          </w:p>
        </w:tc>
        <w:tc>
          <w:tcPr>
            <w:tcW w:type="dxa" w:w="3312"/>
            <w:shd w:val="clear" w:color="auto" w:fill="EBF1DE"/>
          </w:tcPr>
          <w:p>
            <w:r>
              <w:t>Predicts P(pigment belongs | colour, polymer)</w:t>
            </w:r>
          </w:p>
        </w:tc>
      </w:tr>
      <w:tr>
        <w:tc>
          <w:tcPr>
            <w:tcW w:type="dxa" w:w="2592"/>
          </w:tcPr>
          <w:p>
            <w:r>
              <w:t>Per-pigment Regressor</w:t>
            </w:r>
          </w:p>
        </w:tc>
        <w:tc>
          <w:tcPr>
            <w:tcW w:type="dxa" w:w="2880"/>
          </w:tcPr>
          <w:p>
            <w:r>
              <w:t>GradientBoostingRegressor (scikit-learn)</w:t>
            </w:r>
          </w:p>
        </w:tc>
        <w:tc>
          <w:tcPr>
            <w:tcW w:type="dxa" w:w="2736"/>
          </w:tcPr>
          <w:p>
            <w:r>
              <w:t>n_estimators=100</w:t>
              <w:br/>
              <w:t>max_depth=3</w:t>
              <w:br/>
              <w:t>learning_rate=0.1</w:t>
              <w:br/>
              <w:t>min_samples_leaf=2</w:t>
              <w:br/>
              <w:t>random_state=42</w:t>
            </w:r>
          </w:p>
        </w:tc>
        <w:tc>
          <w:tcPr>
            <w:tcW w:type="dxa" w:w="3312"/>
          </w:tcPr>
          <w:p>
            <w:r>
              <w:t>Predicts weight fraction when pigment is used</w:t>
            </w:r>
          </w:p>
        </w:tc>
      </w:tr>
      <w:tr>
        <w:tc>
          <w:tcPr>
            <w:tcW w:type="dxa" w:w="2592"/>
            <w:shd w:val="clear" w:color="auto" w:fill="EBF1DE"/>
          </w:tcPr>
          <w:p>
            <w:r>
              <w:t>TiO₂ Fraction Model</w:t>
            </w:r>
          </w:p>
        </w:tc>
        <w:tc>
          <w:tcPr>
            <w:tcW w:type="dxa" w:w="2880"/>
            <w:shd w:val="clear" w:color="auto" w:fill="EBF1DE"/>
          </w:tcPr>
          <w:p>
            <w:r>
              <w:t>GradientBoostingRegressor (scikit-learn)</w:t>
            </w:r>
          </w:p>
        </w:tc>
        <w:tc>
          <w:tcPr>
            <w:tcW w:type="dxa" w:w="2736"/>
            <w:shd w:val="clear" w:color="auto" w:fill="EBF1DE"/>
          </w:tcPr>
          <w:p>
            <w:r>
              <w:t>n_estimators=80</w:t>
              <w:br/>
              <w:t>max_depth=3</w:t>
              <w:br/>
              <w:t>learning_rate=0.1</w:t>
              <w:br/>
              <w:t>random_state=42</w:t>
            </w:r>
          </w:p>
        </w:tc>
        <w:tc>
          <w:tcPr>
            <w:tcW w:type="dxa" w:w="3312"/>
            <w:shd w:val="clear" w:color="auto" w:fill="EBF1DE"/>
          </w:tcPr>
          <w:p>
            <w:r>
              <w:t>Predicts TiO₂ fraction from L* only</w:t>
            </w:r>
          </w:p>
        </w:tc>
      </w:tr>
      <w:tr>
        <w:tc>
          <w:tcPr>
            <w:tcW w:type="dxa" w:w="2592"/>
          </w:tcPr>
          <w:p>
            <w:r>
              <w:t>Min corpus threshold</w:t>
            </w:r>
          </w:p>
        </w:tc>
        <w:tc>
          <w:tcPr>
            <w:tcW w:type="dxa" w:w="2880"/>
          </w:tcPr>
          <w:p>
            <w:r>
              <w:t>— (parameter)</w:t>
            </w:r>
          </w:p>
        </w:tc>
        <w:tc>
          <w:tcPr>
            <w:tcW w:type="dxa" w:w="2736"/>
          </w:tcPr>
          <w:p>
            <w:r>
              <w:t>MIN_SAMPLES = 3</w:t>
            </w:r>
          </w:p>
        </w:tc>
        <w:tc>
          <w:tcPr>
            <w:tcW w:type="dxa" w:w="3312"/>
          </w:tcPr>
          <w:p>
            <w:r>
              <w:t>Pigment needs ≥3 recipe appearances to train</w:t>
            </w:r>
          </w:p>
        </w:tc>
      </w:tr>
      <w:tr>
        <w:tc>
          <w:tcPr>
            <w:tcW w:type="dxa" w:w="2592"/>
            <w:shd w:val="clear" w:color="auto" w:fill="EBF1DE"/>
          </w:tcPr>
          <w:p>
            <w:r>
              <w:t>Feature space</w:t>
            </w:r>
          </w:p>
        </w:tc>
        <w:tc>
          <w:tcPr>
            <w:tcW w:type="dxa" w:w="2880"/>
            <w:shd w:val="clear" w:color="auto" w:fill="EBF1DE"/>
          </w:tcPr>
          <w:p>
            <w:r>
              <w:t>— (design)</w:t>
            </w:r>
          </w:p>
        </w:tc>
        <w:tc>
          <w:tcPr>
            <w:tcW w:type="dxa" w:w="2736"/>
            <w:shd w:val="clear" w:color="auto" w:fill="EBF1DE"/>
          </w:tcPr>
          <w:p>
            <w:r>
              <w:t>12 dimensions (6 colour + 6 polymer one-hot)</w:t>
            </w:r>
          </w:p>
        </w:tc>
        <w:tc>
          <w:tcPr>
            <w:tcW w:type="dxa" w:w="3312"/>
            <w:shd w:val="clear" w:color="auto" w:fill="EBF1DE"/>
          </w:tcPr>
          <w:p>
            <w:r>
              <w:t>Input to all classifiers and regressors</w:t>
            </w:r>
          </w:p>
        </w:tc>
      </w:tr>
    </w:tbl>
    <w:p/>
    <w:p>
      <w:pPr>
        <w:pStyle w:val="Heading1"/>
      </w:pPr>
      <w:r>
        <w:rPr>
          <w:color w:val="375623"/>
        </w:rPr>
        <w:t>7. Training Data Sources</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375623"/>
          </w:tcPr>
          <w:p>
            <w:r>
              <w:rPr>
                <w:b/>
                <w:color w:val="FFFFFF"/>
              </w:rPr>
              <w:t>Source</w:t>
            </w:r>
          </w:p>
        </w:tc>
        <w:tc>
          <w:tcPr>
            <w:tcW w:type="dxa" w:w="3168"/>
            <w:shd w:val="clear" w:color="auto" w:fill="375623"/>
          </w:tcPr>
          <w:p>
            <w:r>
              <w:rPr>
                <w:b/>
                <w:color w:val="FFFFFF"/>
              </w:rPr>
              <w:t>Content</w:t>
            </w:r>
          </w:p>
        </w:tc>
        <w:tc>
          <w:tcPr>
            <w:tcW w:type="dxa" w:w="5760"/>
            <w:shd w:val="clear" w:color="auto" w:fill="375623"/>
          </w:tcPr>
          <w:p>
            <w:r>
              <w:rPr>
                <w:b/>
                <w:color w:val="FFFFFF"/>
              </w:rPr>
              <w:t>Role in Training</w:t>
            </w:r>
          </w:p>
        </w:tc>
      </w:tr>
      <w:tr>
        <w:tc>
          <w:tcPr>
            <w:tcW w:type="dxa" w:w="2592"/>
            <w:shd w:val="clear" w:color="auto" w:fill="EBF1DE"/>
          </w:tcPr>
          <w:p>
            <w:r>
              <w:t>LabResult table</w:t>
            </w:r>
          </w:p>
        </w:tc>
        <w:tc>
          <w:tcPr>
            <w:tcW w:type="dxa" w:w="3168"/>
            <w:shd w:val="clear" w:color="auto" w:fill="EBF1DE"/>
          </w:tcPr>
          <w:p>
            <w:r>
              <w:t>~232 products with measured L*, a*, b* from spectrophotometer</w:t>
              <w:br/>
              <w:t>(imported from FGData sheet)</w:t>
            </w:r>
          </w:p>
        </w:tc>
        <w:tc>
          <w:tcPr>
            <w:tcW w:type="dxa" w:w="5760"/>
            <w:shd w:val="clear" w:color="auto" w:fill="EBF1DE"/>
          </w:tcPr>
          <w:p>
            <w:r>
              <w:t>Highest-priority LAB values. Each (product, polymer, LAB) triple becomes a training sample.</w:t>
            </w:r>
          </w:p>
        </w:tc>
      </w:tr>
      <w:tr>
        <w:tc>
          <w:tcPr>
            <w:tcW w:type="dxa" w:w="2592"/>
          </w:tcPr>
          <w:p>
            <w:r>
              <w:t>productrawmaterialmap</w:t>
            </w:r>
          </w:p>
        </w:tc>
        <w:tc>
          <w:tcPr>
            <w:tcW w:type="dxa" w:w="3168"/>
          </w:tcPr>
          <w:p>
            <w:r>
              <w:t>~11,125 rows: productid, rawmaterialid, qtyinkg</w:t>
            </w:r>
          </w:p>
        </w:tc>
        <w:tc>
          <w:tcPr>
            <w:tcW w:type="dxa" w:w="5760"/>
          </w:tcPr>
          <w:p>
            <w:r>
              <w:t>Defines the recipe (pigment mix + concentrations) for each product. Weight fractions cᵢ = qty / total_kg become the regression targets (y_reg).</w:t>
            </w:r>
          </w:p>
        </w:tc>
      </w:tr>
      <w:tr>
        <w:tc>
          <w:tcPr>
            <w:tcW w:type="dxa" w:w="2592"/>
            <w:shd w:val="clear" w:color="auto" w:fill="EBF1DE"/>
          </w:tcPr>
          <w:p>
            <w:r>
              <w:t>raw_material (type=PG)</w:t>
            </w:r>
          </w:p>
        </w:tc>
        <w:tc>
          <w:tcPr>
            <w:tcW w:type="dxa" w:w="3168"/>
            <w:shd w:val="clear" w:color="auto" w:fill="EBF1DE"/>
          </w:tcPr>
          <w:p>
            <w:r>
              <w:t>~31 pigments with full/tint LAB and compliance/fastness attributes</w:t>
            </w:r>
          </w:p>
        </w:tc>
        <w:tc>
          <w:tcPr>
            <w:tcW w:type="dxa" w:w="5760"/>
            <w:shd w:val="clear" w:color="auto" w:fill="EBF1DE"/>
          </w:tcPr>
          <w:p>
            <w:r>
              <w:t>Used for K-M fallback LAB prediction and for eligibility filtering during inference.</w:t>
            </w:r>
          </w:p>
        </w:tc>
      </w:tr>
      <w:tr>
        <w:tc>
          <w:tcPr>
            <w:tcW w:type="dxa" w:w="2592"/>
          </w:tcPr>
          <w:p>
            <w:r>
              <w:t>Product table</w:t>
            </w:r>
          </w:p>
        </w:tc>
        <w:tc>
          <w:tcPr>
            <w:tcW w:type="dxa" w:w="3168"/>
          </w:tcPr>
          <w:p>
            <w:r>
              <w:t>~1,666 products with alpha_code (polymer) and name</w:t>
            </w:r>
          </w:p>
        </w:tc>
        <w:tc>
          <w:tcPr>
            <w:tcW w:type="dxa" w:w="5760"/>
          </w:tcPr>
          <w:p>
            <w:r>
              <w:t>Provides polymer identification and corpus membership. Alpha code prefix (E/C/S/O) maps to PE/PP/ABS/OTHER.</w:t>
            </w:r>
          </w:p>
        </w:tc>
      </w:tr>
      <w:tr>
        <w:tc>
          <w:tcPr>
            <w:tcW w:type="dxa" w:w="2592"/>
            <w:shd w:val="clear" w:color="auto" w:fill="EBF1DE"/>
          </w:tcPr>
          <w:p>
            <w:r>
              <w:t>K-M Predicted LAB</w:t>
              <w:br/>
              <w:t>(fallback)</w:t>
            </w:r>
          </w:p>
        </w:tc>
        <w:tc>
          <w:tcPr>
            <w:tcW w:type="dxa" w:w="3168"/>
            <w:shd w:val="clear" w:color="auto" w:fill="EBF1DE"/>
          </w:tcPr>
          <w:p>
            <w:r>
              <w:t>Computed from pigment recipe for products without LabResult</w:t>
            </w:r>
          </w:p>
        </w:tc>
        <w:tc>
          <w:tcPr>
            <w:tcW w:type="dxa" w:w="5760"/>
            <w:shd w:val="clear" w:color="auto" w:fill="EBF1DE"/>
          </w:tcPr>
          <w:p>
            <w:r>
              <w:t>Extends the training corpus beyond the 232 measured products to all products with complete pigment recipes. Enables training even with sparse spectro data.</w:t>
            </w:r>
          </w:p>
        </w:tc>
      </w:tr>
    </w:tbl>
    <w:p/>
    <w:p>
      <w:pPr>
        <w:pStyle w:val="Heading1"/>
      </w:pPr>
      <w:r>
        <w:rPr>
          <w:color w:val="375623"/>
        </w:rPr>
        <w:t>8. ML Suggestion Output Structure</w:t>
      </w:r>
    </w:p>
    <w:p>
      <w:r>
        <w:rPr>
          <w:b w:val="0"/>
          <w:i w:val="0"/>
          <w:sz w:val="22"/>
        </w:rPr>
        <w:t>Each ML suggestion returned to the frontend contains:</w:t>
      </w:r>
    </w:p>
    <w:tbl>
      <w:tblPr>
        <w:tblStyle w:val="TableGrid"/>
        <w:tblW w:type="auto" w:w="0"/>
        <w:tblLook w:firstColumn="1" w:firstRow="1" w:lastColumn="0" w:lastRow="0" w:noHBand="0" w:noVBand="1" w:val="04A0"/>
      </w:tblPr>
      <w:tblGrid>
        <w:gridCol w:w="4392"/>
        <w:gridCol w:w="4392"/>
      </w:tblGrid>
      <w:tr>
        <w:tc>
          <w:tcPr>
            <w:tcW w:type="dxa" w:w="2592"/>
            <w:shd w:val="clear" w:color="auto" w:fill="375623"/>
          </w:tcPr>
          <w:p>
            <w:r>
              <w:rPr>
                <w:b/>
                <w:color w:val="FFFFFF"/>
              </w:rPr>
              <w:t>Field</w:t>
            </w:r>
          </w:p>
        </w:tc>
        <w:tc>
          <w:tcPr>
            <w:tcW w:type="dxa" w:w="7488"/>
            <w:shd w:val="clear" w:color="auto" w:fill="375623"/>
          </w:tcPr>
          <w:p>
            <w:r>
              <w:rPr>
                <w:b/>
                <w:color w:val="FFFFFF"/>
              </w:rPr>
              <w:t>Description</w:t>
            </w:r>
          </w:p>
        </w:tc>
      </w:tr>
      <w:tr>
        <w:tc>
          <w:tcPr>
            <w:tcW w:type="dxa" w:w="2592"/>
            <w:shd w:val="clear" w:color="auto" w:fill="EBF1DE"/>
          </w:tcPr>
          <w:p>
            <w:r>
              <w:t>source</w:t>
            </w:r>
          </w:p>
        </w:tc>
        <w:tc>
          <w:tcPr>
            <w:tcW w:type="dxa" w:w="7488"/>
            <w:shd w:val="clear" w:color="auto" w:fill="EBF1DE"/>
          </w:tcPr>
          <w:p>
            <w:r>
              <w:t>'ml_suggestion'  — identifies this as a machine-learning generated recipe</w:t>
            </w:r>
          </w:p>
        </w:tc>
      </w:tr>
      <w:tr>
        <w:tc>
          <w:tcPr>
            <w:tcW w:type="dxa" w:w="2592"/>
          </w:tcPr>
          <w:p>
            <w:r>
              <w:t>recipe</w:t>
            </w:r>
          </w:p>
        </w:tc>
        <w:tc>
          <w:tcPr>
            <w:tcW w:type="dxa" w:w="7488"/>
          </w:tcPr>
          <w:p>
            <w:r>
              <w:t>List of pigments: rm_id, name, pct (weight %), predicted probability, predicted concentration</w:t>
            </w:r>
          </w:p>
        </w:tc>
      </w:tr>
      <w:tr>
        <w:tc>
          <w:tcPr>
            <w:tcW w:type="dxa" w:w="2592"/>
            <w:shd w:val="clear" w:color="auto" w:fill="EBF1DE"/>
          </w:tcPr>
          <w:p>
            <w:r>
              <w:t>tio2_pct</w:t>
            </w:r>
          </w:p>
        </w:tc>
        <w:tc>
          <w:tcPr>
            <w:tcW w:type="dxa" w:w="7488"/>
            <w:shd w:val="clear" w:color="auto" w:fill="EBF1DE"/>
          </w:tcPr>
          <w:p>
            <w:r>
              <w:t>Predicted TiO₂ white content (weight %)</w:t>
            </w:r>
          </w:p>
        </w:tc>
      </w:tr>
      <w:tr>
        <w:tc>
          <w:tcPr>
            <w:tcW w:type="dxa" w:w="2592"/>
          </w:tcPr>
          <w:p>
            <w:r>
              <w:t>polymer</w:t>
            </w:r>
          </w:p>
        </w:tc>
        <w:tc>
          <w:tcPr>
            <w:tcW w:type="dxa" w:w="7488"/>
          </w:tcPr>
          <w:p>
            <w:r>
              <w:t>Target polymer base (e.g. 'PE')</w:t>
            </w:r>
          </w:p>
        </w:tc>
      </w:tr>
      <w:tr>
        <w:tc>
          <w:tcPr>
            <w:tcW w:type="dxa" w:w="2592"/>
            <w:shd w:val="clear" w:color="auto" w:fill="EBF1DE"/>
          </w:tcPr>
          <w:p>
            <w:r>
              <w:t>predicted_lab</w:t>
            </w:r>
          </w:p>
        </w:tc>
        <w:tc>
          <w:tcPr>
            <w:tcW w:type="dxa" w:w="7488"/>
            <w:shd w:val="clear" w:color="auto" w:fill="EBF1DE"/>
          </w:tcPr>
          <w:p>
            <w:r>
              <w:t>L*, a*, b* of the predicted mixture computed via K-M engine</w:t>
            </w:r>
          </w:p>
        </w:tc>
      </w:tr>
      <w:tr>
        <w:tc>
          <w:tcPr>
            <w:tcW w:type="dxa" w:w="2592"/>
          </w:tcPr>
          <w:p>
            <w:r>
              <w:t>delta_e</w:t>
            </w:r>
          </w:p>
        </w:tc>
        <w:tc>
          <w:tcPr>
            <w:tcW w:type="dxa" w:w="7488"/>
          </w:tcPr>
          <w:p>
            <w:r>
              <w:t>CIEDE2000 ΔE* between the predicted LAB and the target LAB</w:t>
            </w:r>
          </w:p>
        </w:tc>
      </w:tr>
      <w:tr>
        <w:tc>
          <w:tcPr>
            <w:tcW w:type="dxa" w:w="2592"/>
            <w:shd w:val="clear" w:color="auto" w:fill="EBF1DE"/>
          </w:tcPr>
          <w:p>
            <w:r>
              <w:t>constraint_fail</w:t>
            </w:r>
          </w:p>
        </w:tc>
        <w:tc>
          <w:tcPr>
            <w:tcW w:type="dxa" w:w="7488"/>
            <w:shd w:val="clear" w:color="auto" w:fill="EBF1DE"/>
          </w:tcPr>
          <w:p>
            <w:r>
              <w:t>True if any pigment in this recipe fails the compliance/fastness filters</w:t>
            </w:r>
          </w:p>
        </w:tc>
      </w:tr>
      <w:tr>
        <w:tc>
          <w:tcPr>
            <w:tcW w:type="dxa" w:w="2592"/>
          </w:tcPr>
          <w:p>
            <w:r>
              <w:t>polymer_note</w:t>
            </w:r>
          </w:p>
        </w:tc>
        <w:tc>
          <w:tcPr>
            <w:tcW w:type="dxa" w:w="7488"/>
          </w:tcPr>
          <w:p>
            <w:r>
              <w:t>Warning if training data for a pigment was mostly from a different polymer</w:t>
            </w:r>
          </w:p>
        </w:tc>
      </w:tr>
      <w:tr>
        <w:tc>
          <w:tcPr>
            <w:tcW w:type="dxa" w:w="2592"/>
            <w:shd w:val="clear" w:color="auto" w:fill="EBF1DE"/>
          </w:tcPr>
          <w:p>
            <w:r>
              <w:t>explainability</w:t>
            </w:r>
          </w:p>
        </w:tc>
        <w:tc>
          <w:tcPr>
            <w:tcW w:type="dxa" w:w="7488"/>
            <w:shd w:val="clear" w:color="auto" w:fill="EBF1DE"/>
          </w:tcPr>
          <w:p>
            <w:r>
              <w:t>Per-pigment stats: n_recipes trained on, min/max/mean concentration %, dominant polymer</w:t>
            </w:r>
          </w:p>
        </w:tc>
      </w:tr>
    </w:tbl>
    <w:p/>
    <w:p>
      <w:pPr>
        <w:pStyle w:val="Heading1"/>
      </w:pPr>
      <w:r>
        <w:rPr>
          <w:color w:val="375623"/>
        </w:rPr>
        <w:t>9. Training Lifecycle &amp; Retraining</w:t>
      </w:r>
    </w:p>
    <w:p>
      <w:r>
        <w:rPr>
          <w:b w:val="0"/>
          <w:i w:val="0"/>
          <w:sz w:val="22"/>
        </w:rPr>
        <w:t>Current behaviour:</w:t>
      </w:r>
    </w:p>
    <w:p>
      <w:pPr>
        <w:pStyle w:val="ListBullet"/>
        <w:ind w:left="360"/>
      </w:pPr>
      <w:r>
        <w:rPr>
          <w:sz w:val="22"/>
        </w:rPr>
        <w:t>Training starts automatically in a background daemon thread when app.py starts (train_async() is called)</w:t>
      </w:r>
    </w:p>
    <w:p>
      <w:pPr>
        <w:pStyle w:val="ListBullet"/>
        <w:ind w:left="360"/>
      </w:pPr>
      <w:r>
        <w:rPr>
          <w:sz w:val="22"/>
        </w:rPr>
        <w:t>The web server responds immediately — training does NOT block startup</w:t>
      </w:r>
    </w:p>
    <w:p>
      <w:pPr>
        <w:pStyle w:val="ListBullet"/>
        <w:ind w:left="360"/>
      </w:pPr>
      <w:r>
        <w:rPr>
          <w:sz w:val="22"/>
        </w:rPr>
        <w:t>While training is in progress, /api/search returns K-M results only; ML suggestions are silently omitted</w:t>
      </w:r>
    </w:p>
    <w:p>
      <w:pPr>
        <w:pStyle w:val="ListBullet"/>
        <w:ind w:left="360"/>
      </w:pPr>
      <w:r>
        <w:rPr>
          <w:sz w:val="22"/>
        </w:rPr>
        <w:t>Once is_trained = True, ML suggestions are included in all subsequent searches</w:t>
      </w:r>
    </w:p>
    <w:p>
      <w:pPr>
        <w:pStyle w:val="ListBullet"/>
        <w:ind w:left="360"/>
      </w:pPr>
      <w:r>
        <w:rPr>
          <w:sz w:val="22"/>
        </w:rPr>
        <w:t>Training status and stats are exposed via GET /api/ml-status</w:t>
      </w:r>
    </w:p>
    <w:p>
      <w:r>
        <w:rPr>
          <w:b w:val="0"/>
          <w:i w:val="0"/>
          <w:sz w:val="22"/>
        </w:rPr>
        <w:br/>
        <w:t>To trigger retraining with new data:</w:t>
      </w:r>
    </w:p>
    <w:p>
      <w:pPr>
        <w:pStyle w:val="ListBullet"/>
        <w:ind w:left="360"/>
      </w:pPr>
      <w:r>
        <w:rPr>
          <w:sz w:val="22"/>
        </w:rPr>
        <w:t>Restart the Flask backend — training re-runs from all current database records</w:t>
      </w:r>
    </w:p>
    <w:p>
      <w:pPr>
        <w:pStyle w:val="ListBullet"/>
        <w:ind w:left="360"/>
      </w:pPr>
      <w:r>
        <w:rPr>
          <w:sz w:val="22"/>
        </w:rPr>
        <w:t>Any new LabResult measurements, recipes, or pigment additions are automatically picked up</w:t>
      </w:r>
    </w:p>
    <w:p>
      <w:pPr>
        <w:pStyle w:val="ListBullet"/>
        <w:ind w:left="360"/>
      </w:pPr>
      <w:r>
        <w:rPr>
          <w:sz w:val="22"/>
        </w:rPr>
        <w:t>No manual data labelling required — recipes in productrawmaterialmap are the implicit labels</w:t>
      </w:r>
    </w:p>
    <w:p/>
    <w:p>
      <w:pPr>
        <w:pStyle w:val="Heading1"/>
      </w:pPr>
      <w:r>
        <w:rPr>
          <w:color w:val="375623"/>
        </w:rPr>
        <w:t>10. End-to-End System Workflow</w:t>
      </w:r>
    </w:p>
    <w:p>
      <w:r>
        <w:rPr>
          <w:rFonts w:ascii="Courier New" w:hAnsi="Courier New"/>
          <w:sz w:val="17"/>
        </w:rPr>
        <w:t>APPLICATION STARTUP</w:t>
        <w:br/>
        <w:t>│</w:t>
        <w:br/>
        <w:t>├─ Load database (SQLite/SQLAlchemy)</w:t>
        <w:br/>
        <w:t>├─ Start ML training thread (background)</w:t>
        <w:br/>
        <w:t>│    │</w:t>
        <w:br/>
        <w:t>│    ├─ Load RawMaterials + identify TiO₂</w:t>
        <w:br/>
        <w:t>│    ├─ Load LabResults (measured LAB)</w:t>
        <w:br/>
        <w:t>│    ├─ Build corpus: (L,a,b,polymer) + recipe fractions</w:t>
        <w:br/>
        <w:t>│    │     ├─ Priority: measured LabResult</w:t>
        <w:br/>
        <w:t>│    │     └─ Fallback: K-M predicted LAB</w:t>
        <w:br/>
        <w:t>│    ├─ For each pigment ≥ MIN_SAMPLES appearances:</w:t>
        <w:br/>
        <w:t>│    │     ├─ Train RandomForestClassifier  → P(pigment | colour, polymer)</w:t>
        <w:br/>
        <w:t>│    │     └─ Train GradientBoostingRegressor → concentration</w:t>
        <w:br/>
        <w:t>│    ├─ Train TiO₂ regressor: L* → TiO₂ fraction</w:t>
        <w:br/>
        <w:t>│    └─ Set is_trained = True</w:t>
        <w:br/>
        <w:t>│</w:t>
        <w:br/>
        <w:t>└─ Flask HTTP server ready</w:t>
        <w:br/>
        <w:br/>
        <w:t>SEARCH REQUEST  (POST /api/search)</w:t>
        <w:br/>
        <w:t>│</w:t>
        <w:br/>
        <w:t>├─ Resolve colour input (LAB / RAL / Pantone / Hex)</w:t>
        <w:br/>
        <w:t>├─ Filter eligible pigments (compliance, fastness, heat)</w:t>
        <w:br/>
        <w:t>├─ K-M Engine:</w:t>
        <w:br/>
        <w:t>│    ├─ LabResult lookup → CIEDE2000 rank</w:t>
        <w:br/>
        <w:t>│    ├─ K-M recipe prediction fallback</w:t>
        <w:br/>
        <w:t>│    └─ Cross-polymer adaptation</w:t>
        <w:br/>
        <w:t>├─ ML Engine (if is_trained=True):</w:t>
        <w:br/>
        <w:t>│    ├─ Encode 12-dim feature vector</w:t>
        <w:br/>
        <w:t>│    ├─ Score all pigments via classifiers</w:t>
        <w:br/>
        <w:t>│    ├─ Predict concentrations via regressors</w:t>
        <w:br/>
        <w:t>│    ├─ Predict TiO₂ via TiO₂ regressor</w:t>
        <w:br/>
        <w:t>│    ├─ Build 1-, 2-, 3-colorant suggestions</w:t>
        <w:br/>
        <w:t>│    └─ K-M verify each suggestion → compute ΔE</w:t>
        <w:br/>
        <w:t>└─ Return JSON: exact_matches + cross_polymer + ml_suggestions</w:t>
      </w:r>
    </w:p>
    <w:p/>
    <w:p>
      <w:pPr>
        <w:jc w:val="center"/>
      </w:pPr>
      <w:r>
        <w:rPr>
          <w:b w:val="0"/>
          <w:i/>
          <w:sz w:val="18"/>
        </w:rPr>
        <w:t>Prepared by: Surya Master Batch Software System  |  Document: ML-WORKFLOW-001  |  Date: May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