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38" w:lineRule="atLeast"/>
        <w:textAlignment w:val="center"/>
      </w:pPr>
      <w:r>
        <w:rPr>
          <w:rFonts w:ascii="Georgia" w:cs="Georgia" w:eastAsia="Georgia" w:hAnsi="Georgia"/>
          <w:caps/>
          <w:color w:val="78716c"/>
          <w:spacing w:val="20"/>
          <w:sz w:val="17"/>
          <w:szCs w:val="17"/>
        </w:rPr>
        <w:t xml:space="preserve">Unaudited · Form 10-Q excerpt</w:t>
      </w:r>
    </w:p>
    <w:p>
      <w:pPr>
        <w:pStyle w:val="Heading1"/>
        <w:spacing w:after="60" w:line="546" w:lineRule="atLeast"/>
        <w:textAlignment w:val="center"/>
      </w:pPr>
      <w:r>
        <w:rPr>
          <w:rFonts w:ascii="Georgia" w:cs="Georgia" w:eastAsia="Georgia" w:hAnsi="Georgia"/>
          <w:b/>
          <w:bCs/>
          <w:color w:val="1e3a5f"/>
          <w:sz w:val="39"/>
          <w:szCs w:val="39"/>
        </w:rPr>
        <w:t xml:space="preserve">Meridian Analytics, Inc.</w:t>
      </w:r>
    </w:p>
    <w:p>
      <w:pPr>
        <w:pBdr>
          <w:bottom w:val="single" w:color="1e3a5f" w:sz="12" w:space="6"/>
        </w:pBdr>
        <w:spacing w:after="360" w:line="280" w:lineRule="atLeast"/>
        <w:textAlignment w:val="center"/>
      </w:pPr>
      <w:r>
        <w:rPr>
          <w:rFonts w:ascii="Georgia" w:cs="Georgia" w:eastAsia="Georgia" w:hAnsi="Georgia"/>
          <w:color w:val="57534e"/>
          <w:sz w:val="20"/>
          <w:szCs w:val="20"/>
        </w:rPr>
        <w:t xml:space="preserve">Condensed Balance Sheet · As of March 31 · (USD, thousands) 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Assets</w:t>
            </w:r>
          </w:p>
        </w:tc>
        <w:tc>
          <w:tcPr>
            <w:tcW w:type="dxa" w:w="180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Cash and cash equivalents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$18,420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Accounts receivable, net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$12,680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Prepaid expenses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$2,140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current assets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$33,240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Property and equipment, net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$4,890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Goodwill and intangibles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$8,200</w:t>
            </w:r>
          </w:p>
        </w:tc>
      </w:tr>
      <w:tr>
        <w:tc>
          <w:tcPr>
            <w:tcW w:type="dxa" w:w="756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assets</w:t>
            </w:r>
          </w:p>
        </w:tc>
        <w:tc>
          <w:tcPr>
            <w:tcW w:type="dxa" w:w="180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$46,330</w:t>
            </w:r>
          </w:p>
        </w:tc>
      </w:tr>
    </w:tbl>
    <w:p>
      <w:pPr>
        <w:spacing w:after="24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Liabilities &amp; stockholders' equity</w:t>
            </w:r>
          </w:p>
        </w:tc>
        <w:tc>
          <w:tcPr>
            <w:tcW w:type="dxa" w:w="1800"/>
            <w:shd w:fill="1e3a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e0f2fe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$3,820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Accrued compensation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$2,940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Deferred revenue, current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$6,180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current liabilities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$12,940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Long-term debt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Other long-term liabilities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$1,240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liabilities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$19,180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Common stock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Additional paid-in capital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$18,600</w:t>
            </w:r>
          </w:p>
        </w:tc>
      </w:tr>
      <w:tr>
        <w:tc>
          <w:tcPr>
            <w:tcW w:type="dxa" w:w="75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Retained earnings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$8,430</w:t>
            </w:r>
          </w:p>
        </w:tc>
      </w:tr>
      <w:tr>
        <w:tc>
          <w:tcPr>
            <w:tcW w:type="dxa" w:w="756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stockholders' equity</w:t>
            </w:r>
          </w:p>
        </w:tc>
        <w:tc>
          <w:tcPr>
            <w:tcW w:type="dxa" w:w="1800"/>
            <w:shd w:fill="f0f9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$27,150</w:t>
            </w:r>
          </w:p>
        </w:tc>
      </w:tr>
      <w:tr>
        <w:tc>
          <w:tcPr>
            <w:tcW w:type="dxa" w:w="756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Total liabilities &amp; equity</w:t>
            </w:r>
          </w:p>
        </w:tc>
        <w:tc>
          <w:tcPr>
            <w:tcW w:type="dxa" w:w="1800"/>
            <w:shd w:fill="e0f2fe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$46,330</w:t>
            </w:r>
          </w:p>
        </w:tc>
      </w:tr>
    </w:tbl>
    <w:p>
      <w:pPr>
        <w:spacing w:after="170" w:before="180" w:line="238" w:lineRule="atLeast"/>
        <w:textAlignment w:val="center"/>
      </w:pP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See accompanying notes. Prepared by Finance ·</w:t>
      </w: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 </w:t>
      </w:r>
      <w:hyperlink w:history="1" r:id="rIdk2hcassjasrpvonnc2uhu">
        <w:r>
          <w:rPr>
            <w:rStyle w:val="Hyperlink"/>
            <w:rFonts w:ascii="Georgia" w:cs="Georgia" w:eastAsia="Georgia" w:hAnsi="Georgia"/>
            <w:i/>
            <w:iCs/>
            <w:color w:val="1e3a5f"/>
            <w:sz w:val="17"/>
            <w:szCs w:val="17"/>
            <w:u w:val="single" w:color="1e3a5f"/>
          </w:rPr>
          <w:t xml:space="preserve">full 10-Q draft</w:t>
        </w:r>
      </w:hyperlink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.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2hcassjasrpvonnc2uhu" Type="http://schemas.openxmlformats.org/officeDocument/2006/relationships/hyperlink" Target="#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2026-07-04T12:28:05.200Z</dcterms:created>
  <dcterms:modified xsi:type="dcterms:W3CDTF">2026-07-04T12:28:05.200Z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