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2e" w:color="auto" w:val="clear"/>
            <w:tcMar>
              <w:top w:type="dxa" w:w="360"/>
              <w:left w:type="dxa" w:w="420"/>
              <w:bottom w:type="dxa" w:w="360"/>
              <w:right w:type="dxa" w:w="420"/>
            </w:tcMar>
          </w:tcPr>
          <w:p>
            <w:pPr>
              <w:spacing w:line="238" w:lineRule="atLeast"/>
              <w:jc w:val="left"/>
              <w:textAlignment w:val="center"/>
            </w:pPr>
            <w:r>
              <w:rPr>
                <w:color w:val="a8dadc"/>
                <w:sz w:val="17"/>
                <w:szCs w:val="17"/>
              </w:rPr>
              <w:t xml:space="preserve">Product launch</w:t>
            </w:r>
          </w:p>
          <w:p>
            <w:pPr>
              <w:pStyle w:val="Heading1"/>
              <w:spacing w:line="588" w:lineRule="atLeast"/>
              <w:jc w:val="left"/>
              <w:textAlignment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 xml:space="preserve">Atlas CRM 3.0</w:t>
            </w:r>
          </w:p>
          <w:p>
            <w:pPr>
              <w:spacing w:line="294" w:lineRule="atLeast"/>
              <w:jc w:val="left"/>
              <w:textAlignment w:val="center"/>
            </w:pPr>
            <w:r>
              <w:rPr>
                <w:color w:val="cbd5e1"/>
                <w:sz w:val="21"/>
                <w:szCs w:val="21"/>
              </w:rPr>
              <w:t xml:space="preserve">General availability · April 14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457b9d" w:sz="30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b/>
                <w:bCs/>
                <w:color w:val="1d3557"/>
                <w:sz w:val="21"/>
                <w:szCs w:val="21"/>
              </w:rPr>
              <w:t xml:space="preserve">North star:</w:t>
            </w:r>
            <w:r>
              <w:rPr>
                <w:color w:val="111111"/>
                <w:sz w:val="21"/>
                <w:szCs w:val="21"/>
              </w:rPr>
              <w:t xml:space="preserve"> </w:t>
            </w:r>
            <w:r>
              <w:rPr>
                <w:color w:val="334155"/>
                <w:sz w:val="21"/>
                <w:szCs w:val="21"/>
              </w:rPr>
              <w:t xml:space="preserve"> Cut time-to-first-deal by 40% for mid-market sales teams.</w:t>
            </w:r>
          </w:p>
        </w:tc>
      </w:tr>
    </w:tbl>
    <w:p>
      <w:pPr>
        <w:spacing w:after="120" w:before="180" w:line="252" w:lineRule="atLeast"/>
        <w:jc w:val="left"/>
        <w:textAlignment w:val="center"/>
      </w:pPr>
      <w:r>
        <w:rPr>
          <w:b/>
          <w:bCs/>
          <w:color w:val="1d3557"/>
          <w:sz w:val="18"/>
          <w:szCs w:val="18"/>
        </w:rPr>
        <w:t xml:space="preserve">Launch KPIs</w:t>
      </w:r>
      <w:r>
        <w:rPr>
          <w:color w:val="1d3557"/>
          <w:sz w:val="18"/>
          <w:szCs w:val="18"/>
        </w:rPr>
        <w:t xml:space="preserve"> </w:t>
      </w:r>
      <w:r>
        <w:rPr>
          <w:color w:val="1d3557"/>
          <w:sz w:val="18"/>
          <w:szCs w:val="18"/>
        </w:rPr>
        <w:t xml:space="preserve">· target 90 days</w:t>
      </w:r>
    </w:p>
    <w:tbl>
      <w:tblPr>
        <w:tblW w:type="dxa" w:w="936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  <w:tblLayout w:type="fixed"/>
      </w:tblPr>
      <w:tblGrid>
        <w:gridCol w:w="6325"/>
        <w:gridCol w:w="3035"/>
      </w:tblGrid>
      <w:tr>
        <w:tc>
          <w:tcPr>
            <w:tcW w:type="dxa" w:w="6325"/>
            <w:tcBorders>
              <w:bottom w:val="single" w:color="dbeafe" w:sz="6"/>
            </w:tcBorders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35"/>
            <w:tcBorders>
              <w:bottom w:val="single" w:color="dbeafe" w:sz="6"/>
            </w:tcBorders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632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Activations</w:t>
            </w:r>
          </w:p>
        </w:tc>
        <w:tc>
          <w:tcPr>
            <w:tcW w:type="dxa" w:w="303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12,000</w:t>
            </w:r>
          </w:p>
        </w:tc>
      </w:tr>
      <w:tr>
        <w:tc>
          <w:tcPr>
            <w:tcW w:type="dxa" w:w="632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Week-4 retention</w:t>
            </w:r>
          </w:p>
        </w:tc>
        <w:tc>
          <w:tcPr>
            <w:tcW w:type="dxa" w:w="303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68%</w:t>
            </w:r>
          </w:p>
        </w:tc>
      </w:tr>
      <w:tr>
        <w:tc>
          <w:tcPr>
            <w:tcW w:type="dxa" w:w="632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NPS</w:t>
            </w:r>
          </w:p>
        </w:tc>
        <w:tc>
          <w:tcPr>
            <w:tcW w:type="dxa" w:w="3035"/>
            <w:tcBorders>
              <w:bottom w:val="single" w:color="dbeafe" w:sz="6"/>
            </w:tcBorders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4.6</w:t>
            </w:r>
          </w:p>
        </w:tc>
      </w:tr>
    </w:tbl>
    <w:p>
      <w:pPr>
        <w:pStyle w:val="Heading2"/>
        <w:spacing w:line="448" w:lineRule="atLeast"/>
        <w:jc w:val="left"/>
        <w:textAlignment w:val="center"/>
      </w:pPr>
      <w:r>
        <w:rPr>
          <w:b/>
          <w:bCs/>
          <w:color w:val="1d3557"/>
          <w:sz w:val="32"/>
          <w:szCs w:val="32"/>
        </w:rPr>
        <w:t xml:space="preserve">Activation funnel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3120"/>
        <w:gridCol w:w="2475"/>
        <w:gridCol w:w="3765"/>
      </w:tblGrid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Stage</w:t>
            </w:r>
          </w:p>
        </w:tc>
        <w:tc>
          <w:tcPr>
            <w:tcW w:type="dxa" w:w="247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Count</w:t>
            </w:r>
          </w:p>
        </w:tc>
        <w:tc>
          <w:tcPr>
            <w:tcW w:type="dxa" w:w="376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Conversion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Signup</w:t>
            </w:r>
          </w:p>
        </w:tc>
        <w:tc>
          <w:tcPr>
            <w:tcW w:type="dxa" w:w="247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12,400</w:t>
            </w:r>
          </w:p>
        </w:tc>
        <w:tc>
          <w:tcPr>
            <w:tcW w:type="dxa" w:w="376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Trial</w:t>
            </w:r>
          </w:p>
        </w:tc>
        <w:tc>
          <w:tcPr>
            <w:tcW w:type="dxa" w:w="247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9,800</w:t>
            </w:r>
          </w:p>
        </w:tc>
        <w:tc>
          <w:tcPr>
            <w:tcW w:type="dxa" w:w="376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79%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Qualified</w:t>
            </w:r>
          </w:p>
        </w:tc>
        <w:tc>
          <w:tcPr>
            <w:tcW w:type="dxa" w:w="247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6,200</w:t>
            </w:r>
          </w:p>
        </w:tc>
        <w:tc>
          <w:tcPr>
            <w:tcW w:type="dxa" w:w="376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Closed</w:t>
            </w:r>
          </w:p>
        </w:tc>
        <w:tc>
          <w:tcPr>
            <w:tcW w:type="dxa" w:w="247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3,100</w:t>
            </w:r>
          </w:p>
        </w:tc>
        <w:tc>
          <w:tcPr>
            <w:tcW w:type="dxa" w:w="376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25%</w:t>
            </w:r>
          </w:p>
        </w:tc>
      </w:tr>
    </w:tbl>
    <w:p>
      <w:pPr>
        <w:pStyle w:val="Heading2"/>
        <w:spacing w:line="448" w:lineRule="atLeast"/>
        <w:jc w:val="left"/>
        <w:textAlignment w:val="center"/>
      </w:pPr>
      <w:r>
        <w:rPr>
          <w:b/>
          <w:bCs/>
          <w:color w:val="1d3557"/>
          <w:sz w:val="32"/>
          <w:szCs w:val="32"/>
        </w:rPr>
        <w:t xml:space="preserve">Roadmap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14532d"/>
          <w:sz w:val="17"/>
          <w:szCs w:val="17"/>
          <w:shd w:fill="BBF7D0" w:color="auto" w:val="clear"/>
        </w:rPr>
        <w:t xml:space="preserve">SHIPPED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Pipeline AI summaries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92400e"/>
          <w:sz w:val="17"/>
          <w:szCs w:val="17"/>
          <w:shd w:fill="FDE68A" w:color="auto" w:val="clear"/>
        </w:rPr>
        <w:t xml:space="preserve">BUILDING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Mobile offline mode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57534e"/>
          <w:sz w:val="17"/>
          <w:szCs w:val="17"/>
          <w:shd w:fill="E7E5E4" w:color="auto" w:val="clear"/>
        </w:rPr>
        <w:t xml:space="preserve">PLANNED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Enterprise SSO &amp; audit log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95" w:before="195" w:line="280" w:lineRule="atLeast"/>
        <w:jc w:val="left"/>
        <w:textAlignment w:val="center"/>
      </w:pPr>
      <w:r>
        <w:rPr>
          <w:color w:val="1d3557"/>
          <w:sz w:val="20"/>
          <w:szCs w:val="20"/>
        </w:rPr>
        <w:t xml:space="preserve">Owner: </w:t>
      </w:r>
      <w:r>
        <w:rPr>
          <w:b/>
          <w:bCs/>
          <w:color w:val="1d3557"/>
          <w:sz w:val="20"/>
          <w:szCs w:val="20"/>
        </w:rPr>
        <w:t xml:space="preserve">Jordan Lee</w:t>
      </w:r>
      <w:r>
        <w:rPr>
          <w:color w:val="1d3557"/>
          <w:sz w:val="20"/>
          <w:szCs w:val="20"/>
        </w:rPr>
        <w:t xml:space="preserve"> </w:t>
      </w:r>
      <w:r>
        <w:rPr>
          <w:color w:val="1d3557"/>
          <w:sz w:val="20"/>
          <w:szCs w:val="20"/>
        </w:rPr>
        <w:t xml:space="preserve">·</w:t>
      </w:r>
      <w:r>
        <w:rPr>
          <w:color w:val="1d3557"/>
          <w:sz w:val="20"/>
          <w:szCs w:val="20"/>
        </w:rPr>
        <w:t xml:space="preserve"> </w:t>
      </w:r>
      <w:hyperlink w:history="1" r:id="rIdzh0ue8zgjcrq8nydmhi6i">
        <w:r>
          <w:rPr>
            <w:rStyle w:val="Hyperlink"/>
            <w:color w:val="457b9d"/>
            <w:sz w:val="20"/>
            <w:szCs w:val="20"/>
            <w:u w:val="single" w:color="457b9d"/>
          </w:rPr>
          <w:t xml:space="preserve">launch@example.com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0ue8zgjcrq8nydmhi6i" Type="http://schemas.openxmlformats.org/officeDocument/2006/relationships/hyperlink" Target="mailto:launch@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2026-07-04T12:27:28.636Z</dcterms:created>
  <dcterms:modified xsi:type="dcterms:W3CDTF">2026-07-04T12:27:28.636Z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