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38" w:lineRule="atLeast"/>
        <w:textAlignment w:val="center"/>
      </w:pPr>
      <w:r>
        <w:rPr>
          <w:rFonts w:ascii="Georgia" w:cs="Georgia" w:eastAsia="Georgia" w:hAnsi="Georgia"/>
          <w:caps/>
          <w:color w:val="78716c"/>
          <w:spacing w:val="20"/>
          <w:sz w:val="17"/>
          <w:szCs w:val="17"/>
        </w:rPr>
        <w:t xml:space="preserve">Audited · Form 10-Q excerpt</w:t>
      </w:r>
    </w:p>
    <w:p>
      <w:pPr>
        <w:pStyle w:val="Heading1"/>
        <w:spacing w:after="60" w:line="546" w:lineRule="atLeast"/>
        <w:textAlignment w:val="center"/>
      </w:pPr>
      <w:r>
        <w:rPr>
          <w:rFonts w:ascii="Georgia" w:cs="Georgia" w:eastAsia="Georgia" w:hAnsi="Georgia"/>
          <w:b/>
          <w:bCs/>
          <w:color w:val="14532d"/>
          <w:sz w:val="39"/>
          <w:szCs w:val="39"/>
        </w:rPr>
        <w:t xml:space="preserve">Meridian Analytics, Inc.</w:t>
      </w:r>
    </w:p>
    <w:p>
      <w:pPr>
        <w:pBdr>
          <w:bottom w:val="single" w:color="ca8a04" w:sz="12" w:space="6"/>
        </w:pBdr>
        <w:spacing w:after="360" w:line="280" w:lineRule="atLeast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Condensed Income Statement · Quarter ended March 31, 2026 · (USD, thousands) 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4125"/>
        <w:gridCol w:w="1856"/>
        <w:gridCol w:w="1856"/>
        <w:gridCol w:w="1523"/>
      </w:tblGrid>
      <w:tr>
        <w:tc>
          <w:tcPr>
            <w:tcW w:type="dxa" w:w="4125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Line item</w:t>
            </w:r>
          </w:p>
        </w:tc>
        <w:tc>
          <w:tcPr>
            <w:tcW w:type="dxa" w:w="1856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Q1 2026</w:t>
            </w:r>
          </w:p>
        </w:tc>
        <w:tc>
          <w:tcPr>
            <w:tcW w:type="dxa" w:w="1856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Q1 2025</w:t>
            </w:r>
          </w:p>
        </w:tc>
        <w:tc>
          <w:tcPr>
            <w:tcW w:type="dxa" w:w="1523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YoY 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Revenue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$48,320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$41,180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5803d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Cost of revenue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($14,896)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($13,574)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+9.7%</w:t>
            </w:r>
          </w:p>
        </w:tc>
      </w:tr>
      <w:tr>
        <w:tc>
          <w:tcPr>
            <w:tcW w:type="dxa" w:w="4125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$33,424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$27,606</w:t>
            </w:r>
          </w:p>
        </w:tc>
        <w:tc>
          <w:tcPr>
            <w:tcW w:type="dxa" w:w="1523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+21.1%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($9,664)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($8,236)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Research &amp; development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($7,248)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($6,177)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General &amp; administrative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($4,832)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($4,118)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Operating income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$11,680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$9,075</w:t>
            </w:r>
          </w:p>
        </w:tc>
        <w:tc>
          <w:tcPr>
            <w:tcW w:type="dxa" w:w="1523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+28.7%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Interest &amp; other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($412)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($388)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11111"/>
                <w:sz w:val="20"/>
                <w:szCs w:val="20"/>
              </w:rPr>
              <w:t xml:space="preserve">+6.2%</w:t>
            </w:r>
          </w:p>
        </w:tc>
      </w:tr>
      <w:tr>
        <w:tc>
          <w:tcPr>
            <w:tcW w:type="dxa" w:w="4125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Net income</w:t>
            </w:r>
          </w:p>
        </w:tc>
        <w:tc>
          <w:tcPr>
            <w:tcW w:type="dxa" w:w="1856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$11,268</w:t>
            </w:r>
          </w:p>
        </w:tc>
        <w:tc>
          <w:tcPr>
            <w:tcW w:type="dxa" w:w="1856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11111"/>
                <w:sz w:val="20"/>
                <w:szCs w:val="20"/>
              </w:rPr>
              <w:t xml:space="preserve">$8,687</w:t>
            </w:r>
          </w:p>
        </w:tc>
        <w:tc>
          <w:tcPr>
            <w:tcW w:type="dxa" w:w="1523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5803d"/>
                <w:sz w:val="20"/>
                <w:szCs w:val="20"/>
              </w:rPr>
              <w:t xml:space="preserve">+29.7%</w:t>
            </w:r>
          </w:p>
        </w:tc>
      </w:tr>
    </w:tbl>
    <w:p>
      <w:pPr>
        <w:spacing w:after="170" w:before="180" w:line="238" w:lineRule="atLeast"/>
        <w:textAlignment w:val="center"/>
      </w:pP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Non-GAAP adjustments excluded. Prepared by Finance ·</w:t>
      </w: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 </w:t>
      </w:r>
      <w:hyperlink w:history="1" r:id="rIdkbmq7pgiobuvx_gwzxfsl">
        <w:r>
          <w:rPr>
            <w:rStyle w:val="Hyperlink"/>
            <w:rFonts w:ascii="Georgia" w:cs="Georgia" w:eastAsia="Georgia" w:hAnsi="Georgia"/>
            <w:i/>
            <w:iCs/>
            <w:color w:val="14532d"/>
            <w:sz w:val="17"/>
            <w:szCs w:val="17"/>
            <w:u w:val="single" w:color="14532d"/>
          </w:rPr>
          <w:t xml:space="preserve">full 10-Q draft</w:t>
        </w:r>
      </w:hyperlink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.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bmq7pgiobuvx_gwzxfsl" Type="http://schemas.openxmlformats.org/officeDocument/2006/relationships/hyperlink" Target="#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2026-07-04T12:27:21.496Z</dcterms:created>
  <dcterms:modified xsi:type="dcterms:W3CDTF">2026-07-04T12:27:21.497Z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