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line="238" w:lineRule="atLeast"/>
        <w:jc w:val="center"/>
        <w:textAlignment w:val="center"/>
      </w:pPr>
      <w:r>
        <w:rPr>
          <w:rFonts w:ascii="Georgia" w:cs="Georgia" w:eastAsia="Georgia" w:hAnsi="Georgia"/>
          <w:caps/>
          <w:color w:val="78716c"/>
          <w:spacing w:val="24"/>
          <w:sz w:val="17"/>
          <w:szCs w:val="17"/>
        </w:rPr>
        <w:t xml:space="preserve">Master subscription agreement</w:t>
      </w:r>
    </w:p>
    <w:p>
      <w:pPr>
        <w:pStyle w:val="Heading1"/>
        <w:spacing w:after="60" w:line="462" w:lineRule="atLeast"/>
        <w:jc w:val="center"/>
        <w:textAlignment w:val="center"/>
      </w:pPr>
      <w:r>
        <w:rPr>
          <w:rFonts w:ascii="Georgia" w:cs="Georgia" w:eastAsia="Georgia" w:hAnsi="Georgia"/>
          <w:b/>
          <w:bCs/>
          <w:color w:val="292524"/>
          <w:sz w:val="33"/>
          <w:szCs w:val="33"/>
        </w:rPr>
        <w:t xml:space="preserve">Software Subscription Agreement</w:t>
      </w:r>
    </w:p>
    <w:p>
      <w:pPr>
        <w:pBdr>
          <w:bottom w:val="single" w:color="d6d3d1" w:sz="6" w:space="11"/>
        </w:pBdr>
        <w:spacing w:after="510" w:line="280" w:lineRule="atLeast"/>
        <w:jc w:val="center"/>
        <w:textAlignment w:val="center"/>
      </w:pPr>
      <w:r>
        <w:rPr>
          <w:rFonts w:ascii="Georgia" w:cs="Georgia" w:eastAsia="Georgia" w:hAnsi="Georgia"/>
          <w:color w:val="57534e"/>
          <w:sz w:val="20"/>
          <w:szCs w:val="20"/>
        </w:rPr>
        <w:t xml:space="preserve">Effective as of April 1 · Atlas CRM Enterprise </w:t>
      </w:r>
    </w:p>
    <w:p>
      <w:pPr>
        <w:spacing w:after="240" w:line="294" w:lineRule="atLeast"/>
        <w:textAlignment w:val="center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This Software Subscription Agreement ("Agreement") is entered into by and between </w:t>
      </w: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Meridian Analytics, Inc.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("Provider"), a Delaware corporation with offices at 1200 Market Street, San Francisco, CA, and </w:t>
      </w: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Northwind Traders LLC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("Customer"), with its principal place of business at 88 Harbor Way, Boston, MA. </w:t>
      </w:r>
    </w:p>
    <w:p>
      <w:pPr>
        <w:pStyle w:val="Heading2"/>
        <w:spacing w:after="120" w:before="300" w:line="322" w:lineRule="atLeast"/>
        <w:textAlignment w:val="center"/>
      </w:pPr>
      <w:r>
        <w:rPr>
          <w:rFonts w:ascii="Georgia" w:cs="Georgia" w:eastAsia="Georgia" w:hAnsi="Georgia"/>
          <w:b/>
          <w:bCs/>
          <w:color w:val="44403c"/>
          <w:sz w:val="23"/>
          <w:szCs w:val="23"/>
        </w:rPr>
        <w:t xml:space="preserve">1. Subscription &amp; access</w:t>
      </w:r>
    </w:p>
    <w:p>
      <w:pPr>
        <w:spacing w:after="180" w:line="294" w:lineRule="atLeast"/>
        <w:textAlignment w:val="center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Provider grants Customer a non-exclusive, non-transferable right to access the Atlas CRM platform for up to </w:t>
      </w: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250 named users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during the Initial Term. Customer may not sublicense, reverse engineer, or use the service to build a competing product. </w:t>
      </w:r>
    </w:p>
    <w:p>
      <w:pPr>
        <w:pStyle w:val="Heading2"/>
        <w:spacing w:after="120" w:before="300" w:line="322" w:lineRule="atLeast"/>
        <w:textAlignment w:val="center"/>
      </w:pPr>
      <w:r>
        <w:rPr>
          <w:rFonts w:ascii="Georgia" w:cs="Georgia" w:eastAsia="Georgia" w:hAnsi="Georgia"/>
          <w:b/>
          <w:bCs/>
          <w:color w:val="44403c"/>
          <w:sz w:val="23"/>
          <w:szCs w:val="23"/>
        </w:rPr>
        <w:t xml:space="preserve">2. Fees &amp; payment</w:t>
      </w:r>
    </w:p>
    <w:tbl>
      <w:tblPr>
        <w:tblW w:type="pct" w:w="100%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5958"/>
        <w:gridCol w:w="3402"/>
      </w:tblGrid>
      <w:tr>
        <w:tc>
          <w:tcPr>
            <w:tcW w:type="dxa" w:w="5958"/>
            <w:shd w:fill="44403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fafaf9"/>
                <w:sz w:val="20"/>
                <w:szCs w:val="20"/>
              </w:rPr>
              <w:t xml:space="preserve">Item</w:t>
            </w:r>
          </w:p>
        </w:tc>
        <w:tc>
          <w:tcPr>
            <w:tcW w:type="dxa" w:w="3402"/>
            <w:shd w:fill="44403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afaf9"/>
                <w:sz w:val="20"/>
                <w:szCs w:val="20"/>
              </w:rPr>
              <w:t xml:space="preserve">Annual fee (USD)</w:t>
            </w:r>
          </w:p>
        </w:tc>
      </w:tr>
      <w:tr>
        <w:tc>
          <w:tcPr>
            <w:tcW w:type="dxa" w:w="5958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Atlas CRM Enterprise — 250 seats</w:t>
            </w:r>
          </w:p>
        </w:tc>
        <w:tc>
          <w:tcPr>
            <w:tcW w:type="dxa" w:w="340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$186,000</w:t>
            </w:r>
          </w:p>
        </w:tc>
      </w:tr>
      <w:tr>
        <w:tc>
          <w:tcPr>
            <w:tcW w:type="dxa" w:w="5958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Premium support (24×5)</w:t>
            </w:r>
          </w:p>
        </w:tc>
        <w:tc>
          <w:tcPr>
            <w:tcW w:type="dxa" w:w="340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$24,000</w:t>
            </w:r>
          </w:p>
        </w:tc>
      </w:tr>
      <w:tr>
        <w:tc>
          <w:tcPr>
            <w:tcW w:type="dxa" w:w="5958"/>
            <w:shd w:fill="f5f5f4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Total annual fee</w:t>
            </w:r>
          </w:p>
        </w:tc>
        <w:tc>
          <w:tcPr>
            <w:tcW w:type="dxa" w:w="3402"/>
            <w:shd w:fill="f5f5f4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$210,000</w:t>
            </w:r>
          </w:p>
        </w:tc>
      </w:tr>
    </w:tbl>
    <w:p>
      <w:pPr>
        <w:spacing w:after="180" w:before="0" w:line="20" w:lineRule="exact"/>
      </w:pPr>
      <w:r>
        <w:rPr>
          <w:sz w:val="21"/>
          <w:szCs w:val="21"/>
        </w:rPr>
        <w:t xml:space="preserve"/>
      </w:r>
    </w:p>
    <w:p>
      <w:pPr>
        <w:spacing w:after="180" w:line="294" w:lineRule="atLeast"/>
        <w:textAlignment w:val="center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Fees are invoiced annually in advance, due </w:t>
      </w: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Net 30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. Late payments accrue interest at 1.5% per month. Customer is responsible for applicable sales and use taxes. </w:t>
      </w:r>
    </w:p>
    <w:p>
      <w:pPr>
        <w:pStyle w:val="Heading2"/>
        <w:spacing w:after="120" w:before="300" w:line="322" w:lineRule="atLeast"/>
        <w:textAlignment w:val="center"/>
      </w:pPr>
      <w:r>
        <w:rPr>
          <w:rFonts w:ascii="Georgia" w:cs="Georgia" w:eastAsia="Georgia" w:hAnsi="Georgia"/>
          <w:b/>
          <w:bCs/>
          <w:color w:val="44403c"/>
          <w:sz w:val="23"/>
          <w:szCs w:val="23"/>
        </w:rPr>
        <w:t xml:space="preserve">3. Term &amp; termination</w:t>
      </w:r>
    </w:p>
    <w:p>
      <w:pPr>
        <w:spacing w:after="180" w:line="294" w:lineRule="atLeast"/>
        <w:textAlignment w:val="center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The Initial Term is </w:t>
      </w: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twelve (12) months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, auto-renewing for successive one-year periods unless either party gives written notice at least </w:t>
      </w: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sixty (60) days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before renewal. Either party may terminate for material breach uncured within thirty (30) days of notice. </w:t>
      </w:r>
    </w:p>
    <w:p>
      <w:pPr>
        <w:pStyle w:val="Heading2"/>
        <w:spacing w:after="120" w:before="300" w:line="322" w:lineRule="atLeast"/>
        <w:textAlignment w:val="center"/>
      </w:pPr>
      <w:r>
        <w:rPr>
          <w:rFonts w:ascii="Georgia" w:cs="Georgia" w:eastAsia="Georgia" w:hAnsi="Georgia"/>
          <w:b/>
          <w:bCs/>
          <w:color w:val="44403c"/>
          <w:sz w:val="23"/>
          <w:szCs w:val="23"/>
        </w:rPr>
        <w:t xml:space="preserve">4. Confidentiality &amp; data</w:t>
      </w:r>
    </w:p>
    <w:p>
      <w:pPr>
        <w:spacing w:after="180" w:line="294" w:lineRule="atLeast"/>
        <w:textAlignment w:val="center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Each party shall protect the other's Confidential Information with reasonable care. Provider processes Customer data solely to deliver the service and maintains SOC 2 Type II controls. Upon termination, Provider will delete Customer data within ninety (90) days unless retention is required by law. </w:t>
      </w:r>
    </w:p>
    <w:p>
      <w:pPr>
        <w:pStyle w:val="Heading2"/>
        <w:spacing w:after="120" w:before="300" w:line="322" w:lineRule="atLeast"/>
        <w:textAlignment w:val="center"/>
      </w:pPr>
      <w:r>
        <w:rPr>
          <w:rFonts w:ascii="Georgia" w:cs="Georgia" w:eastAsia="Georgia" w:hAnsi="Georgia"/>
          <w:b/>
          <w:bCs/>
          <w:color w:val="44403c"/>
          <w:sz w:val="23"/>
          <w:szCs w:val="23"/>
        </w:rPr>
        <w:t xml:space="preserve">5. Limitation of liability</w:t>
      </w:r>
    </w:p>
    <w:p>
      <w:pPr>
        <w:spacing w:after="300" w:line="294" w:lineRule="atLeast"/>
        <w:textAlignment w:val="center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Except for breaches of confidentiality or indemnification obligations, neither party's aggregate liability shall exceed fees paid in the </w:t>
      </w: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twelve (12) months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 </w:t>
      </w:r>
      <w:r>
        <w:rPr>
          <w:rFonts w:ascii="Georgia" w:cs="Georgia" w:eastAsia="Georgia" w:hAnsi="Georgia"/>
          <w:color w:val="111111"/>
          <w:sz w:val="21"/>
          <w:szCs w:val="21"/>
        </w:rPr>
        <w:t xml:space="preserve">preceding the claim. Neither party is liable for indirect, incidental, or consequential damages. </w:t>
      </w:r>
    </w:p>
    <w:p>
      <w:pPr>
        <w:spacing w:after="42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single" w:color="FFFFFF" w:sz="12"/>
          <w:left w:val="single" w:color="FFFFFF" w:sz="12"/>
          <w:bottom w:val="single" w:color="FFFFFF" w:sz="12"/>
          <w:right w:val="single" w:color="FFFFFF" w:sz="12"/>
          <w:insideH w:val="single" w:color="FFFFFF" w:sz="12"/>
          <w:insideV w:val="single" w:color="FFFFFF" w:sz="12"/>
        </w:tblBorders>
        <w:tblLayout w:type="fixed"/>
      </w:tblPr>
      <w:tblGrid>
        <w:gridCol w:w="4493"/>
        <w:gridCol w:w="374"/>
        <w:gridCol w:w="4493"/>
      </w:tblGrid>
      <w:tr>
        <w:tc>
          <w:tcPr>
            <w:tcW w:type="dxa" w:w="4493"/>
            <w:tcBorders>
              <w:top w:val="single" w:color="1c1917" w:sz="6"/>
            </w:tcBorders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Meridian Analytics, Inc.</w:t>
            </w:r>
          </w:p>
          <w:p>
            <w:pPr>
              <w:spacing w:after="0" w:before="120" w:line="280" w:lineRule="exact"/>
            </w:pPr>
            <w:r>
              <w:rPr>
                <w:rFonts w:ascii="Georgia" w:cs="Georgia" w:eastAsia="Georgia" w:hAnsi="Georgia"/>
                <w:color w:val="78716c"/>
                <w:sz w:val="20"/>
                <w:szCs w:val="20"/>
              </w:rPr>
              <w:t xml:space="preserve">By: _________________________</w:t>
            </w:r>
          </w:p>
          <w:p>
            <w:pPr>
              <w:spacing w:after="0" w:before="60" w:line="280" w:lineRule="exact"/>
            </w:pPr>
            <w:r>
              <w:rPr>
                <w:rFonts w:ascii="Georgia" w:cs="Georgia" w:eastAsia="Georgia" w:hAnsi="Georgia"/>
                <w:color w:val="78716c"/>
                <w:sz w:val="20"/>
                <w:szCs w:val="20"/>
              </w:rPr>
              <w:t xml:space="preserve">Name: Jordan Lee, VP Sales</w:t>
            </w:r>
          </w:p>
          <w:p>
            <w:pPr>
              <w:spacing w:after="0" w:before="60" w:line="280" w:lineRule="exact"/>
            </w:pPr>
            <w:r>
              <w:rPr>
                <w:rFonts w:ascii="Georgia" w:cs="Georgia" w:eastAsia="Georgia" w:hAnsi="Georgia"/>
                <w:color w:val="78716c"/>
                <w:sz w:val="20"/>
                <w:szCs w:val="20"/>
              </w:rPr>
              <w:t xml:space="preserve">Date: _________________________</w:t>
            </w:r>
          </w:p>
        </w:tc>
        <w:tc>
          <w:tcPr>
            <w:tcW w:type="dxa" w:w="374"/>
          </w:tcPr>
          <w:p>
            <w:pPr>
              <w:spacing w:after="0" w:before="0" w:line="280" w:lineRule="exact"/>
            </w:pPr>
            <w:r>
              <w:t xml:space="preserve"/>
            </w:r>
          </w:p>
        </w:tc>
        <w:tc>
          <w:tcPr>
            <w:tcW w:type="dxa" w:w="4493"/>
            <w:tcBorders>
              <w:top w:val="single" w:color="1c1917" w:sz="6"/>
            </w:tcBorders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Northwind Traders LLC</w:t>
            </w:r>
          </w:p>
          <w:p>
            <w:pPr>
              <w:spacing w:after="0" w:before="120" w:line="280" w:lineRule="exact"/>
            </w:pPr>
            <w:r>
              <w:rPr>
                <w:rFonts w:ascii="Georgia" w:cs="Georgia" w:eastAsia="Georgia" w:hAnsi="Georgia"/>
                <w:color w:val="78716c"/>
                <w:sz w:val="20"/>
                <w:szCs w:val="20"/>
              </w:rPr>
              <w:t xml:space="preserve">By: _________________________</w:t>
            </w:r>
          </w:p>
          <w:p>
            <w:pPr>
              <w:spacing w:after="0" w:before="60" w:line="280" w:lineRule="exact"/>
            </w:pPr>
            <w:r>
              <w:rPr>
                <w:rFonts w:ascii="Georgia" w:cs="Georgia" w:eastAsia="Georgia" w:hAnsi="Georgia"/>
                <w:color w:val="78716c"/>
                <w:sz w:val="20"/>
                <w:szCs w:val="20"/>
              </w:rPr>
              <w:t xml:space="preserve">Name: _________________________</w:t>
            </w:r>
          </w:p>
          <w:p>
            <w:pPr>
              <w:spacing w:after="0" w:before="60" w:line="280" w:lineRule="exact"/>
            </w:pPr>
            <w:r>
              <w:rPr>
                <w:rFonts w:ascii="Georgia" w:cs="Georgia" w:eastAsia="Georgia" w:hAnsi="Georgia"/>
                <w:color w:val="78716c"/>
                <w:sz w:val="20"/>
                <w:szCs w:val="20"/>
              </w:rPr>
              <w:t xml:space="preserve">Date: _________________________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2026-07-04T12:28:14.611Z</dcterms:created>
  <dcterms:modified xsi:type="dcterms:W3CDTF">2026-07-04T12:28:14.611Z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