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bookmarkStart w:id="0" w:name="_GoBack"/>
      <w:bookmarkEnd w:id="0"/>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au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7B" w:rsidRDefault="00A6747B">
      <w:r>
        <w:separator/>
      </w:r>
    </w:p>
  </w:endnote>
  <w:endnote w:type="continuationSeparator" w:id="0">
    <w:p w:rsidR="00A6747B" w:rsidRDefault="00A6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832C82">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832C82">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7B" w:rsidRDefault="00A6747B">
      <w:r>
        <w:separator/>
      </w:r>
    </w:p>
  </w:footnote>
  <w:footnote w:type="continuationSeparator" w:id="0">
    <w:p w:rsidR="00A6747B" w:rsidRDefault="00A67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6747B"/>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51</TotalTime>
  <Pages>6</Pages>
  <Words>2059</Words>
  <Characters>11327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9</cp:revision>
  <cp:lastPrinted>2020-10-02T16:43:00Z</cp:lastPrinted>
  <dcterms:created xsi:type="dcterms:W3CDTF">2025-05-07T15:01:00Z</dcterms:created>
  <dcterms:modified xsi:type="dcterms:W3CDTF">2025-05-12T14:05:00Z</dcterms:modified>
</cp:coreProperties>
</file>