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3563B" w14:textId="5CE009E0" w:rsidR="000469C2" w:rsidRPr="000469C2" w:rsidRDefault="00000000" w:rsidP="000469C2">
      <w:pPr>
        <w:pStyle w:val="Title"/>
      </w:pPr>
      <w:r>
        <w:t>Requirements and tests</w:t>
      </w:r>
    </w:p>
    <w:p w14:paraId="69779A95" w14:textId="2B2EA3F9" w:rsidR="000469C2" w:rsidRPr="000469C2" w:rsidRDefault="000469C2" w:rsidP="000469C2">
      <w:r>
        <w:t xml:space="preserve">A legend is available in </w:t>
      </w:r>
      <w:r>
        <w:fldChar w:fldCharType="begin"/>
      </w:r>
      <w:r>
        <w:instrText xml:space="preserve"> REF _Ref177295083 \h </w:instrText>
      </w:r>
      <w:r>
        <w:fldChar w:fldCharType="separate"/>
      </w:r>
      <w:r>
        <w:t xml:space="preserve">Table </w:t>
      </w:r>
      <w:r>
        <w:rPr>
          <w:noProof/>
        </w:rPr>
        <w:t>2</w:t>
      </w:r>
      <w:r>
        <w:fldChar w:fldCharType="end"/>
      </w:r>
      <w:r>
        <w:t xml:space="preserve"> describing the reference number syntaxes for each section.</w:t>
      </w:r>
    </w:p>
    <w:p w14:paraId="12733F7B" w14:textId="27CE2CE9" w:rsidR="000469C2" w:rsidRPr="000469C2" w:rsidRDefault="000469C2" w:rsidP="000469C2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Requirement Specifications, related tests, and pass/fail criteria for the prototyping stage of Petal radio and AVAlink.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0469C2" w14:paraId="58D88942" w14:textId="77777777" w:rsidTr="00046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701990C3" w14:textId="59914425" w:rsidR="000469C2" w:rsidRDefault="000469C2" w:rsidP="000469C2">
            <w:r w:rsidRPr="000469C2">
              <w:t>Reference Number</w:t>
            </w:r>
          </w:p>
        </w:tc>
        <w:tc>
          <w:tcPr>
            <w:tcW w:w="3237" w:type="dxa"/>
          </w:tcPr>
          <w:p w14:paraId="1FD38AC5" w14:textId="34F022A6" w:rsidR="000469C2" w:rsidRDefault="000469C2" w:rsidP="00046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69C2">
              <w:t>Requirement</w:t>
            </w:r>
          </w:p>
        </w:tc>
        <w:tc>
          <w:tcPr>
            <w:tcW w:w="3238" w:type="dxa"/>
          </w:tcPr>
          <w:p w14:paraId="117F59D9" w14:textId="7B6E0C20" w:rsidR="000469C2" w:rsidRDefault="000469C2" w:rsidP="00046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69C2">
              <w:t>Test</w:t>
            </w:r>
          </w:p>
        </w:tc>
        <w:tc>
          <w:tcPr>
            <w:tcW w:w="3238" w:type="dxa"/>
          </w:tcPr>
          <w:p w14:paraId="5DA688BC" w14:textId="47D40EF3" w:rsidR="000469C2" w:rsidRDefault="000469C2" w:rsidP="00046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69C2">
              <w:t>Pass/Fail Criteria</w:t>
            </w:r>
          </w:p>
        </w:tc>
      </w:tr>
      <w:tr w:rsidR="000469C2" w14:paraId="2E003B8A" w14:textId="77777777" w:rsidTr="00046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06169793" w14:textId="7F7B3BAB" w:rsidR="000469C2" w:rsidRDefault="000469C2" w:rsidP="000469C2">
            <w:r>
              <w:t>1-SW</w:t>
            </w:r>
          </w:p>
        </w:tc>
        <w:tc>
          <w:tcPr>
            <w:tcW w:w="3237" w:type="dxa"/>
          </w:tcPr>
          <w:p w14:paraId="2BC199C7" w14:textId="2C179AE2" w:rsidR="000469C2" w:rsidRDefault="000469C2" w:rsidP="00046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 – The user interface MUST be accessible through a modern web browser without the need for a separate application.</w:t>
            </w:r>
          </w:p>
        </w:tc>
        <w:tc>
          <w:tcPr>
            <w:tcW w:w="3238" w:type="dxa"/>
          </w:tcPr>
          <w:p w14:paraId="037AEA7A" w14:textId="77777777" w:rsidR="000469C2" w:rsidRDefault="000469C2" w:rsidP="00046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T1.0 – Connect a smartphone with a modern browser to the node and scan the web server QR code.</w:t>
            </w:r>
          </w:p>
          <w:p w14:paraId="3D3523B0" w14:textId="1AEB9657" w:rsidR="000469C2" w:rsidRDefault="000469C2" w:rsidP="00046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T1.1 – Connect a PC to the node and navigate to the web server page.</w:t>
            </w:r>
          </w:p>
        </w:tc>
        <w:tc>
          <w:tcPr>
            <w:tcW w:w="3238" w:type="dxa"/>
          </w:tcPr>
          <w:p w14:paraId="66C63DEB" w14:textId="77777777" w:rsidR="000469C2" w:rsidRDefault="000469C2" w:rsidP="00046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C1.0 – UI is rendered and readable on a mobile device.</w:t>
            </w:r>
          </w:p>
          <w:p w14:paraId="3AA6D9D9" w14:textId="65F66601" w:rsidR="000469C2" w:rsidRDefault="000469C2" w:rsidP="00046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C1.1 – UI is rendered and readable on a PC.</w:t>
            </w:r>
          </w:p>
        </w:tc>
      </w:tr>
      <w:tr w:rsidR="000469C2" w14:paraId="5BC4647B" w14:textId="77777777" w:rsidTr="00046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2D5EADD5" w14:textId="184FA870" w:rsidR="000469C2" w:rsidRDefault="000469C2" w:rsidP="000469C2">
            <w:r>
              <w:t>2-SW</w:t>
            </w:r>
          </w:p>
        </w:tc>
        <w:tc>
          <w:tcPr>
            <w:tcW w:w="3237" w:type="dxa"/>
          </w:tcPr>
          <w:p w14:paraId="2304FCE0" w14:textId="77777777" w:rsidR="000469C2" w:rsidRDefault="000469C2" w:rsidP="00046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 – Users MUST be able to send LoRa packets using the web interface</w:t>
            </w:r>
            <w:r w:rsidR="0094487F">
              <w:t xml:space="preserve"> to a public forum-like chat that can be viewed from another node.</w:t>
            </w:r>
          </w:p>
          <w:p w14:paraId="243F930E" w14:textId="530ABAEC" w:rsidR="0094487F" w:rsidRDefault="0094487F" w:rsidP="00046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 – Users can send chats between specific nodes that are not publicly visible to all nodes.</w:t>
            </w:r>
          </w:p>
        </w:tc>
        <w:tc>
          <w:tcPr>
            <w:tcW w:w="3238" w:type="dxa"/>
          </w:tcPr>
          <w:p w14:paraId="35F94F49" w14:textId="239F1991" w:rsidR="000469C2" w:rsidRDefault="000469C2" w:rsidP="00046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 – Send a message using the UI to another node</w:t>
            </w:r>
          </w:p>
        </w:tc>
        <w:tc>
          <w:tcPr>
            <w:tcW w:w="3238" w:type="dxa"/>
          </w:tcPr>
          <w:p w14:paraId="46E17FB2" w14:textId="77777777" w:rsidR="000469C2" w:rsidRDefault="000469C2" w:rsidP="00046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C1 – The sent message is shown on </w:t>
            </w:r>
            <w:r w:rsidR="0094487F">
              <w:t>all other devices’ UIs.</w:t>
            </w:r>
          </w:p>
          <w:p w14:paraId="38637D22" w14:textId="37C56DF1" w:rsidR="0094487F" w:rsidRDefault="0094487F" w:rsidP="00046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FC1 – The sent message is only viewable on the intended receiver’s UI.</w:t>
            </w:r>
          </w:p>
        </w:tc>
      </w:tr>
      <w:tr w:rsidR="000469C2" w14:paraId="6DD62605" w14:textId="77777777" w:rsidTr="00046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464789E4" w14:textId="4B7D8C72" w:rsidR="000469C2" w:rsidRDefault="000469C2" w:rsidP="000469C2">
            <w:r>
              <w:t>3-SW</w:t>
            </w:r>
          </w:p>
        </w:tc>
        <w:tc>
          <w:tcPr>
            <w:tcW w:w="3237" w:type="dxa"/>
          </w:tcPr>
          <w:p w14:paraId="4181DC2D" w14:textId="4B255D7E" w:rsidR="0094487F" w:rsidRDefault="000469C2" w:rsidP="00046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 – Chats on UI must have a username or device identifier and a timestamp of when the message was sent.</w:t>
            </w:r>
          </w:p>
        </w:tc>
        <w:tc>
          <w:tcPr>
            <w:tcW w:w="3238" w:type="dxa"/>
          </w:tcPr>
          <w:p w14:paraId="2DE876DA" w14:textId="313909AA" w:rsidR="000469C2" w:rsidRDefault="000469C2" w:rsidP="00046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T1 – Send chat messages from multiple devices over the UI</w:t>
            </w:r>
          </w:p>
        </w:tc>
        <w:tc>
          <w:tcPr>
            <w:tcW w:w="3238" w:type="dxa"/>
          </w:tcPr>
          <w:p w14:paraId="4A244E21" w14:textId="07209AFD" w:rsidR="000469C2" w:rsidRDefault="000469C2" w:rsidP="00046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 – The UI renders chat history with usernames in chronological order according to message timestamp</w:t>
            </w:r>
          </w:p>
        </w:tc>
      </w:tr>
      <w:tr w:rsidR="000469C2" w14:paraId="7E0B6D13" w14:textId="77777777" w:rsidTr="00046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4B2BB961" w14:textId="17647255" w:rsidR="000469C2" w:rsidRDefault="000469C2" w:rsidP="000469C2">
            <w:r>
              <w:t>4-SW</w:t>
            </w:r>
          </w:p>
        </w:tc>
        <w:tc>
          <w:tcPr>
            <w:tcW w:w="3237" w:type="dxa"/>
          </w:tcPr>
          <w:p w14:paraId="4FEE107C" w14:textId="7B67EAA8" w:rsidR="000469C2" w:rsidRDefault="000469C2" w:rsidP="00944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 – The repeater node MUST monitor battery voltage and disconnect when dropping below the low voltage threshold.</w:t>
            </w:r>
            <w:r w:rsidR="0094487F">
              <w:t xml:space="preserve"> The</w:t>
            </w:r>
            <w:r>
              <w:t xml:space="preserve"> repeater node </w:t>
            </w:r>
            <w:proofErr w:type="gramStart"/>
            <w:r>
              <w:t>low-voltage</w:t>
            </w:r>
            <w:proofErr w:type="gramEnd"/>
            <w:r>
              <w:t xml:space="preserve"> disconnect MUST implement </w:t>
            </w:r>
            <w:r>
              <w:lastRenderedPageBreak/>
              <w:t>hysteresis to prevent power cycling.</w:t>
            </w:r>
          </w:p>
          <w:p w14:paraId="67738F9C" w14:textId="7AFB5284" w:rsidR="000469C2" w:rsidRDefault="000469C2" w:rsidP="00046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 – The repeater SHOULD indicate to the rest of the mesh network that it is powering down.</w:t>
            </w:r>
          </w:p>
        </w:tc>
        <w:tc>
          <w:tcPr>
            <w:tcW w:w="3238" w:type="dxa"/>
          </w:tcPr>
          <w:p w14:paraId="5759378D" w14:textId="7B6A2D61" w:rsidR="000469C2" w:rsidRDefault="000469C2" w:rsidP="00046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T1 – Supply voltage to the node with a variable power supply and document which voltages result in disconnect and reconnect. The node voltage monitor will be compared to that of the power </w:t>
            </w:r>
            <w:r>
              <w:lastRenderedPageBreak/>
              <w:t xml:space="preserve">supply and measured with an external meter. </w:t>
            </w:r>
          </w:p>
        </w:tc>
        <w:tc>
          <w:tcPr>
            <w:tcW w:w="3238" w:type="dxa"/>
          </w:tcPr>
          <w:p w14:paraId="335BEBF5" w14:textId="77777777" w:rsidR="000469C2" w:rsidRDefault="000469C2" w:rsidP="00046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C1.0 – The reported battery voltage is accurate within 3%. </w:t>
            </w:r>
          </w:p>
          <w:p w14:paraId="6877EA72" w14:textId="77777777" w:rsidR="000469C2" w:rsidRDefault="000469C2" w:rsidP="00046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C1.1 – The load disconnects when the battery voltage drops below the low voltage threshold and turns back on when the </w:t>
            </w:r>
            <w:r>
              <w:lastRenderedPageBreak/>
              <w:t>battery charges above threshold voltage. The implemented hysteresis prevents power cycling of the device.</w:t>
            </w:r>
          </w:p>
          <w:p w14:paraId="14B4FAEF" w14:textId="5B6A0C73" w:rsidR="000469C2" w:rsidRDefault="000469C2" w:rsidP="00046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FC1 – Before the low-voltage disconnect, the device transmits an alert that it is powering down.</w:t>
            </w:r>
          </w:p>
        </w:tc>
      </w:tr>
      <w:tr w:rsidR="000469C2" w14:paraId="04171614" w14:textId="77777777" w:rsidTr="00046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34165AA5" w14:textId="04B6A68E" w:rsidR="000469C2" w:rsidRDefault="000469C2" w:rsidP="000469C2">
            <w:r>
              <w:lastRenderedPageBreak/>
              <w:t>5-SW</w:t>
            </w:r>
          </w:p>
        </w:tc>
        <w:tc>
          <w:tcPr>
            <w:tcW w:w="3237" w:type="dxa"/>
          </w:tcPr>
          <w:p w14:paraId="58A044E1" w14:textId="6E204C48" w:rsidR="000469C2" w:rsidRDefault="000469C2" w:rsidP="00046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 – The software MUST implement a collision avoidance or multiple access protocol that deals with the hidden-node problem</w:t>
            </w:r>
          </w:p>
        </w:tc>
        <w:tc>
          <w:tcPr>
            <w:tcW w:w="3238" w:type="dxa"/>
          </w:tcPr>
          <w:p w14:paraId="177F5CE2" w14:textId="0E6C8D58" w:rsidR="000469C2" w:rsidRDefault="000469C2" w:rsidP="00046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T1 – Transmit a LoRa packet from two devices to a single receiver at the same time without a connection between the two senders to coordinate between them</w:t>
            </w:r>
          </w:p>
        </w:tc>
        <w:tc>
          <w:tcPr>
            <w:tcW w:w="3238" w:type="dxa"/>
          </w:tcPr>
          <w:p w14:paraId="75771C37" w14:textId="77777777" w:rsidR="000469C2" w:rsidRDefault="000469C2" w:rsidP="00046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C1.0 – Neither message is lost, or corrupted.</w:t>
            </w:r>
          </w:p>
          <w:p w14:paraId="0C1B0838" w14:textId="75827379" w:rsidR="000469C2" w:rsidRDefault="000469C2" w:rsidP="00046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C1.1 – Messages are displayed in the UI in the correct order based on their timestamp</w:t>
            </w:r>
          </w:p>
        </w:tc>
      </w:tr>
      <w:tr w:rsidR="000469C2" w14:paraId="5E34F0BE" w14:textId="77777777" w:rsidTr="00046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6C40E5FF" w14:textId="30049BAA" w:rsidR="000469C2" w:rsidRDefault="000469C2" w:rsidP="000469C2">
            <w:r>
              <w:t>6-HW</w:t>
            </w:r>
          </w:p>
        </w:tc>
        <w:tc>
          <w:tcPr>
            <w:tcW w:w="3237" w:type="dxa"/>
          </w:tcPr>
          <w:p w14:paraId="10C448D2" w14:textId="3BD49F27" w:rsidR="000469C2" w:rsidRDefault="000469C2" w:rsidP="00046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 –  MUST Design and order a PCB</w:t>
            </w:r>
          </w:p>
        </w:tc>
        <w:tc>
          <w:tcPr>
            <w:tcW w:w="3238" w:type="dxa"/>
          </w:tcPr>
          <w:p w14:paraId="552A6A64" w14:textId="2894CEC9" w:rsidR="000469C2" w:rsidRDefault="000469C2" w:rsidP="00046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 – Before each revision is submitted for manufacturing, it will be subject to an internal review by the group and an external review by the Capstone Committee.</w:t>
            </w:r>
          </w:p>
        </w:tc>
        <w:tc>
          <w:tcPr>
            <w:tcW w:w="3238" w:type="dxa"/>
          </w:tcPr>
          <w:p w14:paraId="0ECE172B" w14:textId="77777777" w:rsidR="000469C2" w:rsidRDefault="000469C2" w:rsidP="00046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  <w:r w:rsidR="0094487F">
              <w:t>.0</w:t>
            </w:r>
            <w:r>
              <w:t xml:space="preserve"> – The PCB design passes an internal review process and review from the Capstone Committee.</w:t>
            </w:r>
          </w:p>
          <w:p w14:paraId="574070D1" w14:textId="1E8CFBCF" w:rsidR="0094487F" w:rsidRDefault="0094487F" w:rsidP="00046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C1.1 – Each revision passes our hardware testing suite.</w:t>
            </w:r>
          </w:p>
        </w:tc>
      </w:tr>
      <w:tr w:rsidR="000469C2" w14:paraId="3450D384" w14:textId="77777777" w:rsidTr="00046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433CD2F4" w14:textId="1BCF384F" w:rsidR="000469C2" w:rsidRDefault="000469C2" w:rsidP="000469C2">
            <w:r>
              <w:t>7-HW</w:t>
            </w:r>
          </w:p>
        </w:tc>
        <w:tc>
          <w:tcPr>
            <w:tcW w:w="3237" w:type="dxa"/>
          </w:tcPr>
          <w:p w14:paraId="77B001DE" w14:textId="77777777" w:rsidR="000469C2" w:rsidRDefault="000469C2" w:rsidP="00046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 – MUST have a bespoke enclosure.</w:t>
            </w:r>
          </w:p>
          <w:p w14:paraId="0F75B216" w14:textId="36449351" w:rsidR="000469C2" w:rsidRDefault="000469C2" w:rsidP="00046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F1 – SHOULD be protected against rain and moisture ingress</w:t>
            </w:r>
          </w:p>
        </w:tc>
        <w:tc>
          <w:tcPr>
            <w:tcW w:w="3238" w:type="dxa"/>
          </w:tcPr>
          <w:p w14:paraId="44AB296C" w14:textId="246B26D7" w:rsidR="000469C2" w:rsidRDefault="000469C2" w:rsidP="00046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T1</w:t>
            </w:r>
            <w:r w:rsidR="0094487F">
              <w:t>.0</w:t>
            </w:r>
            <w:r>
              <w:t xml:space="preserve"> – The enclosure will be inspected by professors.</w:t>
            </w:r>
          </w:p>
          <w:p w14:paraId="18BEFE9E" w14:textId="77777777" w:rsidR="000469C2" w:rsidRDefault="000469C2" w:rsidP="00046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94487F">
              <w:t>1.1</w:t>
            </w:r>
            <w:r>
              <w:t xml:space="preserve"> – Third-party parts like cable glands are IPX4 certified.</w:t>
            </w:r>
          </w:p>
          <w:p w14:paraId="313DA87F" w14:textId="0BC691B5" w:rsidR="0094487F" w:rsidRDefault="0094487F" w:rsidP="00046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FT1 – The enclosure is subjected to the standard IPX4 test</w:t>
            </w:r>
          </w:p>
        </w:tc>
        <w:tc>
          <w:tcPr>
            <w:tcW w:w="3238" w:type="dxa"/>
          </w:tcPr>
          <w:p w14:paraId="50415389" w14:textId="6A7706EE" w:rsidR="000469C2" w:rsidRDefault="000469C2" w:rsidP="00046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94487F">
              <w:t>1</w:t>
            </w:r>
            <w:r>
              <w:t xml:space="preserve"> – All materials have IPX4 or greater certification from reputable lab</w:t>
            </w:r>
          </w:p>
          <w:p w14:paraId="2575D3F3" w14:textId="37ADA9E3" w:rsidR="0094487F" w:rsidRDefault="0094487F" w:rsidP="00046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FC1 – No water ingress is present after the IPX4 test.</w:t>
            </w:r>
          </w:p>
        </w:tc>
      </w:tr>
      <w:tr w:rsidR="000469C2" w14:paraId="3B64BDD7" w14:textId="77777777" w:rsidTr="00046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07100759" w14:textId="22D3B45A" w:rsidR="000469C2" w:rsidRDefault="000469C2" w:rsidP="000469C2">
            <w:r>
              <w:t>8-HW</w:t>
            </w:r>
          </w:p>
        </w:tc>
        <w:tc>
          <w:tcPr>
            <w:tcW w:w="3237" w:type="dxa"/>
          </w:tcPr>
          <w:p w14:paraId="0CF69B7B" w14:textId="2EBAB2F8" w:rsidR="000469C2" w:rsidRDefault="000469C2" w:rsidP="00046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 – Voltage regulator MUST effectively provide the required 3.3V to the hardware for a range of typical battery voltages.</w:t>
            </w:r>
          </w:p>
        </w:tc>
        <w:tc>
          <w:tcPr>
            <w:tcW w:w="3238" w:type="dxa"/>
          </w:tcPr>
          <w:p w14:paraId="6BB76F5C" w14:textId="1C1E1762" w:rsidR="000469C2" w:rsidRDefault="000469C2" w:rsidP="00046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 –</w:t>
            </w:r>
            <w:r w:rsidR="0094487F">
              <w:t xml:space="preserve"> Sweep the input </w:t>
            </w:r>
            <w:r>
              <w:t>voltage</w:t>
            </w:r>
            <w:r w:rsidR="0094487F">
              <w:t xml:space="preserve"> across the range defined by the regulator datasheet </w:t>
            </w:r>
            <w:r>
              <w:t>and measure the voltage regulator output</w:t>
            </w:r>
            <w:r w:rsidR="0094487F">
              <w:t xml:space="preserve"> while it is loaded with the expected full load current the PCB requires.</w:t>
            </w:r>
          </w:p>
        </w:tc>
        <w:tc>
          <w:tcPr>
            <w:tcW w:w="3238" w:type="dxa"/>
          </w:tcPr>
          <w:p w14:paraId="009889F0" w14:textId="312FE27B" w:rsidR="000469C2" w:rsidRDefault="000469C2" w:rsidP="00046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C1.1 – The hardware receives a stable 3.3V +/- 0.1V out across the range of test voltages</w:t>
            </w:r>
            <w:r w:rsidR="0094487F">
              <w:t xml:space="preserve"> while under the expected load.</w:t>
            </w:r>
          </w:p>
          <w:p w14:paraId="773806AB" w14:textId="5AD39211" w:rsidR="000469C2" w:rsidRDefault="000469C2" w:rsidP="00046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C1.2 – The </w:t>
            </w:r>
            <w:r w:rsidR="0094487F">
              <w:t>regulator operates as expected according to the manufacturer’s</w:t>
            </w:r>
            <w:r>
              <w:t xml:space="preserve"> datasheet.</w:t>
            </w:r>
          </w:p>
        </w:tc>
      </w:tr>
      <w:tr w:rsidR="000469C2" w14:paraId="313CA42A" w14:textId="77777777" w:rsidTr="00046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42FCDC70" w14:textId="7E72AA1C" w:rsidR="000469C2" w:rsidRDefault="000469C2" w:rsidP="000469C2">
            <w:r>
              <w:lastRenderedPageBreak/>
              <w:t>9-HW</w:t>
            </w:r>
          </w:p>
        </w:tc>
        <w:tc>
          <w:tcPr>
            <w:tcW w:w="3237" w:type="dxa"/>
          </w:tcPr>
          <w:p w14:paraId="79A17FC3" w14:textId="0FF4DF9F" w:rsidR="000469C2" w:rsidRDefault="000469C2" w:rsidP="00046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 – MUST provide recommendations for sizing batteries and solar panels based on expected insolation.</w:t>
            </w:r>
          </w:p>
        </w:tc>
        <w:tc>
          <w:tcPr>
            <w:tcW w:w="3238" w:type="dxa"/>
          </w:tcPr>
          <w:p w14:paraId="43AF5C31" w14:textId="0165D985" w:rsidR="000469C2" w:rsidRDefault="000469C2" w:rsidP="00046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T1 – Use recommendations to size solar and battery power for a mock installation at Camosun College using insolation data for that location.</w:t>
            </w:r>
          </w:p>
        </w:tc>
        <w:tc>
          <w:tcPr>
            <w:tcW w:w="3238" w:type="dxa"/>
          </w:tcPr>
          <w:p w14:paraId="3970A37C" w14:textId="3B567EBC" w:rsidR="000469C2" w:rsidRDefault="000469C2" w:rsidP="00046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C1 - Recommended panel wattages and battery Ah meet or exceed node requirements as calculated by our power audit (datasheet specifications, duty cycle, solar insolation modeling)</w:t>
            </w:r>
          </w:p>
        </w:tc>
      </w:tr>
      <w:tr w:rsidR="000469C2" w14:paraId="75D83374" w14:textId="77777777" w:rsidTr="00046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3673FB89" w14:textId="023AF08A" w:rsidR="000469C2" w:rsidRDefault="000469C2" w:rsidP="000469C2">
            <w:r>
              <w:t>10-HW</w:t>
            </w:r>
          </w:p>
        </w:tc>
        <w:tc>
          <w:tcPr>
            <w:tcW w:w="3237" w:type="dxa"/>
          </w:tcPr>
          <w:p w14:paraId="1A8580A7" w14:textId="37F0A73C" w:rsidR="000469C2" w:rsidRDefault="0094487F" w:rsidP="00046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 – A</w:t>
            </w:r>
            <w:r w:rsidR="000469C2">
              <w:t xml:space="preserve">ntennas MUST be well matched to the driving </w:t>
            </w:r>
            <w:r>
              <w:t>h</w:t>
            </w:r>
            <w:r w:rsidR="000469C2">
              <w:t xml:space="preserve">ardware </w:t>
            </w:r>
          </w:p>
        </w:tc>
        <w:tc>
          <w:tcPr>
            <w:tcW w:w="3238" w:type="dxa"/>
          </w:tcPr>
          <w:p w14:paraId="0048CDB7" w14:textId="2CCF0358" w:rsidR="000469C2" w:rsidRDefault="0094487F" w:rsidP="00046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T1 – </w:t>
            </w:r>
            <w:r w:rsidR="000469C2">
              <w:t>SWR/Impedance testing of antenna and source using VNA (may require tuning to meet these requirements)</w:t>
            </w:r>
          </w:p>
          <w:p w14:paraId="0EA53DE5" w14:textId="77777777" w:rsidR="000469C2" w:rsidRDefault="000469C2" w:rsidP="00046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8" w:type="dxa"/>
          </w:tcPr>
          <w:p w14:paraId="744428A5" w14:textId="3DEB9292" w:rsidR="000469C2" w:rsidRDefault="0094487F" w:rsidP="00046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C1 – </w:t>
            </w:r>
            <w:r w:rsidR="000469C2">
              <w:t>Source impedance is matched to antenna so that VSWR &lt; 2 and return loss &lt; -10 dB</w:t>
            </w:r>
          </w:p>
        </w:tc>
      </w:tr>
      <w:tr w:rsidR="000469C2" w14:paraId="032E508A" w14:textId="77777777" w:rsidTr="00046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0095D1D4" w14:textId="22D47EB0" w:rsidR="000469C2" w:rsidRDefault="000469C2" w:rsidP="000469C2">
            <w:r>
              <w:t>11-HW</w:t>
            </w:r>
          </w:p>
        </w:tc>
        <w:tc>
          <w:tcPr>
            <w:tcW w:w="3237" w:type="dxa"/>
          </w:tcPr>
          <w:p w14:paraId="4D0CD8C7" w14:textId="14028A9E" w:rsidR="000469C2" w:rsidRDefault="000469C2" w:rsidP="00046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R1 – </w:t>
            </w:r>
            <w:r w:rsidR="0094487F">
              <w:t>Prototype n</w:t>
            </w:r>
            <w:r>
              <w:t>odes MUST incorporate an accessible user button at access points for users to initiate the web server.</w:t>
            </w:r>
          </w:p>
          <w:p w14:paraId="0E9F58AF" w14:textId="00E53149" w:rsidR="000469C2" w:rsidRDefault="000469C2" w:rsidP="00046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 – The Wi-Fi access point MUST time-out after 5 minutes of inactivity to save power.</w:t>
            </w:r>
          </w:p>
        </w:tc>
        <w:tc>
          <w:tcPr>
            <w:tcW w:w="3238" w:type="dxa"/>
          </w:tcPr>
          <w:p w14:paraId="584E2746" w14:textId="77777777" w:rsidR="000469C2" w:rsidRDefault="000469C2" w:rsidP="00046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T1 – Check that the Wi-Fi access point is powered down. Press the user button to initiate the Wi-Fi access point. </w:t>
            </w:r>
          </w:p>
          <w:p w14:paraId="1219DA90" w14:textId="49457C2F" w:rsidR="000469C2" w:rsidRDefault="000469C2" w:rsidP="00046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T2 – Leave the access point for 5 minutes without activity.</w:t>
            </w:r>
          </w:p>
        </w:tc>
        <w:tc>
          <w:tcPr>
            <w:tcW w:w="3238" w:type="dxa"/>
          </w:tcPr>
          <w:p w14:paraId="09BA0346" w14:textId="77777777" w:rsidR="000469C2" w:rsidRDefault="000469C2" w:rsidP="00046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 – The Wi-Fi access point is available after pressing the user button.</w:t>
            </w:r>
          </w:p>
          <w:p w14:paraId="04E29301" w14:textId="401C52FF" w:rsidR="000469C2" w:rsidRDefault="000469C2" w:rsidP="00046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C2 – The Wi-Fi access point is disabled after 5 minutes of inactivity.</w:t>
            </w:r>
          </w:p>
        </w:tc>
      </w:tr>
      <w:tr w:rsidR="000469C2" w14:paraId="1A5FBBD4" w14:textId="77777777" w:rsidTr="00046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1333A73F" w14:textId="65B583D0" w:rsidR="000469C2" w:rsidRDefault="000469C2" w:rsidP="000469C2">
            <w:r>
              <w:t>12- SW</w:t>
            </w:r>
          </w:p>
        </w:tc>
        <w:tc>
          <w:tcPr>
            <w:tcW w:w="3237" w:type="dxa"/>
          </w:tcPr>
          <w:p w14:paraId="7F8EAD8E" w14:textId="77777777" w:rsidR="000469C2" w:rsidRDefault="000469C2" w:rsidP="00046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 – The firmware has multiple modes:</w:t>
            </w:r>
          </w:p>
          <w:p w14:paraId="1FA52F7A" w14:textId="3DD0C045" w:rsidR="000469C2" w:rsidRDefault="000469C2" w:rsidP="00046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9C2">
              <w:t>Passive</w:t>
            </w:r>
            <w:r w:rsidR="0094487F">
              <w:t>:</w:t>
            </w:r>
            <w:r>
              <w:t xml:space="preserve"> </w:t>
            </w:r>
            <w:r w:rsidR="0094487F">
              <w:t>T</w:t>
            </w:r>
            <w:r>
              <w:t>he MPU is sleeping and listening for new messages. It will act as a repeater.</w:t>
            </w:r>
          </w:p>
          <w:p w14:paraId="1F1B1DC9" w14:textId="77777777" w:rsidR="000469C2" w:rsidRDefault="000469C2" w:rsidP="00046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9C2">
              <w:t>Message Available</w:t>
            </w:r>
            <w:r>
              <w:t>: The MPU is in passive mode, but it has saved new messages for the next user to view</w:t>
            </w:r>
          </w:p>
          <w:p w14:paraId="6E525FEA" w14:textId="5BBCAC5C" w:rsidR="000469C2" w:rsidRDefault="000469C2" w:rsidP="00046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9C2">
              <w:t>Active</w:t>
            </w:r>
            <w:r>
              <w:t xml:space="preserve">: The MPU is powered up and advertising the Wi-Fi access point while continuing to act as a LoRa </w:t>
            </w:r>
            <w:r w:rsidR="0094487F">
              <w:t xml:space="preserve">mesh </w:t>
            </w:r>
            <w:r>
              <w:t>node.</w:t>
            </w:r>
          </w:p>
          <w:p w14:paraId="570CA815" w14:textId="1162F88E" w:rsidR="0094487F" w:rsidRPr="00357EB1" w:rsidRDefault="000469C2" w:rsidP="00046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9C2">
              <w:lastRenderedPageBreak/>
              <w:t>Low-Power:</w:t>
            </w:r>
            <w:r>
              <w:t xml:space="preserve"> The low voltage disconnect has taken the node offline until the battery can be recharged.</w:t>
            </w:r>
          </w:p>
          <w:p w14:paraId="41B8EA7E" w14:textId="5BCF087A" w:rsidR="000469C2" w:rsidRDefault="000469C2" w:rsidP="00046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F1 – An RGB LED indicates the state the hardware is in with different colours (Passive, </w:t>
            </w:r>
            <w:r w:rsidR="0094487F">
              <w:t>M</w:t>
            </w:r>
            <w:r>
              <w:t>essage Available, Active, Waiting, Low battery)</w:t>
            </w:r>
            <w:r w:rsidR="0094487F">
              <w:t>.</w:t>
            </w:r>
          </w:p>
          <w:p w14:paraId="3FA3E551" w14:textId="2CBD1727" w:rsidR="0094487F" w:rsidRDefault="0094487F" w:rsidP="00046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F2 – An SOS mode that activates across the entire network. It connects directly to emergency services, minimizes network latency at the expense of power efficiency, and disables the low voltage disconnect.</w:t>
            </w:r>
          </w:p>
        </w:tc>
        <w:tc>
          <w:tcPr>
            <w:tcW w:w="3238" w:type="dxa"/>
          </w:tcPr>
          <w:p w14:paraId="19A8CDD1" w14:textId="77777777" w:rsidR="000469C2" w:rsidRDefault="000469C2" w:rsidP="00046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T1.0 &amp; FT1.0 – Send a message from an Active node to a Passive node.</w:t>
            </w:r>
          </w:p>
          <w:p w14:paraId="7BEC81D8" w14:textId="77777777" w:rsidR="000469C2" w:rsidRDefault="000469C2" w:rsidP="00046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T1.1  – Receive a message repeated by a Passive node.</w:t>
            </w:r>
          </w:p>
          <w:p w14:paraId="3B3E4124" w14:textId="77777777" w:rsidR="000469C2" w:rsidRDefault="000469C2" w:rsidP="00046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T1.2 – Test the current draw in passive mode.</w:t>
            </w:r>
          </w:p>
          <w:p w14:paraId="0DA12E91" w14:textId="5E55DDB7" w:rsidR="000469C2" w:rsidRDefault="000469C2" w:rsidP="00046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FT1.1 – Input a voltage lower than the low-voltage disconnect but larger than the minimum voltage required by the linear voltage regulator.</w:t>
            </w:r>
          </w:p>
        </w:tc>
        <w:tc>
          <w:tcPr>
            <w:tcW w:w="3238" w:type="dxa"/>
          </w:tcPr>
          <w:p w14:paraId="1F2794F1" w14:textId="77777777" w:rsidR="000469C2" w:rsidRDefault="000469C2" w:rsidP="00046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C1.0 – The message is available when the Passive node is powered up later.</w:t>
            </w:r>
          </w:p>
          <w:p w14:paraId="4C89A4C3" w14:textId="77777777" w:rsidR="000469C2" w:rsidRDefault="000469C2" w:rsidP="00046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C1.1 – The message is received at the active node.</w:t>
            </w:r>
          </w:p>
          <w:p w14:paraId="5782A40E" w14:textId="77777777" w:rsidR="000469C2" w:rsidRDefault="000469C2" w:rsidP="00046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C1.2 – The current draw in passive mode is less than the current draw in active mode.</w:t>
            </w:r>
          </w:p>
          <w:p w14:paraId="49DC9769" w14:textId="77777777" w:rsidR="000469C2" w:rsidRDefault="000469C2" w:rsidP="00046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FC1.0 – The LED indicates a New Message state.</w:t>
            </w:r>
          </w:p>
          <w:p w14:paraId="7B8437DB" w14:textId="2EA96752" w:rsidR="000469C2" w:rsidRDefault="000469C2" w:rsidP="00046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FC1.1 – The LED indicates low voltage.</w:t>
            </w:r>
          </w:p>
        </w:tc>
      </w:tr>
    </w:tbl>
    <w:p w14:paraId="4F7AF804" w14:textId="77777777" w:rsidR="000469C2" w:rsidRPr="000469C2" w:rsidRDefault="000469C2" w:rsidP="000469C2"/>
    <w:p w14:paraId="43D0651F" w14:textId="6636BFE6" w:rsidR="00015C86" w:rsidRDefault="00015C86" w:rsidP="00015C86">
      <w:pPr>
        <w:pStyle w:val="Heading2"/>
      </w:pPr>
      <w:r>
        <w:t>Legend</w:t>
      </w:r>
    </w:p>
    <w:p w14:paraId="1DD2D517" w14:textId="206AB0F7" w:rsidR="00015C86" w:rsidRPr="00015C86" w:rsidRDefault="00015C86" w:rsidP="00015C86">
      <w:pPr>
        <w:pStyle w:val="Caption"/>
      </w:pPr>
      <w:bookmarkStart w:id="0" w:name="_Ref17729508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469C2">
        <w:rPr>
          <w:noProof/>
        </w:rPr>
        <w:t>2</w:t>
      </w:r>
      <w:r>
        <w:fldChar w:fldCharType="end"/>
      </w:r>
      <w:bookmarkEnd w:id="0"/>
      <w:r>
        <w:t>: A legend describing the syntax used for the reference numbers.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015C86" w14:paraId="5C646EF6" w14:textId="77777777" w:rsidTr="00046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426FADFD" w14:textId="44B1C1B4" w:rsidR="00015C86" w:rsidRDefault="00015C86">
            <w:r>
              <w:t>Reference Number</w:t>
            </w:r>
          </w:p>
        </w:tc>
        <w:tc>
          <w:tcPr>
            <w:tcW w:w="3237" w:type="dxa"/>
          </w:tcPr>
          <w:p w14:paraId="51729242" w14:textId="629E286E" w:rsidR="00015C86" w:rsidRDefault="00015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3238" w:type="dxa"/>
          </w:tcPr>
          <w:p w14:paraId="3361D587" w14:textId="07070699" w:rsidR="00015C86" w:rsidRDefault="00015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</w:tc>
        <w:tc>
          <w:tcPr>
            <w:tcW w:w="3238" w:type="dxa"/>
          </w:tcPr>
          <w:p w14:paraId="4B4976EE" w14:textId="330748E2" w:rsidR="00015C86" w:rsidRDefault="00015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 Criteria</w:t>
            </w:r>
          </w:p>
        </w:tc>
      </w:tr>
      <w:tr w:rsidR="00015C86" w14:paraId="7FD3470B" w14:textId="77777777" w:rsidTr="00046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5A5FF79D" w14:textId="1EE64C4F" w:rsidR="00015C86" w:rsidRPr="0094487F" w:rsidRDefault="00015C86">
            <w:pPr>
              <w:rPr>
                <w:b w:val="0"/>
                <w:bCs w:val="0"/>
                <w:i/>
                <w:iCs/>
                <w:u w:val="single"/>
              </w:rPr>
            </w:pPr>
            <w:r w:rsidRPr="0094487F">
              <w:rPr>
                <w:b w:val="0"/>
                <w:bCs w:val="0"/>
                <w:i/>
                <w:iCs/>
                <w:u w:val="single"/>
              </w:rPr>
              <w:t>#-(ID):</w:t>
            </w:r>
          </w:p>
          <w:p w14:paraId="318E3B15" w14:textId="77777777" w:rsidR="00015C86" w:rsidRPr="0094487F" w:rsidRDefault="00015C86">
            <w:pPr>
              <w:rPr>
                <w:b w:val="0"/>
                <w:bCs w:val="0"/>
                <w:i/>
                <w:iCs/>
              </w:rPr>
            </w:pPr>
            <w:r w:rsidRPr="0094487F">
              <w:rPr>
                <w:b w:val="0"/>
                <w:bCs w:val="0"/>
                <w:i/>
                <w:iCs/>
              </w:rPr>
              <w:t>HW: Indicates a hardware requirement</w:t>
            </w:r>
          </w:p>
          <w:p w14:paraId="48F779EE" w14:textId="56031D77" w:rsidR="00015C86" w:rsidRPr="00015C86" w:rsidRDefault="00015C86">
            <w:r w:rsidRPr="0094487F">
              <w:rPr>
                <w:b w:val="0"/>
                <w:bCs w:val="0"/>
                <w:i/>
                <w:iCs/>
              </w:rPr>
              <w:t>SW: Indicates a software requirement</w:t>
            </w:r>
          </w:p>
        </w:tc>
        <w:tc>
          <w:tcPr>
            <w:tcW w:w="3237" w:type="dxa"/>
          </w:tcPr>
          <w:p w14:paraId="18808ED1" w14:textId="77777777" w:rsidR="00015C86" w:rsidRDefault="0001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015C86">
              <w:rPr>
                <w:i/>
                <w:iCs/>
                <w:u w:val="single"/>
              </w:rPr>
              <w:t>R#</w:t>
            </w:r>
            <w:r w:rsidRPr="00015C86">
              <w:rPr>
                <w:u w:val="single"/>
              </w:rPr>
              <w:t xml:space="preserve">: </w:t>
            </w:r>
          </w:p>
          <w:p w14:paraId="42D5A6A9" w14:textId="77777777" w:rsidR="00015C86" w:rsidRDefault="0001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requirement, something the component MUST have, followed by an identification number that begins at 0.</w:t>
            </w:r>
          </w:p>
          <w:p w14:paraId="08940B70" w14:textId="77777777" w:rsidR="00015C86" w:rsidRDefault="0001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  <w:u w:val="single"/>
              </w:rPr>
              <w:t>F#:</w:t>
            </w:r>
          </w:p>
          <w:p w14:paraId="590D7B19" w14:textId="2FC99384" w:rsidR="00015C86" w:rsidRPr="00015C86" w:rsidRDefault="0001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feature, something the component SHOULD have, followed by an identification number that begins at 0.</w:t>
            </w:r>
          </w:p>
        </w:tc>
        <w:tc>
          <w:tcPr>
            <w:tcW w:w="3238" w:type="dxa"/>
          </w:tcPr>
          <w:p w14:paraId="73E8CA63" w14:textId="736F32DE" w:rsidR="00015C86" w:rsidRDefault="0001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  <w:u w:val="single"/>
              </w:rPr>
              <w:t>T#.#:</w:t>
            </w:r>
          </w:p>
          <w:p w14:paraId="59A9F798" w14:textId="76496C36" w:rsidR="00357EB1" w:rsidRPr="00357EB1" w:rsidRDefault="00015C86" w:rsidP="0035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test identification number. The number matches the </w:t>
            </w:r>
            <w:r w:rsidR="00357EB1">
              <w:t>requirement it corresponds to. If multiple tests relate to the same requirement, a second reference number is added with a decimal point.</w:t>
            </w:r>
          </w:p>
          <w:p w14:paraId="69CFC6C7" w14:textId="71C23AF7" w:rsidR="00357EB1" w:rsidRDefault="00357EB1" w:rsidP="0035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  <w:u w:val="single"/>
              </w:rPr>
              <w:t>FT.#.#:</w:t>
            </w:r>
          </w:p>
          <w:p w14:paraId="75384D8A" w14:textId="480DBD1E" w:rsidR="00357EB1" w:rsidRPr="00357EB1" w:rsidRDefault="00357EB1" w:rsidP="0035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as requirement tests but relates to a feature.</w:t>
            </w:r>
          </w:p>
        </w:tc>
        <w:tc>
          <w:tcPr>
            <w:tcW w:w="3238" w:type="dxa"/>
          </w:tcPr>
          <w:p w14:paraId="1A798D3F" w14:textId="7ACE8362" w:rsidR="00015C86" w:rsidRDefault="0035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  <w:u w:val="single"/>
              </w:rPr>
              <w:t>C#.#.#:</w:t>
            </w:r>
          </w:p>
          <w:p w14:paraId="1EF49349" w14:textId="5A53EF9B" w:rsidR="00357EB1" w:rsidRDefault="0035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criteria identification number. The number matches the test it corresponds to. If multiple criteria exist for the same test, a second sub-reference number is added. A Pass is required.</w:t>
            </w:r>
          </w:p>
          <w:p w14:paraId="1B8B7BFF" w14:textId="77777777" w:rsidR="00357EB1" w:rsidRDefault="0035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  <w:u w:val="single"/>
              </w:rPr>
              <w:t>FC.#.#.#:</w:t>
            </w:r>
          </w:p>
          <w:p w14:paraId="0C0390B6" w14:textId="040DFCE2" w:rsidR="00357EB1" w:rsidRPr="00357EB1" w:rsidRDefault="0035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Same as requirement criteria but relates to a feature and is not required to pass.</w:t>
            </w:r>
          </w:p>
        </w:tc>
      </w:tr>
    </w:tbl>
    <w:p w14:paraId="47852F7C" w14:textId="77777777" w:rsidR="000469C2" w:rsidRDefault="000469C2"/>
    <w:sectPr w:rsidR="000469C2" w:rsidSect="000469C2">
      <w:headerReference w:type="default" r:id="rId8"/>
      <w:footerReference w:type="default" r:id="rId9"/>
      <w:pgSz w:w="15840" w:h="12240" w:orient="landscape"/>
      <w:pgMar w:top="1958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7B8F0" w14:textId="77777777" w:rsidR="003A631D" w:rsidRDefault="003A631D">
      <w:pPr>
        <w:spacing w:after="0" w:line="240" w:lineRule="auto"/>
      </w:pPr>
      <w:r>
        <w:separator/>
      </w:r>
    </w:p>
  </w:endnote>
  <w:endnote w:type="continuationSeparator" w:id="0">
    <w:p w14:paraId="311E31A1" w14:textId="77777777" w:rsidR="003A631D" w:rsidRDefault="003A6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CA6C5" w14:textId="4F62DD67" w:rsidR="00236A26" w:rsidRDefault="00000000" w:rsidP="00842015">
    <w:pPr>
      <w:pStyle w:val="Footer"/>
      <w:tabs>
        <w:tab w:val="clear" w:pos="9360"/>
        <w:tab w:val="center" w:pos="6480"/>
        <w:tab w:val="right" w:pos="12960"/>
      </w:tabs>
    </w:pPr>
    <w:sdt>
      <w:sdtPr>
        <w:id w:val="-17364657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36A26">
          <w:t>Requirement Specifications</w:t>
        </w:r>
        <w:r w:rsidR="00236A26">
          <w:tab/>
        </w:r>
        <w:r w:rsidR="00236A26">
          <w:tab/>
        </w:r>
        <w:r w:rsidR="00236A26">
          <w:fldChar w:fldCharType="begin"/>
        </w:r>
        <w:r w:rsidR="00236A26">
          <w:instrText xml:space="preserve"> PAGE   \* MERGEFORMAT </w:instrText>
        </w:r>
        <w:r w:rsidR="00236A26">
          <w:fldChar w:fldCharType="separate"/>
        </w:r>
        <w:r w:rsidR="00236A26">
          <w:rPr>
            <w:noProof/>
          </w:rPr>
          <w:t>2</w:t>
        </w:r>
        <w:r w:rsidR="00236A26">
          <w:rPr>
            <w:noProof/>
          </w:rPr>
          <w:fldChar w:fldCharType="end"/>
        </w:r>
      </w:sdtContent>
    </w:sdt>
    <w:r w:rsidR="00842015">
      <w:rPr>
        <w:noProof/>
      </w:rPr>
      <w:tab/>
      <w:t>Version 1.1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AA99F" w14:textId="77777777" w:rsidR="003A631D" w:rsidRDefault="003A631D">
      <w:pPr>
        <w:spacing w:after="0" w:line="240" w:lineRule="auto"/>
      </w:pPr>
      <w:r>
        <w:separator/>
      </w:r>
    </w:p>
  </w:footnote>
  <w:footnote w:type="continuationSeparator" w:id="0">
    <w:p w14:paraId="4F7860F6" w14:textId="77777777" w:rsidR="003A631D" w:rsidRDefault="003A6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95E76" w14:textId="2FDA316E" w:rsidR="000469C2" w:rsidRDefault="008420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4BFB3F02" wp14:editId="6728809A">
          <wp:simplePos x="0" y="0"/>
          <wp:positionH relativeFrom="column">
            <wp:posOffset>736</wp:posOffset>
          </wp:positionH>
          <wp:positionV relativeFrom="paragraph">
            <wp:posOffset>-60435</wp:posOffset>
          </wp:positionV>
          <wp:extent cx="1526650" cy="829770"/>
          <wp:effectExtent l="0" t="0" r="0" b="8890"/>
          <wp:wrapSquare wrapText="bothSides"/>
          <wp:docPr id="164526330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6650" cy="829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469C2" w:rsidRPr="000469C2">
      <w:rPr>
        <w:color w:val="000000"/>
      </w:rPr>
      <w:ptab w:relativeTo="margin" w:alignment="center" w:leader="none"/>
    </w:r>
    <w:r w:rsidR="000469C2" w:rsidRPr="000469C2">
      <w:rPr>
        <w:color w:val="000000"/>
      </w:rPr>
      <w:ptab w:relativeTo="margin" w:alignment="right" w:leader="none"/>
    </w:r>
    <w:r w:rsidR="000469C2">
      <w:rPr>
        <w:color w:val="000000"/>
      </w:rPr>
      <w:t>ECET 291 – Project Management</w:t>
    </w:r>
  </w:p>
  <w:p w14:paraId="64863F4C" w14:textId="66C9001F" w:rsidR="000469C2" w:rsidRDefault="000469C2" w:rsidP="000469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>16 September 2024</w:t>
    </w:r>
  </w:p>
  <w:p w14:paraId="2732BF47" w14:textId="383D6790" w:rsidR="000469C2" w:rsidRDefault="0094487F" w:rsidP="000469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Cameron Gillingham, Tella Osler, </w:t>
    </w:r>
    <w:r w:rsidRPr="0094487F">
      <w:rPr>
        <w:color w:val="000000"/>
      </w:rPr>
      <w:t>Aaron Huinink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6D4"/>
    <w:rsid w:val="00015C86"/>
    <w:rsid w:val="000469C2"/>
    <w:rsid w:val="00236A26"/>
    <w:rsid w:val="00357EB1"/>
    <w:rsid w:val="003A631D"/>
    <w:rsid w:val="00613B1F"/>
    <w:rsid w:val="007B36D4"/>
    <w:rsid w:val="00842015"/>
    <w:rsid w:val="0094487F"/>
    <w:rsid w:val="00B00089"/>
    <w:rsid w:val="00B45079"/>
    <w:rsid w:val="00C4569C"/>
    <w:rsid w:val="00ED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194D3"/>
  <w15:docId w15:val="{F155CB65-35C8-4A8B-9A1A-91F209D1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EB1"/>
  </w:style>
  <w:style w:type="paragraph" w:styleId="Heading1">
    <w:name w:val="heading 1"/>
    <w:basedOn w:val="Normal"/>
    <w:next w:val="Normal"/>
    <w:link w:val="Heading1Char"/>
    <w:uiPriority w:val="9"/>
    <w:qFormat/>
    <w:rsid w:val="005C2DE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DE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DE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D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D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D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D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D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DE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2DE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table" w:styleId="TableGrid">
    <w:name w:val="Table Grid"/>
    <w:basedOn w:val="TableNormal"/>
    <w:uiPriority w:val="39"/>
    <w:rsid w:val="00402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1">
    <w:name w:val="Medium List 2 Accent 1"/>
    <w:basedOn w:val="TableNormal"/>
    <w:uiPriority w:val="66"/>
    <w:rsid w:val="00402F2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02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F2F"/>
  </w:style>
  <w:style w:type="paragraph" w:styleId="Footer">
    <w:name w:val="footer"/>
    <w:basedOn w:val="Normal"/>
    <w:link w:val="FooterChar"/>
    <w:uiPriority w:val="99"/>
    <w:unhideWhenUsed/>
    <w:rsid w:val="00402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F2F"/>
  </w:style>
  <w:style w:type="character" w:customStyle="1" w:styleId="Heading1Char">
    <w:name w:val="Heading 1 Char"/>
    <w:basedOn w:val="DefaultParagraphFont"/>
    <w:link w:val="Heading1"/>
    <w:uiPriority w:val="9"/>
    <w:rsid w:val="005C2DE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C2D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DE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DE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DE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DE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DE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DE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DE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5C2DE6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5C2DE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 w:line="240" w:lineRule="auto"/>
    </w:pPr>
    <w:rPr>
      <w:color w:val="4472C4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DE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C2DE6"/>
    <w:rPr>
      <w:b/>
      <w:bCs/>
    </w:rPr>
  </w:style>
  <w:style w:type="character" w:styleId="Emphasis">
    <w:name w:val="Emphasis"/>
    <w:basedOn w:val="DefaultParagraphFont"/>
    <w:uiPriority w:val="20"/>
    <w:qFormat/>
    <w:rsid w:val="005C2DE6"/>
    <w:rPr>
      <w:i/>
      <w:iCs/>
    </w:rPr>
  </w:style>
  <w:style w:type="paragraph" w:styleId="NoSpacing">
    <w:name w:val="No Spacing"/>
    <w:uiPriority w:val="1"/>
    <w:qFormat/>
    <w:rsid w:val="005C2D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2DE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2DE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DE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DE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C2DE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C2DE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C2DE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C2DE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C2DE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2DE6"/>
    <w:pPr>
      <w:outlineLvl w:val="9"/>
    </w:p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</w:style>
  <w:style w:type="table" w:styleId="GridTable2">
    <w:name w:val="Grid Table 2"/>
    <w:basedOn w:val="TableNormal"/>
    <w:uiPriority w:val="47"/>
    <w:rsid w:val="000469C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6">
    <w:name w:val="Grid Table 1 Light Accent 6"/>
    <w:basedOn w:val="TableNormal"/>
    <w:uiPriority w:val="46"/>
    <w:rsid w:val="000469C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0469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z9ikPl31G8k0jaLjjR0VQHnZcQ==">CgMxLjA4AHIhMUR0QXFxT2REQnhTQmJHSVNvaDd4T2dvUldrTEpqZGk1</go:docsCustomData>
</go:gDocsCustomXmlDataStorage>
</file>

<file path=customXml/itemProps1.xml><?xml version="1.0" encoding="utf-8"?>
<ds:datastoreItem xmlns:ds="http://schemas.openxmlformats.org/officeDocument/2006/customXml" ds:itemID="{B36DA212-2E56-4AE1-B380-9DF8EA0BC4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Tella Osler</dc:creator>
  <cp:lastModifiedBy>Aaron Huinink</cp:lastModifiedBy>
  <cp:revision>4</cp:revision>
  <dcterms:created xsi:type="dcterms:W3CDTF">2024-09-12T22:53:00Z</dcterms:created>
  <dcterms:modified xsi:type="dcterms:W3CDTF">2024-09-16T18:52:00Z</dcterms:modified>
</cp:coreProperties>
</file>