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TRD Guida di preparazione</w:t>
      </w:r>
    </w:p>
    <w:p>
      <w:pPr>
        <w:pStyle w:val="Subtitle"/>
      </w:pPr>
      <w:r>
        <w:t>Aggiornamento del 12 ottobre 2026 | Fase 7 | Checklist operativa del team</w:t>
      </w:r>
    </w:p>
    <w:p>
      <w:r>
        <w:t xml:space="preserve">Dashboard, Telegram, analisi e rischio sono implementati e verificati con dati di prova. </w:t>
      </w:r>
      <w:r>
        <w:rPr>
          <w:b/>
        </w:rPr>
        <w:t>L’installazione resta locale, con Telegram e agenti disattivati.</w:t>
      </w:r>
      <w:r>
        <w:t xml:space="preserve"> Il laboratorio paper verifica dati firmati, ordini, stop, chiusure e ripresa. API e credenziali esterne saranno preparate per i test finali; account, accesso remoto, server reale e MT5 richiedono collaudo.</w:t>
      </w:r>
    </w:p>
    <w:p>
      <w:r>
        <w:t>Questa guida raccoglie le azioni di preparazione; i contratti completi restano nei documenti tecnici collegati. Nessun esempio contiene credenziali o messaggi personali.</w:t>
      </w:r>
    </w:p>
    <w:p>
      <w:pPr>
        <w:pStyle w:val="Heading1"/>
      </w:pPr>
      <w:r>
        <w:t>Componenti e responsabilità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520000"/>
            <wp:docPr id="1" name="Picture 1" descr="Dashboard e backend con ruoli separati e integrazioni fu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i-sist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Account o componente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Da predisporre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Utenti TRD e PostgreSQL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Utenti nominativi ADMIN e VIEWER; credenziali distinte per migrazione, API, collector, AI, rischio e manutenzione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Telegram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Account umano autorizzato, accesso alle fonti, API ID e API hash; enrollment locale esplicito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Vercel e Cloudflare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Due progetti, domini stabili, IdP con MFA e claim firmato, tunnel API e service token distinti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OpenRouter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Account e chiave per ambiente, credito, prezzi, provider e limiti verificati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Server e backup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Windows persistente o backend Linux, stato privato, backup cifrati e prova di ripristino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MT5 e bot avvisi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Futuri: conto demo e terminale Windows; bot separato dalla lettura Telegram</w:t>
            </w:r>
          </w:p>
        </w:tc>
      </w:tr>
    </w:tbl>
    <w:p>
      <w:pPr>
        <w:spacing w:after="40"/>
      </w:pPr>
    </w:p>
    <w:p>
      <w:r>
        <w:t xml:space="preserve">Staging e produzione usano </w:t>
      </w:r>
      <w:r>
        <w:rPr>
          <w:b/>
        </w:rPr>
        <w:t>istanze PostgreSQL, porte, volumi, directory, chiavi e account indipendenti</w:t>
      </w:r>
      <w:r>
        <w:t>. Database diversi nello stesso cluster non permettono password diverse per gli stessi ruoli. Account Telegram distinti evitano collector non coordinati fra ambienti.</w:t>
      </w:r>
    </w:p>
    <w:p>
      <w:pPr>
        <w:pStyle w:val="Heading1"/>
      </w:pPr>
      <w:r>
        <w:t>Avvio locale</w:t>
      </w:r>
    </w:p>
    <w:p>
      <w:pPr>
        <w:pStyle w:val="ListNumber"/>
        <w:keepNext/>
        <w:numPr>
          <w:numId w:val="10"/>
        </w:numPr>
      </w:pPr>
      <w:r>
        <w:t>Usa i lockfile: Node 24.20.0, pnpm 11.25.0, Python 3.13.16, uv 0.12.22, PostgreSQL 17 e Docker Compose. Redis è facoltativo.</w:t>
      </w:r>
    </w:p>
    <w:p>
      <w:pPr>
        <w:pStyle w:val="ListNumber"/>
        <w:keepNext/>
        <w:numPr>
          <w:numId w:val="10"/>
        </w:numPr>
      </w:pPr>
      <w:r>
        <w:t xml:space="preserve">Esegui </w:t>
      </w:r>
      <w:r>
        <w:rPr>
          <w:rFonts w:ascii="Liberation Mono" w:hAnsi="Liberation Mono"/>
          <w:sz w:val="18"/>
        </w:rPr>
        <w:t>pnpm setup</w:t>
      </w:r>
      <w:r>
        <w:t xml:space="preserve">, poi </w:t>
      </w:r>
      <w:r>
        <w:rPr>
          <w:rFonts w:ascii="Liberation Mono" w:hAnsi="Liberation Mono"/>
          <w:sz w:val="18"/>
        </w:rPr>
        <w:t>docker compose up --build -d</w:t>
      </w:r>
      <w:r>
        <w:t xml:space="preserve">. Il setup genera segreti distinti e conserva </w:t>
      </w:r>
      <w:r>
        <w:rPr>
          <w:rFonts w:ascii="Liberation Mono" w:hAnsi="Liberation Mono"/>
          <w:sz w:val="18"/>
        </w:rPr>
        <w:t>.env</w:t>
      </w:r>
      <w:r>
        <w:t xml:space="preserve"> esistente; aggiungi manualmente nuovi campi se necessari. Non eliminare volumi per aggiornare.</w:t>
      </w:r>
    </w:p>
    <w:p>
      <w:pPr>
        <w:pStyle w:val="ListNumber"/>
        <w:keepNext/>
        <w:numPr>
          <w:numId w:val="10"/>
        </w:numPr>
      </w:pPr>
      <w:r>
        <w:t xml:space="preserve">Verifica migrazione </w:t>
      </w:r>
      <w:r>
        <w:rPr>
          <w:rFonts w:ascii="Liberation Mono" w:hAnsi="Liberation Mono"/>
          <w:sz w:val="18"/>
        </w:rPr>
        <w:t>0008_paper_positions</w:t>
      </w:r>
      <w:r>
        <w:t xml:space="preserve">, salute servizi e ruoli separati. Crea utenti nominativi con </w:t>
      </w:r>
      <w:r>
        <w:rPr>
          <w:rFonts w:ascii="Liberation Mono" w:hAnsi="Liberation Mono"/>
          <w:sz w:val="18"/>
        </w:rPr>
        <w:t>pnpm user:create</w:t>
      </w:r>
      <w:r>
        <w:t xml:space="preserve"> da terminale interattivo.</w:t>
      </w:r>
    </w:p>
    <w:p>
      <w:pPr>
        <w:pStyle w:val="ListNumber"/>
        <w:keepNext w:val="0"/>
        <w:numPr>
          <w:numId w:val="10"/>
        </w:numPr>
      </w:pPr>
      <w:r>
        <w:t xml:space="preserve">Apri </w:t>
      </w:r>
      <w:r>
        <w:rPr>
          <w:rFonts w:ascii="Liberation Mono" w:hAnsi="Liberation Mono"/>
          <w:sz w:val="18"/>
        </w:rPr>
        <w:t>http://localhost:3000</w:t>
      </w:r>
      <w:r>
        <w:t>; prova ADMIN, VIEWER, uscita e conferme. Agenti e raccolta non si attivano automaticamente.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Configurazione iniziale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Vincolo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TRADING_MODE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</w:r>
            <w:r>
              <w:rPr>
                <w:rFonts w:ascii="Liberation Mono" w:hAnsi="Liberation Mono"/>
                <w:b w:val="0"/>
                <w:sz w:val="18"/>
              </w:rPr>
              <w:t>paper</w:t>
            </w:r>
            <w:r>
              <w:rPr>
                <w:b w:val="0"/>
              </w:rPr>
              <w:t>; demo e live ancora rifiutati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ENABLE_AUTOMATION e ENABLE_LIVE_TRADING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</w:r>
            <w:r>
              <w:rPr>
                <w:rFonts w:ascii="Liberation Mono" w:hAnsi="Liberation Mono"/>
                <w:b w:val="0"/>
                <w:sz w:val="18"/>
              </w:rPr>
              <w:t>false</w:t>
            </w:r>
            <w:r>
              <w:rPr>
                <w:b w:val="0"/>
              </w:rPr>
              <w:t>; non modificarli per provare Telegram o IA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AI_PROVIDER_MODE e budget AI_HARD_*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</w:r>
            <w:r>
              <w:rPr>
                <w:rFonts w:ascii="Liberation Mono" w:hAnsi="Liberation Mono"/>
                <w:b w:val="0"/>
                <w:sz w:val="18"/>
              </w:rPr>
              <w:t>mock</w:t>
            </w:r>
            <w:r>
              <w:rPr>
                <w:b w:val="0"/>
              </w:rPr>
              <w:t xml:space="preserve"> e budget </w:t>
            </w:r>
            <w:r>
              <w:rPr>
                <w:rFonts w:ascii="Liberation Mono" w:hAnsi="Liberation Mono"/>
                <w:b w:val="0"/>
                <w:sz w:val="18"/>
              </w:rPr>
              <w:t>0.00</w:t>
            </w:r>
            <w:r>
              <w:rPr>
                <w:b w:val="0"/>
              </w:rPr>
              <w:t xml:space="preserve"> per il simulatore gratuito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TELEGRAM_ENABLED e ENABLE_ADAPTIVE_MEMORY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</w:r>
            <w:r>
              <w:rPr>
                <w:rFonts w:ascii="Liberation Mono" w:hAnsi="Liberation Mono"/>
                <w:b w:val="0"/>
                <w:sz w:val="18"/>
              </w:rPr>
              <w:t>false</w:t>
            </w:r>
            <w:r>
              <w:rPr>
                <w:b w:val="0"/>
              </w:rPr>
              <w:t>; memoria adattiva non implementata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APP_ENV e ENVIRONMENT_ID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Coerenti fra processi; development/local-paper in locale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APP_URL e AUTH_COOKIE_SECURE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Origine esatta; cookie sicuro obbligatorio su HTTPS</w:t>
            </w:r>
          </w:p>
        </w:tc>
      </w:tr>
    </w:tbl>
    <w:p>
      <w:pPr>
        <w:spacing w:after="40"/>
      </w:pPr>
    </w:p>
    <w:p>
      <w:r>
        <w:t xml:space="preserve">Non passare </w:t>
      </w:r>
      <w:r>
        <w:rPr>
          <w:rFonts w:ascii="Liberation Mono" w:hAnsi="Liberation Mono"/>
          <w:sz w:val="18"/>
        </w:rPr>
        <w:t>.env</w:t>
      </w:r>
      <w:r>
        <w:t xml:space="preserve"> operatore intero ai servizi. Ogni processo riceve solo campi e credenziali propri; il migratore non è un ruolo runtime. URL PostgreSQL con </w:t>
      </w:r>
      <w:r>
        <w:rPr>
          <w:rFonts w:ascii="Liberation Mono" w:hAnsi="Liberation Mono"/>
          <w:sz w:val="18"/>
        </w:rPr>
        <w:t>postgresql+psycopg</w:t>
      </w:r>
      <w:r>
        <w:t xml:space="preserve">, porta e ruolo previsti. In remoto, stato e log in directory assolute e private. Inventario e vincoli in </w:t>
      </w:r>
      <w:hyperlink r:id="rId12">
        <w:r>
          <w:rPr>
            <w:rStyle w:val="Hyperlink"/>
          </w:rPr>
          <w:t>Configurazione ambiente</w:t>
        </w:r>
      </w:hyperlink>
      <w:r>
        <w:t xml:space="preserve"> e </w:t>
      </w:r>
      <w:r>
        <w:rPr>
          <w:rFonts w:ascii="Liberation Mono" w:hAnsi="Liberation Mono"/>
          <w:sz w:val="18"/>
        </w:rPr>
        <w:t>.env.example</w:t>
      </w:r>
      <w:r>
        <w:t>.</w:t>
      </w:r>
    </w:p>
    <w:p>
      <w:r>
        <w:t xml:space="preserve">Tema chiaro e scuro verificato in locale e su mobile, senza nuove credenziali. Il cookie </w:t>
      </w:r>
      <w:r>
        <w:rPr>
          <w:rFonts w:ascii="Liberation Mono" w:hAnsi="Liberation Mono"/>
          <w:sz w:val="18"/>
        </w:rPr>
        <w:t>trd-dashboard-theme</w:t>
      </w:r>
      <w:r>
        <w:t xml:space="preserve"> vale un anno, appartiene al browser e all’host; il server applica il tema al primo rendering. Sessioni: 30 minuti inattive e 8 ore assolute. Conferme: 2 minuti, legate a utente, contenuto e versione.</w:t>
      </w:r>
    </w:p>
    <w:p>
      <w:pPr>
        <w:pStyle w:val="Heading1"/>
      </w:pPr>
      <w:r>
        <w:t>Collegare Telegram</w:t>
      </w:r>
    </w:p>
    <w:p>
      <w:pPr>
        <w:pStyle w:val="ListNumber"/>
        <w:keepNext/>
        <w:numPr>
          <w:numId w:val="11"/>
        </w:numPr>
      </w:pPr>
      <w:r>
        <w:t xml:space="preserve">Ottieni API ID e API hash dall’applicazione su </w:t>
      </w:r>
      <w:r>
        <w:rPr>
          <w:rFonts w:ascii="Liberation Mono" w:hAnsi="Liberation Mono"/>
          <w:sz w:val="18"/>
        </w:rPr>
        <w:t>https://my.telegram.org</w:t>
      </w:r>
      <w:r>
        <w:t xml:space="preserve">. Configura </w:t>
      </w:r>
      <w:r>
        <w:rPr>
          <w:rFonts w:ascii="Liberation Mono" w:hAnsi="Liberation Mono"/>
          <w:sz w:val="18"/>
        </w:rPr>
        <w:t>TELEGRAM_API_ID</w:t>
      </w:r>
      <w:r>
        <w:t xml:space="preserve">, </w:t>
      </w:r>
      <w:r>
        <w:rPr>
          <w:rFonts w:ascii="Liberation Mono" w:hAnsi="Liberation Mono"/>
          <w:sz w:val="18"/>
        </w:rPr>
        <w:t>TELEGRAM_API_HASH</w:t>
      </w:r>
      <w:r>
        <w:t xml:space="preserve"> e la chiave indipendente </w:t>
      </w:r>
      <w:r>
        <w:rPr>
          <w:rFonts w:ascii="Liberation Mono" w:hAnsi="Liberation Mono"/>
          <w:sz w:val="18"/>
        </w:rPr>
        <w:t>TELEGRAM_SESSION_ENCRYPTION_KEY</w:t>
      </w:r>
      <w:r>
        <w:t xml:space="preserve"> nel file privato del collector.</w:t>
      </w:r>
    </w:p>
    <w:p>
      <w:pPr>
        <w:pStyle w:val="ListNumber"/>
        <w:keepNext/>
        <w:numPr>
          <w:numId w:val="11"/>
        </w:numPr>
      </w:pPr>
      <w:r>
        <w:t xml:space="preserve">Ferma il collector. Per sviluppo host usa </w:t>
      </w:r>
      <w:r>
        <w:rPr>
          <w:rFonts w:ascii="Liberation Mono" w:hAnsi="Liberation Mono"/>
          <w:sz w:val="18"/>
        </w:rPr>
        <w:t>pnpm telegram:enroll</w:t>
      </w:r>
      <w:r>
        <w:t>; per Compose usa i comandi sotto da terminale interattivo.</w:t>
      </w:r>
    </w:p>
    <w:p>
      <w:pPr>
        <w:pStyle w:val="ListNumber"/>
        <w:keepNext/>
        <w:numPr>
          <w:numId w:val="11"/>
        </w:numPr>
      </w:pPr>
      <w:r>
        <w:t>Inserisci telefono, codice e password a due passaggi solo nella procedura locale, mai nella dashboard, nei log o negli artifact.</w:t>
      </w:r>
    </w:p>
    <w:p>
      <w:pPr>
        <w:pStyle w:val="ListNumber"/>
        <w:keepNext w:val="0"/>
        <w:numPr>
          <w:numId w:val="11"/>
        </w:numPr>
      </w:pPr>
      <w:r>
        <w:t xml:space="preserve">Dopo l’accesso riuscito imposta </w:t>
      </w:r>
      <w:r>
        <w:rPr>
          <w:rFonts w:ascii="Liberation Mono" w:hAnsi="Liberation Mono"/>
          <w:sz w:val="18"/>
        </w:rPr>
        <w:t>TELEGRAM_ENABLED=true</w:t>
      </w:r>
      <w:r>
        <w:t xml:space="preserve"> e ricrea il servizio. Il cliente autorizza le fonti dalla dashboard; l’account deve già accedere ai gruppi privati.</w:t>
      </w:r>
    </w:p>
    <w:p>
      <w:pPr>
        <w:pStyle w:val="GuideCode"/>
      </w:pPr>
      <w:r>
        <w:t>docker compose stop telegram</w:t>
      </w:r>
    </w:p>
    <w:p>
      <w:pPr>
        <w:pStyle w:val="GuideCode"/>
      </w:pPr>
      <w:r>
        <w:t>docker compose run --rm --no-deps --entrypoint python telegram -m backend.integrations.telegram.enroll</w:t>
      </w:r>
    </w:p>
    <w:p>
      <w:r>
        <w:t>Dopo la modifica del file privato:</w:t>
      </w:r>
    </w:p>
    <w:p>
      <w:pPr>
        <w:pStyle w:val="GuideCode"/>
      </w:pPr>
      <w:r>
        <w:t>docker compose up -d telegram</w:t>
      </w:r>
    </w:p>
    <w:p>
      <w:r>
        <w:t>La sessione è cifrata AES GCM e legata ad ambiente, account, collector e chiave. Il volume resta scrivibile e privato: permessi 600 su macOS/Linux, ACL verificate su Windows. Non copiare sessioni host nel volume senza gestire proprietario e permessi. Conserva la chiave separata dal backup della sessione.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Parametro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Default e limite operativo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TELEGRAM_POLL_SECONDS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30 secondi; non promette latenza costante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TELEGRAM_BACKFILL_MAX_AGE_SECONDS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86400 secondi; recupero limitato a 24 ore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TELEGRAM_HISTORY_BATCH_SIZE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100 messaggi per richiesta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TELEGRAM_SIGNAL_MAX_AGE_SECONDS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900 secondi; filtro di analisi, non autorizzazione al trading</w:t>
            </w:r>
          </w:p>
        </w:tc>
      </w:tr>
    </w:tbl>
    <w:p>
      <w:pPr>
        <w:spacing w:after="40"/>
      </w:pPr>
    </w:p>
    <w:p>
      <w:r>
        <w:t xml:space="preserve">Collauda nuovo messaggio, duplicato, modifica, risposta, cancellazione, attesa Telegram e riavvio. Una lease PostgreSQL coordina un solo collector </w:t>
      </w:r>
      <w:r>
        <w:rPr>
          <w:b/>
        </w:rPr>
        <w:t>nello stesso database</w:t>
      </w:r>
      <w:r>
        <w:t xml:space="preserve">; copie in database diversi non si coordinano. Eventi mai osservati o fuori finestra possono mancare. Sostituzione con </w:t>
      </w:r>
      <w:r>
        <w:rPr>
          <w:rFonts w:ascii="Liberation Mono" w:hAnsi="Liberation Mono"/>
          <w:sz w:val="18"/>
        </w:rPr>
        <w:t>--replace-session</w:t>
      </w:r>
      <w:r>
        <w:t xml:space="preserve">; ricifratura con </w:t>
      </w:r>
      <w:r>
        <w:rPr>
          <w:rFonts w:ascii="Liberation Mono" w:hAnsi="Liberation Mono"/>
          <w:sz w:val="18"/>
        </w:rPr>
        <w:t>--rotate-key</w:t>
      </w:r>
      <w:r>
        <w:t xml:space="preserve">, sempre a collector fermo e con ripristino protetto. Procedura completa in </w:t>
      </w:r>
      <w:hyperlink r:id="rId13">
        <w:r>
          <w:rPr>
            <w:rStyle w:val="Hyperlink"/>
          </w:rPr>
          <w:t>Telegram</w:t>
        </w:r>
      </w:hyperlink>
      <w:r>
        <w:t>.</w:t>
      </w:r>
    </w:p>
    <w:p>
      <w:pPr>
        <w:pStyle w:val="Heading1"/>
      </w:pPr>
      <w:r>
        <w:t>Preparare gli agenti e i costi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74400"/>
            <wp:docPr id="2" name="Picture 2" descr="Percorso consultivo e laboratorio con esecuzione simul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sso-segn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In </w:t>
      </w:r>
      <w:r>
        <w:rPr>
          <w:b/>
        </w:rPr>
        <w:t>Agenti IA</w:t>
      </w:r>
      <w:r>
        <w:t xml:space="preserve">, l’ADMIN attiva e conferma classificazione, interpretazione, analisi e decisione con simulatore e istruzioni versione 2. Critica facoltativa salvo </w:t>
      </w:r>
      <w:r>
        <w:rPr>
          <w:rFonts w:ascii="Liberation Mono" w:hAnsi="Liberation Mono"/>
          <w:sz w:val="18"/>
        </w:rPr>
        <w:t>ENABLE_CRITIC_AGENT=true</w:t>
      </w:r>
      <w:r>
        <w:t>, che la rende obbligatoria. Revisione delle posizioni e memoria adattiva indisponibili.</w:t>
      </w:r>
    </w:p>
    <w:p>
      <w:r>
        <w:t xml:space="preserve">Il parser </w:t>
      </w:r>
      <w:r>
        <w:rPr>
          <w:rFonts w:ascii="Liberation Mono" w:hAnsi="Liberation Mono"/>
          <w:sz w:val="18"/>
        </w:rPr>
        <w:t>structured-fx-v1</w:t>
      </w:r>
      <w:r>
        <w:t xml:space="preserve"> accetta un unico segnale ASCII completo, mai una risposta. Esempio sintetico: </w:t>
      </w:r>
      <w:r>
        <w:rPr>
          <w:rFonts w:ascii="Liberation Mono" w:hAnsi="Liberation Mono"/>
          <w:sz w:val="18"/>
        </w:rPr>
        <w:t>BUY EURUSD ENTRY 1.10000 SL 1.09500 TP 1.11000</w:t>
      </w:r>
      <w:r>
        <w:t>. Simboli: EURUSD, GBPUSD, USDJPY, USDCHF, AUDUSD, USDCAD, NZDUSD. Non deduce prezzi, suffissi o mapping broker; intervalli, più obiettivi e testo extra richiedono revisione. Stop e obiettivo devono essere coerenti con direzione e ingresso. Modifiche e cancellazioni invalidano la proposta non inviata.</w:t>
      </w:r>
    </w:p>
    <w:p>
      <w:r>
        <w:t>Finestra AI: 900 secondi dalla pubblicazione, ricontrollata alla conclusione; il recupero Telegram non la prolunga. Il simulatore restituisce WAIT senza contesto di mercato. PROPOSE resta consultivo: solo il gateway paper può creare prenotazioni e comandi dopo tutti i controlli. Il laboratorio usa proposte sintetiche esplicite; il simulatore IA dell’installazione mantiene WAIT.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Limite AI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Default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AI_HARD_TIMEOUT_SECONDS e AI_JOB_LEASE_SECONDS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30 e 180 secondi; lease oltre timeout totale più 5 secondi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AI_HARD_MAX_OUTPUT_TOKENS e AI_HARD_MAX_INPUT_TOKENS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4096 e 131072; ulteriormente limitati dal profilo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AI_HARD_DAILY_BUDGET_USD e AI_HARD_MONTHLY_BUDGET_USD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</w:r>
            <w:r>
              <w:rPr>
                <w:rFonts w:ascii="Liberation Mono" w:hAnsi="Liberation Mono"/>
                <w:b w:val="0"/>
                <w:sz w:val="18"/>
              </w:rPr>
              <w:t>0.00</w:t>
            </w:r>
            <w:r>
              <w:rPr>
                <w:b w:val="0"/>
              </w:rPr>
              <w:t>; tetti globali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AI_HARD_DAILY_BUDGET_PER_AGENT_USD e AI_HARD_MAX_COST_PER_REQUEST_USD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</w:r>
            <w:r>
              <w:rPr>
                <w:rFonts w:ascii="Liberation Mono" w:hAnsi="Liberation Mono"/>
                <w:b w:val="0"/>
                <w:sz w:val="18"/>
              </w:rPr>
              <w:t>0.00</w:t>
            </w:r>
            <w:r>
              <w:rPr>
                <w:b w:val="0"/>
              </w:rPr>
              <w:t>; tetti per agente e richiesta</w:t>
            </w:r>
          </w:p>
        </w:tc>
      </w:tr>
    </w:tbl>
    <w:p>
      <w:pPr>
        <w:spacing w:after="40"/>
      </w:pPr>
    </w:p>
    <w:p>
      <w:r>
        <w:t xml:space="preserve">Simulatore con costo massimo agente zero. Budget come stringhe decimali finite; finestre contabili UTC, dashboard Europe/Rome. Prenotazioni preventive serializzate; massimo tre tentativi per agente/job, comprese alternative e riavvii. Consumo sconosciuto conserva l’importo e ferma altri tentativi anche dopo cambio periodo o riavvio. </w:t>
      </w:r>
      <w:r>
        <w:rPr>
          <w:b/>
        </w:rPr>
        <w:t>Sblocco automatico non implementato:</w:t>
      </w:r>
      <w:r>
        <w:t xml:space="preserve"> serve riconciliazione prima dell’uso a pagamento. Contratto in </w:t>
      </w:r>
      <w:hyperlink r:id="rId15">
        <w:r>
          <w:rPr>
            <w:rStyle w:val="Hyperlink"/>
          </w:rPr>
          <w:t>Analisi</w:t>
        </w:r>
      </w:hyperlink>
      <w:r>
        <w:t>.</w:t>
      </w:r>
    </w:p>
    <w:p>
      <w:pPr>
        <w:pStyle w:val="Heading1"/>
      </w:pPr>
      <w:r>
        <w:t>Provare rischio ed esecuzione in locale</w:t>
      </w:r>
    </w:p>
    <w:p>
      <w:r>
        <w:t xml:space="preserve">Esegui </w:t>
      </w:r>
      <w:r>
        <w:rPr>
          <w:rFonts w:ascii="Liberation Mono" w:hAnsi="Liberation Mono"/>
          <w:sz w:val="18"/>
        </w:rPr>
        <w:t>pnpm paper:accept</w:t>
      </w:r>
      <w:r>
        <w:t xml:space="preserve"> con Docker disponibile. Non servono account o credenziali esterne: crea PostgreSQL separato, chiavi casuali e dati sintetici, prova HTTP su loopback e rimuove le risorse temporanee. Non legge </w:t>
      </w:r>
      <w:r>
        <w:rPr>
          <w:rFonts w:ascii="Liberation Mono" w:hAnsi="Liberation Mono"/>
          <w:sz w:val="18"/>
        </w:rPr>
        <w:t>.env</w:t>
      </w:r>
      <w:r>
        <w:t xml:space="preserve"> operatore. Verifica due aperture, aggiornamento degli stop, due chiusure complete, risultati, ripresa controllata e recupero senza duplicati.</w:t>
      </w:r>
    </w:p>
    <w:p>
      <w:r>
        <w:t>Il gateway blocca il conto in transazione, prenota il rischio e rivaluta prima dell’invio. Solo la conferma di esecuzione simulata completa il segnale; ricevuta e accettazione non bastano. Esiti incerti trattengono il rischio e fermano nuove aperture; un riavvio non reinvia l’ordine.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Controllo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Comportamento verificato nel laboratorio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Dati e identità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Firma, scadenza, sequenza persistente e proprietario unico; versioni e dati scaduti fermano l’invio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Protezioni ed esposizione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Stop obbligatori, rischio prenotato contato una volta, conferme parziali e duplicati gestiti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Perdita giornaliera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Base UTC e blocco persistenti; recupero dell’equity non sblocca. Versamenti e prelievi non supportati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Cambiamenti e guasti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Fonte, messaggio e limiti invalidano i comandi non inviati; esposizione già inviata conservata</w:t>
            </w:r>
          </w:p>
        </w:tc>
      </w:tr>
    </w:tbl>
    <w:p>
      <w:pPr>
        <w:spacing w:after="40"/>
      </w:pPr>
    </w:p>
    <w:p>
      <w:r/>
      <w:r>
        <w:rPr>
          <w:rFonts w:ascii="Liberation Mono" w:hAnsi="Liberation Mono"/>
          <w:sz w:val="18"/>
        </w:rPr>
        <w:t>PAPER_BRIDGE_ENABLED=false</w:t>
      </w:r>
      <w:r>
        <w:t xml:space="preserve"> resta il default. Si attiva solo in development/test con </w:t>
      </w:r>
      <w:r>
        <w:rPr>
          <w:rFonts w:ascii="Liberation Mono" w:hAnsi="Liberation Mono"/>
          <w:sz w:val="18"/>
        </w:rPr>
        <w:t>PAPER_PROFILE_PATH</w:t>
      </w:r>
      <w:r>
        <w:t xml:space="preserve">, </w:t>
      </w:r>
      <w:r>
        <w:rPr>
          <w:rFonts w:ascii="Liberation Mono" w:hAnsi="Liberation Mono"/>
          <w:sz w:val="18"/>
        </w:rPr>
        <w:t>PAPER_REQUEST_KEY</w:t>
      </w:r>
      <w:r>
        <w:t xml:space="preserve"> e </w:t>
      </w:r>
      <w:r>
        <w:rPr>
          <w:rFonts w:ascii="Liberation Mono" w:hAnsi="Liberation Mono"/>
          <w:sz w:val="18"/>
        </w:rPr>
        <w:t>PAPER_RESPONSE_KEY</w:t>
      </w:r>
      <w:r>
        <w:t xml:space="preserve"> distinte, ricevute solo dal processo rischio. Il comando genera tutto temporaneamente: non configurare l’installazione normale. Automazione e live restano false; staging, production, demo e live sono rifiutati.</w:t>
      </w:r>
    </w:p>
    <w:p>
      <w:r>
        <w:t xml:space="preserve">Il laboratorio gestisce EURUSD con conto USD sintetico. In </w:t>
      </w:r>
      <w:r>
        <w:rPr>
          <w:b/>
        </w:rPr>
        <w:t>Posizioni</w:t>
      </w:r>
      <w:r>
        <w:t xml:space="preserve">, ADMIN usa </w:t>
      </w:r>
      <w:r>
        <w:rPr>
          <w:b/>
        </w:rPr>
        <w:t>Gestisci simulazione</w:t>
      </w:r>
      <w:r>
        <w:t>, rivede e conferma chiusura completa o stop che riduce il rischio. VIEWER consulta; la richiesta non conferma l’esecuzione. Risultati netti realizzati nello storico, con commissioni simulate. Chiusure ammesse anche da PAUSED con posizione verificata.</w:t>
      </w:r>
    </w:p>
    <w:p>
      <w:r/>
      <w:r>
        <w:rPr>
          <w:b/>
        </w:rPr>
        <w:t>Verifica ripresa</w:t>
      </w:r>
      <w:r>
        <w:t xml:space="preserve"> richiede dati freschi, nessuna esecuzione irrisolta e limiti rispettati. Un errore dei dati richiede conto senza posizioni; base UTC e blocco giornaliero non si azzerano. MT5, chiusure parziali e broker reali restano da collaudare. </w:t>
      </w:r>
      <w:hyperlink r:id="rId16">
        <w:r>
          <w:rPr>
            <w:rStyle w:val="Hyperlink"/>
          </w:rPr>
          <w:t>Gestione posizioni</w:t>
        </w:r>
      </w:hyperlink>
      <w:r>
        <w:t xml:space="preserve"> e </w:t>
      </w:r>
      <w:hyperlink r:id="rId17">
        <w:r>
          <w:rPr>
            <w:rStyle w:val="Hyperlink"/>
          </w:rPr>
          <w:t>Verifiche</w:t>
        </w:r>
      </w:hyperlink>
      <w:r>
        <w:t>.</w:t>
      </w:r>
    </w:p>
    <w:p>
      <w:pPr>
        <w:pStyle w:val="Heading1"/>
      </w:pPr>
      <w:r>
        <w:t>Abilitare OpenRouter dopo il collaudo</w:t>
      </w:r>
    </w:p>
    <w:p>
      <w:pPr>
        <w:pStyle w:val="ListNumber"/>
        <w:keepNext/>
        <w:numPr>
          <w:numId w:val="12"/>
        </w:numPr>
      </w:pPr>
      <w:r>
        <w:t xml:space="preserve">Mantieni </w:t>
      </w:r>
      <w:r>
        <w:rPr>
          <w:rFonts w:ascii="Liberation Mono" w:hAnsi="Liberation Mono"/>
          <w:sz w:val="18"/>
        </w:rPr>
        <w:t>AI_PROVIDER_MODE=mock</w:t>
      </w:r>
      <w:r>
        <w:t xml:space="preserve">. Prepara account dedicato, </w:t>
      </w:r>
      <w:r>
        <w:rPr>
          <w:rFonts w:ascii="Liberation Mono" w:hAnsi="Liberation Mono"/>
          <w:sz w:val="18"/>
        </w:rPr>
        <w:t>OPENROUTER_API_KEY</w:t>
      </w:r>
      <w:r>
        <w:t>, credito e limiti dell’account; configura i quattro budget server positivi per il probe.</w:t>
      </w:r>
    </w:p>
    <w:p>
      <w:pPr>
        <w:pStyle w:val="ListNumber"/>
        <w:keepNext/>
        <w:numPr>
          <w:numId w:val="12"/>
        </w:numPr>
      </w:pPr>
      <w:r>
        <w:t xml:space="preserve">Copia </w:t>
      </w:r>
      <w:r>
        <w:rPr>
          <w:rFonts w:ascii="Liberation Mono" w:hAnsi="Liberation Mono"/>
          <w:sz w:val="18"/>
        </w:rPr>
        <w:t>infra/openrouter/manifest.example.json</w:t>
      </w:r>
      <w:r>
        <w:t xml:space="preserve"> in una directory privata: l’esempio è scaduto. Verifica modello/versione, provider unico, contesto intero, schema, token, prezzi e validità massima sette giorni. Ogni revisione usa nuovi identificativi.</w:t>
      </w:r>
    </w:p>
    <w:p>
      <w:pPr>
        <w:pStyle w:val="ListNumber"/>
        <w:keepNext/>
        <w:numPr>
          <w:numId w:val="12"/>
        </w:numPr>
      </w:pPr>
      <w:r>
        <w:t xml:space="preserve">Esegui </w:t>
      </w:r>
      <w:r>
        <w:rPr>
          <w:rFonts w:ascii="Liberation Mono" w:hAnsi="Liberation Mono"/>
          <w:sz w:val="18"/>
        </w:rPr>
        <w:t>pnpm ai:accept</w:t>
      </w:r>
      <w:r>
        <w:t xml:space="preserve"> con </w:t>
      </w:r>
      <w:r>
        <w:rPr>
          <w:rFonts w:ascii="Liberation Mono" w:hAnsi="Liberation Mono"/>
          <w:sz w:val="18"/>
        </w:rPr>
        <w:t>--operator-env</w:t>
      </w:r>
      <w:r>
        <w:t xml:space="preserve">, </w:t>
      </w:r>
      <w:r>
        <w:rPr>
          <w:rFonts w:ascii="Liberation Mono" w:hAnsi="Liberation Mono"/>
          <w:sz w:val="18"/>
        </w:rPr>
        <w:t>--manifest</w:t>
      </w:r>
      <w:r>
        <w:t xml:space="preserve">, nuovo </w:t>
      </w:r>
      <w:r>
        <w:rPr>
          <w:rFonts w:ascii="Liberation Mono" w:hAnsi="Liberation Mono"/>
          <w:sz w:val="18"/>
        </w:rPr>
        <w:t>--receipt</w:t>
      </w:r>
      <w:r>
        <w:t xml:space="preserve"> e </w:t>
      </w:r>
      <w:r>
        <w:rPr>
          <w:rFonts w:ascii="Liberation Mono" w:hAnsi="Liberation Mono"/>
          <w:sz w:val="18"/>
        </w:rPr>
        <w:t>--allow-paid-probe</w:t>
      </w:r>
      <w:r>
        <w:t xml:space="preserve">. </w:t>
      </w:r>
      <w:r>
        <w:rPr>
          <w:b/>
        </w:rPr>
        <w:t>Può generare addebiti:</w:t>
      </w:r>
      <w:r>
        <w:t xml:space="preserve"> tre prove sintetiche per modello, senza ritentare; controlla il limite dell’account per probe ripetuti.</w:t>
      </w:r>
    </w:p>
    <w:p>
      <w:pPr>
        <w:pStyle w:val="ListNumber"/>
        <w:keepNext/>
        <w:numPr>
          <w:numId w:val="12"/>
        </w:numPr>
      </w:pPr>
      <w:r>
        <w:t xml:space="preserve">Dopo esito positivo importa con </w:t>
      </w:r>
      <w:r>
        <w:rPr>
          <w:rFonts w:ascii="Liberation Mono" w:hAnsi="Liberation Mono"/>
          <w:sz w:val="18"/>
        </w:rPr>
        <w:t>pnpm ai:import --operator-env ... --receipt ... --admin-email ...</w:t>
      </w:r>
      <w:r>
        <w:t>. L’import usa il migratore, registra profili immutabili e non attiva agenti.</w:t>
      </w:r>
    </w:p>
    <w:p>
      <w:pPr>
        <w:pStyle w:val="ListNumber"/>
        <w:keepNext w:val="0"/>
        <w:numPr>
          <w:numId w:val="12"/>
        </w:numPr>
      </w:pPr>
      <w:r>
        <w:t xml:space="preserve">Imposta </w:t>
      </w:r>
      <w:r>
        <w:rPr>
          <w:rFonts w:ascii="Liberation Mono" w:hAnsi="Liberation Mono"/>
          <w:sz w:val="18"/>
        </w:rPr>
        <w:t>AI_PROVIDER_MODE=openrouter</w:t>
      </w:r>
      <w:r>
        <w:t xml:space="preserve"> e </w:t>
      </w:r>
      <w:r>
        <w:rPr>
          <w:rFonts w:ascii="Liberation Mono" w:hAnsi="Liberation Mono"/>
          <w:sz w:val="18"/>
        </w:rPr>
        <w:t>OPENROUTER_ACCEPTANCE_PATH</w:t>
      </w:r>
      <w:r>
        <w:t>, riavvia il worker, poi seleziona e conferma modello e costo massimo positivo nella dashboard.</w:t>
      </w:r>
    </w:p>
    <w:p>
      <w:r>
        <w:t xml:space="preserve">Ricevuta privata legata ad ambiente, manifest, chiave e scadenza; non riusarla dopo rotazione o fra ambienti. Windows usa un percorso assoluto; Compose monta </w:t>
      </w:r>
      <w:r>
        <w:rPr>
          <w:rFonts w:ascii="Liberation Mono" w:hAnsi="Liberation Mono"/>
          <w:sz w:val="18"/>
        </w:rPr>
        <w:t>data/ai</w:t>
      </w:r>
      <w:r>
        <w:t xml:space="preserve"> in sola lettura e usa </w:t>
      </w:r>
      <w:r>
        <w:rPr>
          <w:rFonts w:ascii="Liberation Mono" w:hAnsi="Liberation Mono"/>
          <w:sz w:val="18"/>
        </w:rPr>
        <w:t>/var/trd/acceptance/nome-ricevuta.json</w:t>
      </w:r>
      <w:r>
        <w:t>. Solo worker AI e probe ricevono la chiave.</w:t>
      </w:r>
    </w:p>
    <w:p>
      <w:r>
        <w:t xml:space="preserve">Classificazione e interpretazione restano locali; analisi, decisione e critica possono usare modelli esterni approvati. Si inviano prompt fisso e proposta normalizzata, senza testo Telegram grezzo, strumenti, redirect o reasoning privato. Il routing richiede schema, provider unico, </w:t>
      </w:r>
      <w:r>
        <w:rPr>
          <w:rFonts w:ascii="Liberation Mono" w:hAnsi="Liberation Mono"/>
          <w:sz w:val="18"/>
        </w:rPr>
        <w:t>require_parameters=true</w:t>
      </w:r>
      <w:r>
        <w:t xml:space="preserve">, </w:t>
      </w:r>
      <w:r>
        <w:rPr>
          <w:rFonts w:ascii="Liberation Mono" w:hAnsi="Liberation Mono"/>
          <w:sz w:val="18"/>
        </w:rPr>
        <w:t>data_collection=deny</w:t>
      </w:r>
      <w:r>
        <w:t xml:space="preserve"> e </w:t>
      </w:r>
      <w:r>
        <w:rPr>
          <w:rFonts w:ascii="Liberation Mono" w:hAnsi="Liberation Mono"/>
          <w:sz w:val="18"/>
        </w:rPr>
        <w:t>zdr=true</w:t>
      </w:r>
      <w:r>
        <w:t>; verifica anche le condizioni dell’account.</w:t>
      </w:r>
    </w:p>
    <w:p>
      <w:r>
        <w:t xml:space="preserve">Prima di dati reali verifica privacy, fatturazione, timeout, 429/402 e qualità su fixture approvate. Costo contabilizzato: il maggiore fra stima e costo dichiarato; consumi mancanti trattengono la prenotazione. Il probe non certifica una strategia finanziaria. Comandi in </w:t>
      </w:r>
      <w:hyperlink r:id="rId18">
        <w:r>
          <w:rPr>
            <w:rStyle w:val="Hyperlink"/>
          </w:rPr>
          <w:t>OpenRouter</w:t>
        </w:r>
      </w:hyperlink>
      <w:r>
        <w:t>. Le altre chiavi provider riservate non attivano integrazioni dirette.</w:t>
      </w:r>
    </w:p>
    <w:p>
      <w:pPr>
        <w:pStyle w:val="Heading1"/>
      </w:pPr>
      <w:r>
        <w:t>Consegnare l’accesso remoto</w:t>
      </w:r>
    </w:p>
    <w:p>
      <w:pPr>
        <w:pStyle w:val="ListNumber"/>
        <w:keepNext/>
        <w:numPr>
          <w:numId w:val="13"/>
        </w:numPr>
      </w:pPr>
      <w:r>
        <w:t xml:space="preserve">Genera ambienti con </w:t>
      </w:r>
      <w:r>
        <w:rPr>
          <w:rFonts w:ascii="Liberation Mono" w:hAnsi="Liberation Mono"/>
          <w:sz w:val="18"/>
        </w:rPr>
        <w:t>pnpm env:new --stage staging --output-dir private/staging</w:t>
      </w:r>
      <w:r>
        <w:t xml:space="preserve"> e variante production. Completa domini e </w:t>
      </w:r>
      <w:r>
        <w:rPr>
          <w:rFonts w:ascii="Liberation Mono" w:hAnsi="Liberation Mono"/>
          <w:sz w:val="18"/>
        </w:rPr>
        <w:t>RUNTIME_STATE_DIR</w:t>
      </w:r>
      <w:r>
        <w:t xml:space="preserve"> assoluto; usa </w:t>
      </w:r>
      <w:r>
        <w:rPr>
          <w:rFonts w:ascii="Liberation Mono" w:hAnsi="Liberation Mono"/>
          <w:sz w:val="18"/>
        </w:rPr>
        <w:t>pnpm env:export --operator-env ... --output-dir ...</w:t>
      </w:r>
      <w:r>
        <w:t xml:space="preserve"> in directory nuova, con ACL.</w:t>
      </w:r>
    </w:p>
    <w:p>
      <w:pPr>
        <w:pStyle w:val="ListNumber"/>
        <w:keepNext/>
        <w:numPr>
          <w:numId w:val="13"/>
        </w:numPr>
      </w:pPr>
      <w:r>
        <w:t xml:space="preserve">Vercel ospita dashboard e inoltro amministrativo; API, PostgreSQL e worker restano persistenti. Due progetti, Node 24.x, Root Directory </w:t>
      </w:r>
      <w:r>
        <w:rPr>
          <w:rFonts w:ascii="Liberation Mono" w:hAnsi="Liberation Mono"/>
          <w:sz w:val="18"/>
        </w:rPr>
        <w:t>apps/dashboard</w:t>
      </w:r>
      <w:r>
        <w:t xml:space="preserve">, file esterni inclusi e </w:t>
      </w:r>
      <w:r>
        <w:rPr>
          <w:rFonts w:ascii="Liberation Mono" w:hAnsi="Liberation Mono"/>
          <w:sz w:val="18"/>
        </w:rPr>
        <w:t>ENABLE_EXPERIMENTAL_COREPACK=1</w:t>
      </w:r>
      <w:r>
        <w:t>.</w:t>
      </w:r>
    </w:p>
    <w:p>
      <w:pPr>
        <w:pStyle w:val="ListNumber"/>
        <w:keepNext/>
        <w:numPr>
          <w:numId w:val="13"/>
        </w:numPr>
      </w:pPr>
      <w:r>
        <w:t xml:space="preserve">Trasferisci su Vercel solo </w:t>
      </w:r>
      <w:r>
        <w:rPr>
          <w:rFonts w:ascii="Liberation Mono" w:hAnsi="Liberation Mono"/>
          <w:sz w:val="18"/>
        </w:rPr>
        <w:t>.env.dashboard</w:t>
      </w:r>
      <w:r>
        <w:t xml:space="preserve"> come variabili server. Mai file operatore, URL database o chiavi Telegram, AI e MT5; mai </w:t>
      </w:r>
      <w:r>
        <w:rPr>
          <w:rFonts w:ascii="Liberation Mono" w:hAnsi="Liberation Mono"/>
          <w:sz w:val="18"/>
        </w:rPr>
        <w:t>NEXT_PUBLIC_</w:t>
      </w:r>
      <w:r>
        <w:t xml:space="preserve"> per segreti.</w:t>
      </w:r>
    </w:p>
    <w:p>
      <w:pPr>
        <w:pStyle w:val="ListNumber"/>
        <w:keepNext/>
        <w:numPr>
          <w:numId w:val="13"/>
        </w:numPr>
      </w:pPr>
      <w:r>
        <w:t xml:space="preserve">Proteggi tutto il dominio dashboard con Cloudflare Access e MFA IdP. JWT con </w:t>
      </w:r>
      <w:r>
        <w:rPr>
          <w:rFonts w:ascii="Liberation Mono" w:hAnsi="Liberation Mono"/>
          <w:sz w:val="18"/>
        </w:rPr>
        <w:t>amr</w:t>
      </w:r>
      <w:r>
        <w:t xml:space="preserve"> o </w:t>
      </w:r>
      <w:r>
        <w:rPr>
          <w:rFonts w:ascii="Liberation Mono" w:hAnsi="Liberation Mono"/>
          <w:sz w:val="18"/>
        </w:rPr>
        <w:t>custom.amr</w:t>
      </w:r>
      <w:r>
        <w:t xml:space="preserve"> contenente </w:t>
      </w:r>
      <w:r>
        <w:rPr>
          <w:rFonts w:ascii="Liberation Mono" w:hAnsi="Liberation Mono"/>
          <w:sz w:val="18"/>
        </w:rPr>
        <w:t>mfa</w:t>
      </w:r>
      <w:r>
        <w:t>; OTP email da solo non basta. Una seconda applicazione API usa Service Auth e token Vercel dedicato, senza Bypass.</w:t>
      </w:r>
    </w:p>
    <w:p>
      <w:pPr>
        <w:pStyle w:val="ListNumber"/>
        <w:keepNext w:val="0"/>
        <w:numPr>
          <w:numId w:val="13"/>
        </w:numPr>
      </w:pPr>
      <w:r>
        <w:t>Tunnel solo verso API su loopback, regola finale 404. Non esporre bridge o database. Cookie sicuri, MFA richiesta, issuer/audience fissi e segreto proxy indipendente obbligatori nel remoto.</w:t>
      </w:r>
    </w:p>
    <w:p>
      <w:r>
        <w:t>Preview solo staging con dominio stabile approvato; URL casuali e preview verso produzione rifiutati. L’API verifica identità umana, MFA e ambiente; TRD conserva password, ruoli, CSRF e conferme. Token di servizio e tunnel da soli non autenticano l’utente.</w:t>
      </w:r>
    </w:p>
    <w:p>
      <w:r>
        <w:t xml:space="preserve">Windows: </w:t>
      </w:r>
      <w:r>
        <w:rPr>
          <w:rFonts w:ascii="Liberation Mono" w:hAnsi="Liberation Mono"/>
          <w:sz w:val="18"/>
        </w:rPr>
        <w:t>New-NativeServiceTemplates.ps1 -BackendOnly</w:t>
      </w:r>
      <w:r>
        <w:t xml:space="preserve"> con prefissi, porte e directory distinti; cinque servizi senza dashboard locale. Linux: overlay </w:t>
      </w:r>
      <w:r>
        <w:rPr>
          <w:rFonts w:ascii="Liberation Mono" w:hAnsi="Liberation Mono"/>
          <w:sz w:val="18"/>
        </w:rPr>
        <w:t>docker-compose.backend.yml</w:t>
      </w:r>
      <w:r>
        <w:t xml:space="preserve">, backend su loopback. Generare piani non certifica ACL, installazione o riavvio reale. Procedure in </w:t>
      </w:r>
      <w:hyperlink r:id="rId19">
        <w:r>
          <w:rPr>
            <w:rStyle w:val="Hyperlink"/>
          </w:rPr>
          <w:t>Deployment Vercel</w:t>
        </w:r>
      </w:hyperlink>
      <w:r>
        <w:t xml:space="preserve"> e </w:t>
      </w:r>
      <w:hyperlink r:id="rId20">
        <w:r>
          <w:rPr>
            <w:rStyle w:val="Hyperlink"/>
          </w:rPr>
          <w:t>Deployment Windows</w:t>
        </w:r>
      </w:hyperlink>
      <w:r>
        <w:t>.</w:t>
      </w:r>
    </w:p>
    <w:p>
      <w:pPr>
        <w:pStyle w:val="Heading1"/>
      </w:pPr>
      <w:r>
        <w:t>Collaudo e manutenzione</w:t>
      </w:r>
    </w:p>
    <w:p>
      <w:pPr>
        <w:pStyle w:val="ListBullet"/>
      </w:pPr>
      <w:r/>
      <w:r>
        <w:rPr>
          <w:b/>
        </w:rPr>
        <w:t>Locale:</w:t>
      </w:r>
      <w:r>
        <w:t xml:space="preserve"> salute servizi, migrazione, ruoli, login/logout, VIEWER, conferme, fonti, analisi e costi con dati sintetici. Mantieni paper e trading disabilitato.</w:t>
      </w:r>
    </w:p>
    <w:p>
      <w:pPr>
        <w:pStyle w:val="ListBullet"/>
      </w:pPr>
      <w:r/>
      <w:r>
        <w:rPr>
          <w:b/>
        </w:rPr>
        <w:t>Telegram reale:</w:t>
      </w:r>
      <w:r>
        <w:t xml:space="preserve"> accesso fonti, eventi, recupero e lacune. Non avviare collector indipendenti sullo stesso account.</w:t>
      </w:r>
    </w:p>
    <w:p>
      <w:pPr>
        <w:pStyle w:val="ListBullet"/>
      </w:pPr>
      <w:r/>
      <w:r>
        <w:rPr>
          <w:b/>
        </w:rPr>
        <w:t>Remoto:</w:t>
      </w:r>
      <w:r>
        <w:t xml:space="preserve"> MFA reale, scadenze, JWT falsi, accesso diretto Vercel, CSRF/Origin, credenziali e ambiente errati, indisponibilità backend. Una modifica staging deve lasciare produzione invariata.</w:t>
      </w:r>
    </w:p>
    <w:p>
      <w:pPr>
        <w:pStyle w:val="ListBullet"/>
      </w:pPr>
      <w:r/>
      <w:r>
        <w:rPr>
          <w:b/>
        </w:rPr>
        <w:t>Server:</w:t>
      </w:r>
      <w:r>
        <w:t xml:space="preserve"> ACL, riavvio prima del login interattivo, backup e ripristino. Test PowerShell su macOS non certificano Windows.</w:t>
      </w:r>
    </w:p>
    <w:p>
      <w:pPr>
        <w:pStyle w:val="ListBullet"/>
      </w:pPr>
      <w:r/>
      <w:r>
        <w:rPr>
          <w:b/>
        </w:rPr>
        <w:t>Test:</w:t>
      </w:r>
      <w:r>
        <w:t xml:space="preserve"> PostgreSQL 17 e database casuali </w:t>
      </w:r>
      <w:r>
        <w:rPr>
          <w:rFonts w:ascii="Liberation Mono" w:hAnsi="Liberation Mono"/>
          <w:sz w:val="18"/>
        </w:rPr>
        <w:t>trd_test_*</w:t>
      </w:r>
      <w:r>
        <w:t xml:space="preserve">; mai produzione come </w:t>
      </w:r>
      <w:r>
        <w:rPr>
          <w:rFonts w:ascii="Liberation Mono" w:hAnsi="Liberation Mono"/>
          <w:sz w:val="18"/>
        </w:rPr>
        <w:t>TEST_ADMIN_DATABASE_URL</w:t>
      </w:r>
      <w:r>
        <w:t>. Test automatici senza chiamate AI a pagamento.</w:t>
      </w:r>
    </w:p>
    <w:p>
      <w:r/>
      <w:r>
        <w:rPr>
          <w:rFonts w:ascii="Liberation Mono" w:hAnsi="Liberation Mono"/>
          <w:sz w:val="18"/>
        </w:rPr>
        <w:t>pnpm retention:run</w:t>
      </w:r>
      <w:r>
        <w:t xml:space="preserve"> esegue un lotto tramite maintenance per contenuti Telegram/IA e autenticazione scaduta. Periodi Telegram e IA versionati nel database. Nessun esecutore periodico pianificato; log ruotati per dimensione, cancellazione per età non implementata. </w:t>
      </w:r>
      <w:r>
        <w:rPr>
          <w:rFonts w:ascii="Liberation Mono" w:hAnsi="Liberation Mono"/>
          <w:sz w:val="18"/>
        </w:rPr>
        <w:t>AUDIT_RETENTION_DAYS</w:t>
      </w:r>
      <w:r>
        <w:t xml:space="preserve"> e </w:t>
      </w:r>
      <w:r>
        <w:rPr>
          <w:rFonts w:ascii="Liberation Mono" w:hAnsi="Liberation Mono"/>
          <w:sz w:val="18"/>
        </w:rPr>
        <w:t>TRADE_RETENTION_DAYS</w:t>
      </w:r>
      <w:r>
        <w:t xml:space="preserve"> non attivano cancellazioni. Escludi segreti, sessioni, log e dati personali dal repository; il ripristino non deve attivare trading o duplicare collector.</w:t>
      </w:r>
    </w:p>
    <w:p>
      <w:pPr>
        <w:pStyle w:val="Heading1"/>
      </w:pPr>
      <w:r>
        <w:t>Capacità ancora da implementare</w:t>
      </w:r>
    </w:p>
    <w:p>
      <w:r>
        <w:t xml:space="preserve">MT5 richiede conto demo, terminale Windows, bridge firmato e collaudo del broker. Credenziali broker solo nel terminale; chiavi bridge distinte. Live, ordini pendenti e chiusure parziali restano disabilitati. Il bot degli avvisi è futuro e separato dal collector. </w:t>
      </w:r>
      <w:hyperlink r:id="rId21">
        <w:r>
          <w:rPr>
            <w:rStyle w:val="Hyperlink"/>
          </w:rPr>
          <w:t>Architettura</w:t>
        </w:r>
      </w:hyperlink>
      <w:r>
        <w:t>.</w:t>
      </w:r>
    </w:p>
    <w:p>
      <w:pPr>
        <w:pStyle w:val="Heading1"/>
      </w:pPr>
      <w:r>
        <w:t>Aggiornare solo quando necessario</w:t>
      </w:r>
    </w:p>
    <w:p>
      <w:r>
        <w:t>Modifica la guida interessata quando cambia un comportamento documentato, una procedura, un account, una variabile o un controllo, oppure su richiesta del cliente. Refactoring e test senza impatto documentato non richiedono revisioni. Aggiorna entrambe solo se entrambe sono coinvolte; allinea diagrammi e disponibilità quando necessario.</w:t>
      </w:r>
    </w:p>
    <w:p>
      <w:r>
        <w:t xml:space="preserve">Data Europe/Rome, breve voce in cronologia e Word corrispondente per ogni guida modificata. Rigenera con </w:t>
      </w:r>
      <w:r>
        <w:rPr>
          <w:rFonts w:ascii="Liberation Mono" w:hAnsi="Liberation Mono"/>
          <w:sz w:val="18"/>
        </w:rPr>
        <w:t>python infra/scripts/build_guides.py</w:t>
      </w:r>
      <w:r>
        <w:t xml:space="preserve"> nel runtime documentale con python-docx; </w:t>
      </w:r>
      <w:r>
        <w:rPr>
          <w:rFonts w:ascii="Liberation Mono" w:hAnsi="Liberation Mono"/>
          <w:sz w:val="18"/>
        </w:rPr>
        <w:t>--guide cliente</w:t>
      </w:r>
      <w:r>
        <w:t xml:space="preserve"> o </w:t>
      </w:r>
      <w:r>
        <w:rPr>
          <w:rFonts w:ascii="Liberation Mono" w:hAnsi="Liberation Mono"/>
          <w:sz w:val="18"/>
        </w:rPr>
        <w:t>--guide team</w:t>
      </w:r>
      <w:r>
        <w:t xml:space="preserve"> seleziona una sola guida. Usa la skill Documents, renderizza e controlla ogni pagina prima della consegna. Nessuna automazione ricorrente è richiesta.</w:t>
      </w:r>
    </w:p>
    <w:p>
      <w:pPr>
        <w:pStyle w:val="Heading1"/>
      </w:pPr>
      <w:r>
        <w:t>Cronologia delle revisioni</w:t>
      </w:r>
    </w:p>
    <w:p>
      <w:r>
        <w:t>9 ottobre 2026 — Prima guida di setup, ruoli, cifratura e recupero Telegram locale.</w:t>
      </w:r>
    </w:p>
    <w:p>
      <w:r>
        <w:t>11 ottobre 2026 — Parser, istruzioni versionate, agenti, budget e recupero conservativo; rete, rischio e MT5 ancora soggetti ai rispettivi gate.</w:t>
      </w:r>
    </w:p>
    <w:p>
      <w:r>
        <w:t>12 ottobre 2026 — Vercel, Access/MFA, ambienti separati e OpenRouter con ricevute e costi; VPS e account reali da collaudare.</w:t>
      </w:r>
    </w:p>
    <w:p>
      <w:r>
        <w:t>12 ottobre 2026 — Tema chiaro e scuro verificato anche su mobile, senza nuove credenziali.</w:t>
      </w:r>
    </w:p>
    <w:p>
      <w:r>
        <w:t>12 ottobre 2026 — Guide snellite, diagrammi e rinvii operativi; distinti limiti attuali e funzioni future. Aggiornamenti documentali solo quando necessari.</w:t>
      </w:r>
    </w:p>
    <w:p>
      <w:r>
        <w:t>12 ottobre 2026 — Fase 6: rischio locale verificato; esecuzione futura. Diagrammi e Word aggiornati.</w:t>
      </w:r>
    </w:p>
    <w:p>
      <w:r>
        <w:t>12 ottobre 2026 — Fase 7: ordini simulati, firma e recupero verificati. API e credenziali esterne ai test finali; migrazione, diagrammi e Word aggiornati.</w:t>
      </w:r>
    </w:p>
    <w:p>
      <w:r>
        <w:t>12 ottobre 2026 — Stop, chiusure complete, storico e ripresa paper verificati; migrazione, diagrammi e Word aggiornati.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Aggiornamento 12 ottobre 2026 ·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TRD · Preparazione del team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259" w:lineRule="auto" w:after="120"/>
    </w:pPr>
    <w:rPr>
      <w:rFonts w:ascii="Calibri" w:hAnsi="Calibri"/>
      <w:color w:val="000000"/>
      <w:sz w:val="21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able">
    <w:name w:val="Guide Table"/>
    <w:basedOn w:val="Normal"/>
    <w:pPr>
      <w:spacing w:after="40" w:line="250" w:lineRule="auto"/>
    </w:pPr>
    <w:rPr>
      <w:sz w:val="18"/>
    </w:rPr>
  </w:style>
  <w:style w:type="paragraph" w:customStyle="1" w:styleId="GuideCode">
    <w:name w:val="Guide Code"/>
    <w:basedOn w:val="Normal"/>
    <w:pPr>
      <w:spacing w:after="6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../ENVIRONMENT.md" TargetMode="External"/><Relationship Id="rId13" Type="http://schemas.openxmlformats.org/officeDocument/2006/relationships/hyperlink" Target="../TELEGRAM.md" TargetMode="External"/><Relationship Id="rId14" Type="http://schemas.openxmlformats.org/officeDocument/2006/relationships/image" Target="media/image2.png"/><Relationship Id="rId15" Type="http://schemas.openxmlformats.org/officeDocument/2006/relationships/hyperlink" Target="../ANALYSIS.md" TargetMode="External"/><Relationship Id="rId16" Type="http://schemas.openxmlformats.org/officeDocument/2006/relationships/hyperlink" Target="../PAPER_POSITIONS.md" TargetMode="External"/><Relationship Id="rId17" Type="http://schemas.openxmlformats.org/officeDocument/2006/relationships/hyperlink" Target="../POSITION_MANAGEMENT_VALIDATION.md" TargetMode="External"/><Relationship Id="rId18" Type="http://schemas.openxmlformats.org/officeDocument/2006/relationships/hyperlink" Target="../OPENROUTER.md" TargetMode="External"/><Relationship Id="rId19" Type="http://schemas.openxmlformats.org/officeDocument/2006/relationships/hyperlink" Target="../DEPLOYMENT_VERCEL.md" TargetMode="External"/><Relationship Id="rId20" Type="http://schemas.openxmlformats.org/officeDocument/2006/relationships/hyperlink" Target="../DEPLOYMENT_WINDOWS.md" TargetMode="External"/><Relationship Id="rId21" Type="http://schemas.openxmlformats.org/officeDocument/2006/relationships/hyperlink" Target="../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TRD · Preparazione del team</dc:title>
  <dc:subject/>
  <dc:creator>TRD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