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TRD Guida cliente</w:t>
      </w:r>
    </w:p>
    <w:p>
      <w:pPr>
        <w:pStyle w:val="Subtitle"/>
      </w:pPr>
      <w:r>
        <w:t>Aggiornamento del 12 ottobre 2026 | Fase 7 | Analisi e ordini simulati in locale</w:t>
      </w:r>
    </w:p>
    <w:p>
      <w:r>
        <w:t xml:space="preserve">TRD raccoglie fonti Telegram autorizzate e mostra segnali e analisi nella dashboard. </w:t>
      </w:r>
      <w:r>
        <w:rPr>
          <w:b/>
        </w:rPr>
        <w:t>Nessun ordine al broker:</w:t>
      </w:r>
      <w:r>
        <w:t xml:space="preserve"> il laboratorio lavora in simulazione. L’installazione resta locale; raccolta e agenti sono disattivati fino alla configurazione.</w:t>
      </w:r>
    </w:p>
    <w:p>
      <w:pPr>
        <w:pStyle w:val="Heading1"/>
      </w:pPr>
      <w:r>
        <w:t>Il percorso di un segnale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074400"/>
            <wp:docPr id="1" name="Picture 1" descr="Flusso da Telegram alla dashboard con controlli e arresto prima degli ordin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sso-segn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7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Apri il </w:t>
      </w:r>
      <w:hyperlink r:id="rId12">
        <w:r>
          <w:rPr>
            <w:rStyle w:val="Hyperlink"/>
          </w:rPr>
          <w:t>diagramma interattivo</w:t>
        </w:r>
      </w:hyperlink>
      <w:r>
        <w:t xml:space="preserve"> nel browser per esplorare ogni passaggio. Funziona anche senza connessione.</w:t>
      </w:r>
    </w:p>
    <w:p>
      <w:pPr>
        <w:pStyle w:val="Heading1"/>
      </w:pPr>
      <w:r>
        <w:t>Cosa è disponibile oggi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09"/>
        <w:gridCol w:w="5216"/>
      </w:tblGrid>
      <w:tr>
        <w:trPr>
          <w:cantSplit/>
          <w:tblHeader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Funzione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Stato e limite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Dashboard e utenti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Implementati e verificati in locale; amministratore modifica, lettore consulta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Fonti e messaggi Telegram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Implementati e verificati con dati di prova; account reale da collegare e collaudare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Classificazione e interpretazione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Locali, con formato rigoroso; attivazione esplicita degli agenti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Analisi e decisione IA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Consultive; simulatore disponibile, senza dati di mercato verificati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OpenRouter e accesso remoto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Implementati e verificati con dati di prova; account, dominio, MFA e collaudo reale ancora richiesti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Rischio e posizioni simulate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Aperture, stop, chiusure complete, risultati e recupero verificati nel laboratorio locale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Bridge e adattatore MT5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Aperture, stop, chiusure ed esiti del broker verificati in simulazione; terminale e conto demo da collaudare</w:t>
            </w:r>
          </w:p>
        </w:tc>
      </w:tr>
    </w:tbl>
    <w:p>
      <w:pPr>
        <w:spacing w:after="40"/>
      </w:pPr>
    </w:p>
    <w:p>
      <w:pPr>
        <w:pStyle w:val="Heading1"/>
      </w:pPr>
      <w:r>
        <w:t>Accedere e scegliere le fonti</w:t>
      </w:r>
    </w:p>
    <w:p>
      <w:pPr>
        <w:pStyle w:val="ListNumber"/>
        <w:keepNext/>
        <w:numPr>
          <w:numId w:val="10"/>
        </w:numPr>
      </w:pPr>
      <w:r>
        <w:t xml:space="preserve">Apri l’indirizzo comunicato dal team; in locale è </w:t>
      </w:r>
      <w:r>
        <w:rPr>
          <w:rFonts w:ascii="Liberation Mono" w:hAnsi="Liberation Mono"/>
          <w:sz w:val="18"/>
        </w:rPr>
        <w:t>http://localhost:3000</w:t>
      </w:r>
      <w:r>
        <w:t>. Usa email e password personali. Il lettore consulta; l’amministratore salva modifiche confermate.</w:t>
      </w:r>
    </w:p>
    <w:p>
      <w:pPr>
        <w:pStyle w:val="ListNumber"/>
        <w:keepNext/>
        <w:numPr>
          <w:numId w:val="10"/>
        </w:numPr>
      </w:pPr>
      <w:r>
        <w:t xml:space="preserve">In </w:t>
      </w:r>
      <w:r>
        <w:rPr>
          <w:b/>
        </w:rPr>
        <w:t>Fonti Telegram</w:t>
      </w:r>
      <w:r>
        <w:t xml:space="preserve">, scegli </w:t>
      </w:r>
      <w:r>
        <w:rPr>
          <w:b/>
        </w:rPr>
        <w:t>Aggiungi fonte</w:t>
      </w:r>
      <w:r>
        <w:t xml:space="preserve">. Inserisci nome e riferimento: </w:t>
      </w:r>
      <w:r>
        <w:rPr>
          <w:rFonts w:ascii="Liberation Mono" w:hAnsi="Liberation Mono"/>
          <w:sz w:val="18"/>
        </w:rPr>
        <w:t>@nomecanale</w:t>
      </w:r>
      <w:r>
        <w:t>, link pubblico o identificativo del gruppo fornito dal team.</w:t>
      </w:r>
    </w:p>
    <w:p>
      <w:pPr>
        <w:pStyle w:val="ListNumber"/>
        <w:keepNext/>
        <w:numPr>
          <w:numId w:val="10"/>
        </w:numPr>
      </w:pPr>
      <w:r>
        <w:t xml:space="preserve">Imposta la lettura su </w:t>
      </w:r>
      <w:r>
        <w:rPr>
          <w:b/>
        </w:rPr>
        <w:t>Autorizzata</w:t>
      </w:r>
      <w:r>
        <w:t xml:space="preserve">, poi </w:t>
      </w:r>
      <w:r>
        <w:rPr>
          <w:b/>
        </w:rPr>
        <w:t>Rivedi modifica</w:t>
      </w:r>
      <w:r>
        <w:t xml:space="preserve"> e </w:t>
      </w:r>
      <w:r>
        <w:rPr>
          <w:b/>
        </w:rPr>
        <w:t>Conferma e salva</w:t>
      </w:r>
      <w:r>
        <w:t>. Per i gruppi privati l’account deve già avere accesso. TRD non si iscrive automaticamente.</w:t>
      </w:r>
    </w:p>
    <w:p>
      <w:pPr>
        <w:pStyle w:val="ListNumber"/>
        <w:keepNext w:val="0"/>
        <w:numPr>
          <w:numId w:val="10"/>
        </w:numPr>
      </w:pPr>
      <w:r>
        <w:t xml:space="preserve">Controlla </w:t>
      </w:r>
      <w:r>
        <w:rPr>
          <w:b/>
        </w:rPr>
        <w:t>Lettura verificata</w:t>
      </w:r>
      <w:r>
        <w:t xml:space="preserve"> e </w:t>
      </w:r>
      <w:r>
        <w:rPr>
          <w:b/>
        </w:rPr>
        <w:t>Ultima verifica</w:t>
      </w:r>
      <w:r>
        <w:t xml:space="preserve">. Una fonte salvata può essere ancora in attesa del collegamento. Usa </w:t>
      </w:r>
      <w:r>
        <w:rPr>
          <w:b/>
        </w:rPr>
        <w:t>Aggiorna dati</w:t>
      </w:r>
      <w:r>
        <w:t xml:space="preserve"> per leggere lo stato recente.</w:t>
      </w:r>
    </w:p>
    <w:p>
      <w:r>
        <w:t xml:space="preserve">Il team collega Telegram con una procedura locale: </w:t>
      </w:r>
      <w:r>
        <w:rPr>
          <w:b/>
        </w:rPr>
        <w:t>telefono, codici e password Telegram non vanno nella dashboard</w:t>
      </w:r>
      <w:r>
        <w:t>. Puoi rinominare o disattivare una fonte; per cambiare canale aggiungine una nuova. Massimo 32 fonti per ambiente.</w:t>
      </w:r>
    </w:p>
    <w:p>
      <w:r>
        <w:t xml:space="preserve">La sessione TRD scade dopo 30 minuti di inattività o 8 ore totali. Usa </w:t>
      </w:r>
      <w:r>
        <w:rPr>
          <w:b/>
        </w:rPr>
        <w:t>Esci</w:t>
      </w:r>
      <w:r>
        <w:t xml:space="preserve"> sui dispositivi condivisi; utenti e recupero password richiedono il team. Il tema chiaro o scuro è selezionabile anche all’accesso e su mobile: la scelta resta nel browser per un anno. Le date sono mostrate nel fuso italiano.</w:t>
      </w:r>
    </w:p>
    <w:p>
      <w:r>
        <w:t>Per l’accesso remoto usa il dominio protetto consegnato dal team, completa MFA e accedi a TRD con la stessa email autorizzata. Staging e produzione hanno dati e account separati; produzione non significa trading reale.</w:t>
      </w:r>
    </w:p>
    <w:p>
      <w:pPr>
        <w:pStyle w:val="Heading1"/>
      </w:pPr>
      <w:r>
        <w:t>Capire messaggi e analisi</w:t>
      </w:r>
    </w:p>
    <w:p>
      <w:r>
        <w:t xml:space="preserve">In </w:t>
      </w:r>
      <w:r>
        <w:rPr>
          <w:b/>
        </w:rPr>
        <w:t>Messaggi Telegram</w:t>
      </w:r>
      <w:r>
        <w:t xml:space="preserve"> trovi anteprima, fonte, evento e versione. TRD conserva revisioni e cancellazioni osservate, evita duplicati e non apre link né scarica allegati. La lettura iniziale è ogni 30 secondi; il recupero dopo una pausa copre fino a 24 ore. Eventi scomparsi prima dell’osservazione o fuori finestra possono mancare.</w:t>
      </w:r>
    </w:p>
    <w:p>
      <w:r>
        <w:t>Un segnale deve contenere direzione, strumento, ingresso, stop loss e take profit. Esempio inventato, solo per spiegare il formato:</w:t>
      </w:r>
    </w:p>
    <w:p>
      <w:r/>
      <w:r>
        <w:rPr>
          <w:rFonts w:ascii="Liberation Mono" w:hAnsi="Liberation Mono"/>
          <w:sz w:val="18"/>
        </w:rPr>
        <w:t>BUY EURUSD ENTRY 1.10000 SL 1.09500 TP 1.11000</w:t>
      </w:r>
      <w:r/>
    </w:p>
    <w:p>
      <w:r>
        <w:t>Sono riconosciuti EURUSD, GBPUSD, USDJPY, USDCHF, AUDUSD, USDCAD e NZDUSD. Questo elenco riguarda il testo; non autorizza operazioni. Il segnale iniziale deve essere completo, non una risposta e pubblicato da non più di 15 minuti. Intervalli, suffissi, più obiettivi o istruzioni extra richiedono revisione. Modifiche e cancellazioni fermano la proposta precedente; le risposte non aprono una seconda proposta.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09"/>
        <w:gridCol w:w="5216"/>
      </w:tblGrid>
      <w:tr>
        <w:trPr>
          <w:cantSplit/>
          <w:tblHeader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Esito o stato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DFEAF3"/>
          </w:tcPr>
          <w:p>
            <w:pPr>
              <w:pStyle w:val="GuideTable"/>
            </w:pPr>
            <w:r>
              <w:rPr>
                <w:b/>
              </w:rPr>
              <w:t>Significato e azione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Ignorato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Non è stato riconosciuto un segnale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Richiede revisione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Testo ambiguo, risposta, modifica o configurazione incompleta; verifica con il team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Scaduto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Superata la finestra per l’analisi del segnale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In attesa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Proposta consultiva; nell’avvio normale mancano conto e mercato verificati. Nessun ordine reale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Fonte non accessibile o interruzione da verificare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pStyle w:val="GuideTable"/>
            </w:pPr>
            <w:r>
              <w:rPr>
                <w:b w:val="0"/>
              </w:rPr>
              <w:t>Comunica al team fonte, stato e ora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Attesa richiesta da Telegram</w:t>
            </w:r>
          </w:p>
        </w:tc>
        <w:tc>
          <w:tcPr>
            <w:tcW w:type="dxa" w:w="52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5F8FA"/>
          </w:tcPr>
          <w:p>
            <w:pPr>
              <w:pStyle w:val="GuideTable"/>
            </w:pPr>
            <w:r>
              <w:rPr>
                <w:b w:val="0"/>
              </w:rPr>
              <w:t>Il servizio rispetta la pausa; non reinserire la fonte</w:t>
            </w:r>
          </w:p>
        </w:tc>
      </w:tr>
    </w:tbl>
    <w:p>
      <w:pPr>
        <w:spacing w:after="40"/>
      </w:pPr>
    </w:p>
    <w:p>
      <w:pPr>
        <w:pStyle w:val="Heading1"/>
      </w:pPr>
      <w:r>
        <w:t>Agenti IA e costi</w:t>
      </w:r>
    </w:p>
    <w:p>
      <w:r>
        <w:t xml:space="preserve">Il percorso usa </w:t>
      </w:r>
      <w:r>
        <w:rPr>
          <w:b/>
        </w:rPr>
        <w:t>classificazione → interpretazione → analisi di mercato → valutazione della decisione</w:t>
      </w:r>
      <w:r>
        <w:t xml:space="preserve">. La </w:t>
      </w:r>
      <w:r>
        <w:rPr>
          <w:b/>
        </w:rPr>
        <w:t>verifica critica</w:t>
      </w:r>
      <w:r>
        <w:t xml:space="preserve"> si aggiunge se attivata; se il server la rende obbligatoria, la sua assenza ferma l’analisi. La revisione delle posizioni resta futura.</w:t>
      </w:r>
    </w:p>
    <w:p>
      <w:r>
        <w:t xml:space="preserve">L’amministratore configura gli agenti in </w:t>
      </w:r>
      <w:r>
        <w:rPr>
          <w:b/>
        </w:rPr>
        <w:t>Agenti IA</w:t>
      </w:r>
      <w:r>
        <w:t xml:space="preserve"> con riepilogo e conferma. Non si attivano da soli. Il simulatore costa zero e restituisce attesa perché non osserva mercato o conto. In </w:t>
      </w:r>
      <w:r>
        <w:rPr>
          <w:b/>
        </w:rPr>
        <w:t>Segnali</w:t>
      </w:r>
      <w:r>
        <w:t>, apri il dettaglio per vedere prezzi, motivi e tentativi.</w:t>
      </w:r>
    </w:p>
    <w:p>
      <w:r>
        <w:t>OpenRouter richiede collaudo del team, modello approvato non scaduto e costo massimo positivo entro i budget server. Può servire analisi, decisione e critica; classificazione e interpretazione restano locali. Al fornitore va la proposta normalizzata, non il testo Telegram completo. Le chiavi API restano sul server.</w:t>
      </w:r>
    </w:p>
    <w:p>
      <w:r/>
      <w:r>
        <w:rPr>
          <w:b/>
        </w:rPr>
        <w:t>Costi IA</w:t>
      </w:r>
      <w:r>
        <w:t xml:space="preserve"> distingue costo contabilizzato, costo del fornitore e importi prenotati. Un consumo sconosciuto conserva la prenotazione e ferma altri tentativi; chiedi al team la riconciliazione. Un riavvio non libera l’importo né reinvia automaticamente quella richiesta. Anche un esito positivo dell’IA non autorizza un ordine.</w:t>
      </w:r>
    </w:p>
    <w:p>
      <w:pPr>
        <w:pStyle w:val="Heading1"/>
      </w:pPr>
      <w:r>
        <w:t>Regole e protezioni</w:t>
      </w:r>
    </w:p>
    <w:p>
      <w:r>
        <w:t xml:space="preserve">Ogni modifica amministrativa richiede conferma, valida per 2 minuti e legata alla versione corrente. Se un altro amministratore ha modificato i dati, aggiorna e rivedi. Il </w:t>
      </w:r>
      <w:r>
        <w:rPr>
          <w:b/>
        </w:rPr>
        <w:t>Registro attività</w:t>
      </w:r>
      <w:r>
        <w:t xml:space="preserve"> conserva accessi e cambiamenti.</w:t>
      </w:r>
    </w:p>
    <w:p>
      <w:r>
        <w:t xml:space="preserve">Nei </w:t>
      </w:r>
      <w:r>
        <w:rPr>
          <w:b/>
        </w:rPr>
        <w:t>Controlli del rischio</w:t>
      </w:r>
      <w:r>
        <w:t xml:space="preserve"> puoi ridurre i limiti, mantenendo stop obbligatori e trading reale disabilitato. Nel laboratorio, esiti incerti conservano l’esposizione e fermano nuove aperture.</w:t>
      </w:r>
    </w:p>
    <w:p>
      <w:r>
        <w:t xml:space="preserve">In </w:t>
      </w:r>
      <w:r>
        <w:rPr>
          <w:b/>
        </w:rPr>
        <w:t>Posizioni</w:t>
      </w:r>
      <w:r>
        <w:t xml:space="preserve">, ADMIN usa </w:t>
      </w:r>
      <w:r>
        <w:rPr>
          <w:b/>
        </w:rPr>
        <w:t>Gestisci simulazione</w:t>
      </w:r>
      <w:r>
        <w:t xml:space="preserve"> per rivedere e confermare chiusura completa o stop che riduce il rischio. La richiesta non conferma l’esecuzione: aggiorna per vedere esito e risultato netto, con commissioni simulate. </w:t>
      </w:r>
      <w:r>
        <w:rPr>
          <w:b/>
        </w:rPr>
        <w:t>Verifica ripresa</w:t>
      </w:r>
      <w:r>
        <w:t xml:space="preserve"> richiede dati riconciliati; non libera esiti incerti né azzera il blocco giornaliero. Un errore dei dati richiede conto senza posizioni. Tutto resta nel laboratorio locale.</w:t>
      </w:r>
    </w:p>
    <w:p>
      <w:r>
        <w:t xml:space="preserve">In </w:t>
      </w:r>
      <w:r>
        <w:rPr>
          <w:b/>
        </w:rPr>
        <w:t>Impostazioni</w:t>
      </w:r>
      <w:r>
        <w:t xml:space="preserve"> scegli la conservazione. Il team avvia la pulizia dei contenuti Telegram e IA a piccoli lotti; la pulizia automatica periodica e quella dei log per età non sono disponibili. La rotazione dei log per dimensione è attiva.</w:t>
      </w:r>
    </w:p>
    <w:p>
      <w:r>
        <w:t>Nei test finali il team collega Telegram, OpenRouter e accesso remoto, verificando lettura, budget, privacy e MFA. L’adattatore MT5 prepara gli ordini in simulazione; collegamento al broker, riconciliazione reale e demo richiedono ancora collaudo. Live richiede autorizzazioni aggiuntive.</w:t>
      </w:r>
    </w:p>
    <w:p>
      <w:r/>
      <w:r>
        <w:rPr>
          <w:b/>
        </w:rPr>
        <w:t>Bridge MT5</w:t>
      </w:r>
      <w:r>
        <w:t xml:space="preserve"> spento all’avvio. Timeout o risposta parziale fermano nuove aperture e conservano il rischio; ricevuta e accettazione non confermano l’esecuzione. Credenziali esterne riservate ai test finali.</w:t>
      </w:r>
    </w:p>
    <w:p>
      <w:pPr>
        <w:pStyle w:val="Heading1"/>
      </w:pPr>
      <w:r>
        <w:t>Cronologia delle revisioni</w:t>
      </w:r>
    </w:p>
    <w:p>
      <w:pPr>
        <w:pStyle w:val="GuideRevision"/>
      </w:pPr>
      <w:r>
        <w:t>9 ottobre 2026 — Prima guida con accesso, fonti e raccolta Telegram; account reale da predisporre.</w:t>
      </w:r>
    </w:p>
    <w:p>
      <w:pPr>
        <w:pStyle w:val="GuideRevision"/>
      </w:pPr>
      <w:r>
        <w:t>11 ottobre 2026 — Analisi consultiva, agenti locali, tentativi e prenotazioni dei costi; trading disabilitato.</w:t>
      </w:r>
    </w:p>
    <w:p>
      <w:pPr>
        <w:pStyle w:val="GuideRevision"/>
      </w:pPr>
      <w:r>
        <w:t>12 ottobre 2026 — Preparazione Vercel, MFA e OpenRouter; account reali da collaudare, rischio e ordini futuri.</w:t>
      </w:r>
    </w:p>
    <w:p>
      <w:pPr>
        <w:pStyle w:val="GuideRevision"/>
      </w:pPr>
      <w:r>
        <w:t>12 ottobre 2026 — Tema chiaro e scuro verificato anche all’accesso e su mobile.</w:t>
      </w:r>
    </w:p>
    <w:p>
      <w:pPr>
        <w:pStyle w:val="GuideRevision"/>
      </w:pPr>
      <w:r>
        <w:t>12 ottobre 2026 — Guide snellite, diagrammi e rinvii operativi; distinti limiti attuali e funzioni future. Aggiornamenti documentali solo quando necessari.</w:t>
      </w:r>
    </w:p>
    <w:p>
      <w:pPr>
        <w:pStyle w:val="GuideRevision"/>
      </w:pPr>
      <w:r>
        <w:t>12 ottobre 2026 — Motore di rischio locale della fase 6 implementato e verificato. Chiariti i controlli e i lotti conservativi; conto, mercato autenticato, esecuzione e MT5 restano futuri. Aggiornati diagrammi e Word.</w:t>
      </w:r>
    </w:p>
    <w:p>
      <w:pPr>
        <w:pStyle w:val="GuideRevision"/>
      </w:pPr>
      <w:r>
        <w:t>12 ottobre 2026 — Fase 7: rischio e ordini simulati collegati e verificati in laboratorio locale. API, credenziali esterne e test demo rinviati al collaudo finale; diagrammi e Word aggiornati.</w:t>
      </w:r>
    </w:p>
    <w:p>
      <w:pPr>
        <w:pStyle w:val="GuideRevision"/>
      </w:pPr>
      <w:r>
        <w:t>12 ottobre 2026 — Posizioni paper, risultati e ripresa controllata verificati.</w:t>
      </w:r>
    </w:p>
    <w:p>
      <w:pPr>
        <w:pStyle w:val="GuideRevision"/>
      </w:pPr>
      <w:r>
        <w:t>12 ottobre 2026 — Bridge MT5 locale: sorgente e simulazione verificati; terminale e broker da collaudare.</w:t>
      </w:r>
    </w:p>
    <w:p>
      <w:pPr>
        <w:pStyle w:val="GuideRevision"/>
      </w:pPr>
      <w:r>
        <w:t>12 ottobre 2026 — Adattatore MT5 e recupero verificati in simulazione; broker e credenziali ai test finali.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3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Aggiornamento 12 ottobre 2026 · 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TRD · Guida operativa cliente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259" w:lineRule="auto" w:after="120"/>
    </w:pPr>
    <w:rPr>
      <w:rFonts w:ascii="Calibri" w:hAnsi="Calibri"/>
      <w:color w:val="000000"/>
      <w:sz w:val="21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able">
    <w:name w:val="Guide Table"/>
    <w:basedOn w:val="Normal"/>
    <w:pPr>
      <w:spacing w:after="40" w:line="250" w:lineRule="auto"/>
    </w:pPr>
    <w:rPr>
      <w:sz w:val="18"/>
    </w:rPr>
  </w:style>
  <w:style w:type="paragraph" w:customStyle="1" w:styleId="GuideCode">
    <w:name w:val="Guide Code"/>
    <w:basedOn w:val="Normal"/>
    <w:pPr>
      <w:spacing w:after="60"/>
    </w:pPr>
    <w:rPr>
      <w:rFonts w:ascii="Liberation Mono" w:hAnsi="Liberation Mono"/>
      <w:sz w:val="17"/>
    </w:rPr>
  </w:style>
  <w:style w:type="paragraph" w:customStyle="1" w:styleId="GuideRevision">
    <w:name w:val="Guide Revision"/>
    <w:basedOn w:val="Normal"/>
    <w:pPr>
      <w:spacing w:line="240" w:lineRule="auto" w:after="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FLUSSO_SISTEM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TRD · Guida operativa cliente</dc:title>
  <dc:subject/>
  <dc:creator>TRD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