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TRD Preparazione pratica per il team di sviluppo</w:t>
      </w:r>
    </w:p>
    <w:p>
      <w:pPr>
        <w:pStyle w:val="Subtitle"/>
      </w:pPr>
      <w:r>
        <w:t>Aggiornamento del 12 ottobre 2026 | Versione fase 5b | Vercel e backend persistente con ambienti separati</w:t>
      </w:r>
    </w:p>
    <w:p>
      <w:r>
        <w:t>Questa guida indica cosa predisporre per usare TRD con un cliente: ambiente, account, variabili, chiavi e verifiche. Accesso, dashboard, raccolta Telegram e analisi consultiva sono implementati. La preparazione prima della fase 6 aggiunge dashboard su Vercel, verifica remota Cloudflare Access con MFA, ambienti separati e adapter OpenRouter con collaudo esplicito. I test locali usano account e trasporti sintetici. Servono ancora dominio, account Vercel/Cloudflare, MFA reale, account OpenRouter e collaudo sul VPS. L’installazione esistente resta locale con mock, Telegram e trading disattivati. Il backend persistente resta Python su Windows, con percorso Linux disponibile; rischio ed esecuzione MT5 sono futuri.</w:t>
      </w:r>
    </w:p>
    <w:p>
      <w:r>
        <w:t>Le configurazioni future elencate qui preparano il lavoro del team. La presenza di una chiave non dimostra che l’integrazione sia implementata, collegata o autorizzata. Non inserire credenziali reali in questa guida, nei ticket, nei log o negli esempi condivisi.</w:t>
      </w:r>
    </w:p>
    <w:p>
      <w:pPr>
        <w:pStyle w:val="Heading1"/>
      </w:pPr>
      <w:r>
        <w:t>Account e accessi da predisporre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78"/>
        <w:gridCol w:w="3685"/>
        <w:gridCol w:w="3061"/>
      </w:tblGrid>
      <w:tr>
        <w:trPr>
          <w:cantSplit/>
          <w:tblHeader/>
        </w:trPr>
        <w:tc>
          <w:tcPr>
            <w:tcW w:type="dxa" w:w="2778"/>
            <w:tcMar>
              <w:top w:w="95" w:type="dxa"/>
              <w:left w:w="95" w:type="dxa"/>
              <w:bottom w:w="95" w:type="dxa"/>
              <w:right w:w="95" w:type="dxa"/>
            </w:tcMar>
            <w:shd w:fill="F2F2F2"/>
          </w:tcPr>
          <w:p>
            <w:pPr>
              <w:pStyle w:val="GuideTable"/>
            </w:pPr>
            <w:r>
              <w:rPr>
                <w:b/>
              </w:rPr>
              <w:t>Account o servizio</w:t>
            </w:r>
          </w:p>
        </w:tc>
        <w:tc>
          <w:tcPr>
            <w:tcW w:type="dxa" w:w="3685"/>
            <w:tcMar>
              <w:top w:w="95" w:type="dxa"/>
              <w:left w:w="95" w:type="dxa"/>
              <w:bottom w:w="95" w:type="dxa"/>
              <w:right w:w="95" w:type="dxa"/>
            </w:tcMar>
            <w:shd w:fill="F2F2F2"/>
          </w:tcPr>
          <w:p>
            <w:pPr>
              <w:pStyle w:val="GuideTable"/>
            </w:pPr>
            <w:r>
              <w:rPr>
                <w:b/>
              </w:rPr>
              <w:t>Cosa predisporre</w:t>
            </w:r>
          </w:p>
        </w:tc>
        <w:tc>
          <w:tcPr>
            <w:tcW w:type="dxa" w:w="3061"/>
            <w:tcMar>
              <w:top w:w="95" w:type="dxa"/>
              <w:left w:w="95" w:type="dxa"/>
              <w:bottom w:w="95" w:type="dxa"/>
              <w:right w:w="95" w:type="dxa"/>
            </w:tcMar>
            <w:shd w:fill="F2F2F2"/>
          </w:tcPr>
          <w:p>
            <w:pPr>
              <w:pStyle w:val="GuideTable"/>
            </w:pPr>
            <w:r>
              <w:rPr>
                <w:b/>
              </w:rPr>
              <w:t>Quando serve</w:t>
            </w:r>
          </w:p>
        </w:tc>
      </w:tr>
      <w:tr>
        <w:trPr>
          <w:cantSplit/>
        </w:trPr>
        <w:tc>
          <w:tcPr>
            <w:tcW w:type="dxa" w:w="2778"/>
            <w:tcMar>
              <w:top w:w="95" w:type="dxa"/>
              <w:left w:w="95" w:type="dxa"/>
              <w:bottom w:w="95" w:type="dxa"/>
              <w:right w:w="95" w:type="dxa"/>
            </w:tcMar>
          </w:tcPr>
          <w:p>
            <w:pPr>
              <w:pStyle w:val="GuideTable"/>
            </w:pPr>
            <w:r>
              <w:rPr>
                <w:b w:val="0"/>
              </w:rPr>
              <w:t>Utenti TRD</w:t>
            </w:r>
          </w:p>
        </w:tc>
        <w:tc>
          <w:tcPr>
            <w:tcW w:type="dxa" w:w="3685"/>
            <w:tcMar>
              <w:top w:w="95" w:type="dxa"/>
              <w:left w:w="95" w:type="dxa"/>
              <w:bottom w:w="95" w:type="dxa"/>
              <w:right w:w="95" w:type="dxa"/>
            </w:tcMar>
          </w:tcPr>
          <w:p>
            <w:pPr>
              <w:pStyle w:val="GuideTable"/>
            </w:pPr>
            <w:r>
              <w:rPr>
                <w:b w:val="0"/>
              </w:rPr>
              <w:t>Amministratore iniziale e utenti nominativi ADMIN o VIEWER</w:t>
            </w:r>
          </w:p>
        </w:tc>
        <w:tc>
          <w:tcPr>
            <w:tcW w:type="dxa" w:w="3061"/>
            <w:tcMar>
              <w:top w:w="95" w:type="dxa"/>
              <w:left w:w="95" w:type="dxa"/>
              <w:bottom w:w="95" w:type="dxa"/>
              <w:right w:w="95" w:type="dxa"/>
            </w:tcMar>
          </w:tcPr>
          <w:p>
            <w:pPr>
              <w:pStyle w:val="GuideTable"/>
            </w:pPr>
            <w:r>
              <w:rPr>
                <w:b w:val="0"/>
              </w:rPr>
              <w:t>Già ora per la dashboard</w:t>
            </w:r>
          </w:p>
        </w:tc>
      </w:tr>
      <w:tr>
        <w:trPr>
          <w:cantSplit/>
        </w:trPr>
        <w:tc>
          <w:tcPr>
            <w:tcW w:type="dxa" w:w="2778"/>
            <w:tcMar>
              <w:top w:w="95" w:type="dxa"/>
              <w:left w:w="95" w:type="dxa"/>
              <w:bottom w:w="95" w:type="dxa"/>
              <w:right w:w="95" w:type="dxa"/>
            </w:tcMar>
          </w:tcPr>
          <w:p>
            <w:pPr>
              <w:pStyle w:val="GuideTable"/>
            </w:pPr>
            <w:r>
              <w:rPr>
                <w:b w:val="0"/>
              </w:rPr>
              <w:t>PostgreSQL</w:t>
            </w:r>
          </w:p>
        </w:tc>
        <w:tc>
          <w:tcPr>
            <w:tcW w:type="dxa" w:w="3685"/>
            <w:tcMar>
              <w:top w:w="95" w:type="dxa"/>
              <w:left w:w="95" w:type="dxa"/>
              <w:bottom w:w="95" w:type="dxa"/>
              <w:right w:w="95" w:type="dxa"/>
            </w:tcMar>
          </w:tcPr>
          <w:p>
            <w:pPr>
              <w:pStyle w:val="GuideTable"/>
            </w:pPr>
            <w:r>
              <w:rPr>
                <w:b w:val="0"/>
              </w:rPr>
              <w:t>Istanza locale; istanze staging e produzione indipendenti, ruoli con password distinte</w:t>
            </w:r>
          </w:p>
        </w:tc>
        <w:tc>
          <w:tcPr>
            <w:tcW w:type="dxa" w:w="3061"/>
            <w:tcMar>
              <w:top w:w="95" w:type="dxa"/>
              <w:left w:w="95" w:type="dxa"/>
              <w:bottom w:w="95" w:type="dxa"/>
              <w:right w:w="95" w:type="dxa"/>
            </w:tcMar>
          </w:tcPr>
          <w:p>
            <w:pPr>
              <w:pStyle w:val="GuideTable"/>
            </w:pPr>
            <w:r>
              <w:rPr>
                <w:b w:val="0"/>
              </w:rPr>
              <w:t>Già ora in locale; prima del deploy remoto</w:t>
            </w:r>
          </w:p>
        </w:tc>
      </w:tr>
      <w:tr>
        <w:trPr>
          <w:cantSplit/>
        </w:trPr>
        <w:tc>
          <w:tcPr>
            <w:tcW w:type="dxa" w:w="2778"/>
            <w:tcMar>
              <w:top w:w="95" w:type="dxa"/>
              <w:left w:w="95" w:type="dxa"/>
              <w:bottom w:w="95" w:type="dxa"/>
              <w:right w:w="95" w:type="dxa"/>
            </w:tcMar>
          </w:tcPr>
          <w:p>
            <w:pPr>
              <w:pStyle w:val="GuideTable"/>
            </w:pPr>
            <w:r>
              <w:rPr>
                <w:b w:val="0"/>
              </w:rPr>
              <w:t>Telegram lettura</w:t>
            </w:r>
          </w:p>
        </w:tc>
        <w:tc>
          <w:tcPr>
            <w:tcW w:type="dxa" w:w="3685"/>
            <w:tcMar>
              <w:top w:w="95" w:type="dxa"/>
              <w:left w:w="95" w:type="dxa"/>
              <w:bottom w:w="95" w:type="dxa"/>
              <w:right w:w="95" w:type="dxa"/>
            </w:tcMar>
          </w:tcPr>
          <w:p>
            <w:pPr>
              <w:pStyle w:val="GuideTable"/>
            </w:pPr>
            <w:r>
              <w:rPr>
                <w:b w:val="0"/>
              </w:rPr>
              <w:t>Account umano autorizzato dal cliente, accesso alle fonti, API ID e API hash dell’applicazione</w:t>
            </w:r>
          </w:p>
        </w:tc>
        <w:tc>
          <w:tcPr>
            <w:tcW w:type="dxa" w:w="3061"/>
            <w:tcMar>
              <w:top w:w="95" w:type="dxa"/>
              <w:left w:w="95" w:type="dxa"/>
              <w:bottom w:w="95" w:type="dxa"/>
              <w:right w:w="95" w:type="dxa"/>
            </w:tcMar>
          </w:tcPr>
          <w:p>
            <w:pPr>
              <w:pStyle w:val="GuideTable"/>
            </w:pPr>
            <w:r>
              <w:rPr>
                <w:b w:val="0"/>
              </w:rPr>
              <w:t>Prima di attivare la raccolta reale</w:t>
            </w:r>
          </w:p>
        </w:tc>
      </w:tr>
      <w:tr>
        <w:trPr>
          <w:cantSplit/>
        </w:trPr>
        <w:tc>
          <w:tcPr>
            <w:tcW w:type="dxa" w:w="2778"/>
            <w:tcMar>
              <w:top w:w="95" w:type="dxa"/>
              <w:left w:w="95" w:type="dxa"/>
              <w:bottom w:w="95" w:type="dxa"/>
              <w:right w:w="95" w:type="dxa"/>
            </w:tcMar>
          </w:tcPr>
          <w:p>
            <w:pPr>
              <w:pStyle w:val="GuideTable"/>
            </w:pPr>
            <w:r>
              <w:rPr>
                <w:b w:val="0"/>
              </w:rPr>
              <w:t>OpenRouter</w:t>
            </w:r>
          </w:p>
        </w:tc>
        <w:tc>
          <w:tcPr>
            <w:tcW w:type="dxa" w:w="3685"/>
            <w:tcMar>
              <w:top w:w="95" w:type="dxa"/>
              <w:left w:w="95" w:type="dxa"/>
              <w:bottom w:w="95" w:type="dxa"/>
              <w:right w:w="95" w:type="dxa"/>
            </w:tcMar>
          </w:tcPr>
          <w:p>
            <w:pPr>
              <w:pStyle w:val="GuideTable"/>
            </w:pPr>
            <w:r>
              <w:rPr>
                <w:b w:val="0"/>
              </w:rPr>
              <w:t>Account/chiave per ambiente, credito, modello e provider esatti, prezzi e limiti verificati</w:t>
            </w:r>
          </w:p>
        </w:tc>
        <w:tc>
          <w:tcPr>
            <w:tcW w:type="dxa" w:w="3061"/>
            <w:tcMar>
              <w:top w:w="95" w:type="dxa"/>
              <w:left w:w="95" w:type="dxa"/>
              <w:bottom w:w="95" w:type="dxa"/>
              <w:right w:w="95" w:type="dxa"/>
            </w:tcMar>
          </w:tcPr>
          <w:p>
            <w:pPr>
              <w:pStyle w:val="GuideTable"/>
            </w:pPr>
            <w:r>
              <w:rPr>
                <w:b w:val="0"/>
              </w:rPr>
              <w:t>Prima del collaudo sintetico a pagamento e dell’attivazione</w:t>
            </w:r>
          </w:p>
        </w:tc>
      </w:tr>
      <w:tr>
        <w:trPr>
          <w:cantSplit/>
        </w:trPr>
        <w:tc>
          <w:tcPr>
            <w:tcW w:type="dxa" w:w="2778"/>
            <w:tcMar>
              <w:top w:w="95" w:type="dxa"/>
              <w:left w:w="95" w:type="dxa"/>
              <w:bottom w:w="95" w:type="dxa"/>
              <w:right w:w="95" w:type="dxa"/>
            </w:tcMar>
          </w:tcPr>
          <w:p>
            <w:pPr>
              <w:pStyle w:val="GuideTable"/>
            </w:pPr>
            <w:r>
              <w:rPr>
                <w:b w:val="0"/>
              </w:rPr>
              <w:t>Bot Telegram avvisi</w:t>
            </w:r>
          </w:p>
        </w:tc>
        <w:tc>
          <w:tcPr>
            <w:tcW w:type="dxa" w:w="3685"/>
            <w:tcMar>
              <w:top w:w="95" w:type="dxa"/>
              <w:left w:w="95" w:type="dxa"/>
              <w:bottom w:w="95" w:type="dxa"/>
              <w:right w:w="95" w:type="dxa"/>
            </w:tcMar>
          </w:tcPr>
          <w:p>
            <w:pPr>
              <w:pStyle w:val="GuideTable"/>
            </w:pPr>
            <w:r>
              <w:rPr>
                <w:b w:val="0"/>
              </w:rPr>
              <w:t>Bot e destinazione di notifica autorizzata</w:t>
            </w:r>
          </w:p>
        </w:tc>
        <w:tc>
          <w:tcPr>
            <w:tcW w:type="dxa" w:w="3061"/>
            <w:tcMar>
              <w:top w:w="95" w:type="dxa"/>
              <w:left w:w="95" w:type="dxa"/>
              <w:bottom w:w="95" w:type="dxa"/>
              <w:right w:w="95" w:type="dxa"/>
            </w:tcMar>
          </w:tcPr>
          <w:p>
            <w:pPr>
              <w:pStyle w:val="GuideTable"/>
            </w:pPr>
            <w:r>
              <w:rPr>
                <w:b w:val="0"/>
              </w:rPr>
              <w:t>Fase notifiche; separato dall’account di lettura</w:t>
            </w:r>
          </w:p>
        </w:tc>
      </w:tr>
      <w:tr>
        <w:trPr>
          <w:cantSplit/>
        </w:trPr>
        <w:tc>
          <w:tcPr>
            <w:tcW w:type="dxa" w:w="2778"/>
            <w:tcMar>
              <w:top w:w="95" w:type="dxa"/>
              <w:left w:w="95" w:type="dxa"/>
              <w:bottom w:w="95" w:type="dxa"/>
              <w:right w:w="95" w:type="dxa"/>
            </w:tcMar>
          </w:tcPr>
          <w:p>
            <w:pPr>
              <w:pStyle w:val="GuideTable"/>
            </w:pPr>
            <w:r>
              <w:rPr>
                <w:b w:val="0"/>
              </w:rPr>
              <w:t>Broker e MT5</w:t>
            </w:r>
          </w:p>
        </w:tc>
        <w:tc>
          <w:tcPr>
            <w:tcW w:type="dxa" w:w="3685"/>
            <w:tcMar>
              <w:top w:w="95" w:type="dxa"/>
              <w:left w:w="95" w:type="dxa"/>
              <w:bottom w:w="95" w:type="dxa"/>
              <w:right w:w="95" w:type="dxa"/>
            </w:tcMar>
          </w:tcPr>
          <w:p>
            <w:pPr>
              <w:pStyle w:val="GuideTable"/>
            </w:pPr>
            <w:r>
              <w:rPr>
                <w:b w:val="0"/>
              </w:rPr>
              <w:t>Conto demo, server e login esatti, terminale MT5 e utente Windows dedicato</w:t>
            </w:r>
          </w:p>
        </w:tc>
        <w:tc>
          <w:tcPr>
            <w:tcW w:type="dxa" w:w="3061"/>
            <w:tcMar>
              <w:top w:w="95" w:type="dxa"/>
              <w:left w:w="95" w:type="dxa"/>
              <w:bottom w:w="95" w:type="dxa"/>
              <w:right w:w="95" w:type="dxa"/>
            </w:tcMar>
          </w:tcPr>
          <w:p>
            <w:pPr>
              <w:pStyle w:val="GuideTable"/>
            </w:pPr>
            <w:r>
              <w:rPr>
                <w:b w:val="0"/>
              </w:rPr>
              <w:t>Fase esecuzione e collaudo demo</w:t>
            </w:r>
          </w:p>
        </w:tc>
      </w:tr>
      <w:tr>
        <w:trPr>
          <w:cantSplit/>
        </w:trPr>
        <w:tc>
          <w:tcPr>
            <w:tcW w:type="dxa" w:w="2778"/>
            <w:tcMar>
              <w:top w:w="95" w:type="dxa"/>
              <w:left w:w="95" w:type="dxa"/>
              <w:bottom w:w="95" w:type="dxa"/>
              <w:right w:w="95" w:type="dxa"/>
            </w:tcMar>
          </w:tcPr>
          <w:p>
            <w:pPr>
              <w:pStyle w:val="GuideTable"/>
            </w:pPr>
            <w:r>
              <w:rPr>
                <w:b w:val="0"/>
              </w:rPr>
              <w:t>Server Windows</w:t>
            </w:r>
          </w:p>
        </w:tc>
        <w:tc>
          <w:tcPr>
            <w:tcW w:type="dxa" w:w="3685"/>
            <w:tcMar>
              <w:top w:w="95" w:type="dxa"/>
              <w:left w:w="95" w:type="dxa"/>
              <w:bottom w:w="95" w:type="dxa"/>
              <w:right w:w="95" w:type="dxa"/>
            </w:tcMar>
          </w:tcPr>
          <w:p>
            <w:pPr>
              <w:pStyle w:val="GuideTable"/>
            </w:pPr>
            <w:r>
              <w:rPr>
                <w:b w:val="0"/>
              </w:rPr>
              <w:t>Accesso amministrativo, account di servizio, storage e backup protetti</w:t>
            </w:r>
          </w:p>
        </w:tc>
        <w:tc>
          <w:tcPr>
            <w:tcW w:type="dxa" w:w="3061"/>
            <w:tcMar>
              <w:top w:w="95" w:type="dxa"/>
              <w:left w:w="95" w:type="dxa"/>
              <w:bottom w:w="95" w:type="dxa"/>
              <w:right w:w="95" w:type="dxa"/>
            </w:tcMar>
          </w:tcPr>
          <w:p>
            <w:pPr>
              <w:pStyle w:val="GuideTable"/>
            </w:pPr>
            <w:r>
              <w:rPr>
                <w:b w:val="0"/>
              </w:rPr>
              <w:t>Prima del collaudo sul server di destinazione</w:t>
            </w:r>
          </w:p>
        </w:tc>
      </w:tr>
      <w:tr>
        <w:trPr>
          <w:cantSplit/>
        </w:trPr>
        <w:tc>
          <w:tcPr>
            <w:tcW w:type="dxa" w:w="2778"/>
            <w:tcMar>
              <w:top w:w="95" w:type="dxa"/>
              <w:left w:w="95" w:type="dxa"/>
              <w:bottom w:w="95" w:type="dxa"/>
              <w:right w:w="95" w:type="dxa"/>
            </w:tcMar>
          </w:tcPr>
          <w:p>
            <w:pPr>
              <w:pStyle w:val="GuideTable"/>
            </w:pPr>
            <w:r>
              <w:rPr>
                <w:b w:val="0"/>
              </w:rPr>
              <w:t>Vercel</w:t>
            </w:r>
          </w:p>
        </w:tc>
        <w:tc>
          <w:tcPr>
            <w:tcW w:type="dxa" w:w="3685"/>
            <w:tcMar>
              <w:top w:w="95" w:type="dxa"/>
              <w:left w:w="95" w:type="dxa"/>
              <w:bottom w:w="95" w:type="dxa"/>
              <w:right w:w="95" w:type="dxa"/>
            </w:tcMar>
          </w:tcPr>
          <w:p>
            <w:pPr>
              <w:pStyle w:val="GuideTable"/>
            </w:pPr>
            <w:r>
              <w:rPr>
                <w:b w:val="0"/>
              </w:rPr>
              <w:t>Due progetti Next.js, domini stabili e variabili server distinte</w:t>
            </w:r>
          </w:p>
        </w:tc>
        <w:tc>
          <w:tcPr>
            <w:tcW w:type="dxa" w:w="3061"/>
            <w:tcMar>
              <w:top w:w="95" w:type="dxa"/>
              <w:left w:w="95" w:type="dxa"/>
              <w:bottom w:w="95" w:type="dxa"/>
              <w:right w:w="95" w:type="dxa"/>
            </w:tcMar>
          </w:tcPr>
          <w:p>
            <w:pPr>
              <w:pStyle w:val="GuideTable"/>
            </w:pPr>
            <w:r>
              <w:rPr>
                <w:b w:val="0"/>
              </w:rPr>
              <w:t>Per staging e produzione della dashboard</w:t>
            </w:r>
          </w:p>
        </w:tc>
      </w:tr>
      <w:tr>
        <w:trPr>
          <w:cantSplit/>
        </w:trPr>
        <w:tc>
          <w:tcPr>
            <w:tcW w:type="dxa" w:w="2778"/>
            <w:tcMar>
              <w:top w:w="95" w:type="dxa"/>
              <w:left w:w="95" w:type="dxa"/>
              <w:bottom w:w="95" w:type="dxa"/>
              <w:right w:w="95" w:type="dxa"/>
            </w:tcMar>
          </w:tcPr>
          <w:p>
            <w:pPr>
              <w:pStyle w:val="GuideTable"/>
            </w:pPr>
            <w:r>
              <w:rPr>
                <w:b w:val="0"/>
              </w:rPr>
              <w:t>Dominio e Cloudflare</w:t>
            </w:r>
          </w:p>
        </w:tc>
        <w:tc>
          <w:tcPr>
            <w:tcW w:type="dxa" w:w="3685"/>
            <w:tcMar>
              <w:top w:w="95" w:type="dxa"/>
              <w:left w:w="95" w:type="dxa"/>
              <w:bottom w:w="95" w:type="dxa"/>
              <w:right w:w="95" w:type="dxa"/>
            </w:tcMar>
          </w:tcPr>
          <w:p>
            <w:pPr>
              <w:pStyle w:val="GuideTable"/>
            </w:pPr>
            <w:r>
              <w:rPr>
                <w:b w:val="0"/>
              </w:rPr>
              <w:t>Access dashboard con MFA IdP, Access API con service token, tunnel solo API</w:t>
            </w:r>
          </w:p>
        </w:tc>
        <w:tc>
          <w:tcPr>
            <w:tcW w:type="dxa" w:w="3061"/>
            <w:tcMar>
              <w:top w:w="95" w:type="dxa"/>
              <w:left w:w="95" w:type="dxa"/>
              <w:bottom w:w="95" w:type="dxa"/>
              <w:right w:w="95" w:type="dxa"/>
            </w:tcMar>
          </w:tcPr>
          <w:p>
            <w:pPr>
              <w:pStyle w:val="GuideTable"/>
            </w:pPr>
            <w:r>
              <w:rPr>
                <w:b w:val="0"/>
              </w:rPr>
              <w:t>Prima dell’accesso esterno; verifica JWT implementata, collaudo reale ancora richiesto</w:t>
            </w:r>
          </w:p>
        </w:tc>
      </w:tr>
    </w:tbl>
    <w:p>
      <w:pPr>
        <w:spacing w:after="40"/>
      </w:pPr>
    </w:p>
    <w:p>
      <w:r>
        <w:t>Il cliente gestisce canali e gruppi da Fonti Telegram nella dashboard. Il team gestisce l’account di lettura e le credenziali applicative. Non richiedere l’elenco definitivo delle fonti per installare il software: possono essere configurate successivamente dal cliente.</w:t>
      </w:r>
    </w:p>
    <w:p>
      <w:pPr>
        <w:pStyle w:val="Heading1"/>
      </w:pPr>
      <w:r>
        <w:t>Preparare l’ambiente locale</w:t>
      </w:r>
    </w:p>
    <w:p>
      <w:r>
        <w:t>Usare Node 24.20.0, pnpm 11.25.0, Python 3.13.16 e uv 0.12.22 con i lockfile del progetto. PostgreSQL deve essere della serie 17. Per lo sviluppo locale sono previsti Docker e Compose; Redis è facoltativo e non detiene stato autorevole.</w:t>
      </w:r>
    </w:p>
    <w:p>
      <w:r>
        <w:t>Eseguire pnpm setup dalla radice del progetto. Il comando crea un file .env privato con password distinte e chiavi casuali; un’esecuzione successiva conserva i valori esistenti. Il modello pubblico e l’inventario dei nomi sono in .env.example. Nei file già creati aggiungere esplicitamente gli eventuali nuovi campi del modello: il setup non riscrive le configurazioni personalizzate.</w:t>
      </w:r>
    </w:p>
    <w:p>
      <w:r>
        <w:t>Avviare docker compose up --build -d. Il servizio initialize prepara i ruoli, applica le migrazioni e crea i valori iniziali senza azzerare i dati. L’indirizzo locale della dashboard è http://localhost:3000. Non rimuovere i volumi per aggiornare il software.</w:t>
      </w:r>
    </w:p>
    <w:p>
      <w:r>
        <w:t>Per gli utenti nominativi eseguire pnpm user:create da un terminale locale interattivo. Il comando accetta ADMIN o VIEWER, non stampa la password e non sovrascrive utenti esistenti. Conservare il bootstrap in modo riservato e assegnare al cliente un accesso personale.</w:t>
      </w:r>
    </w:p>
    <w:p>
      <w:pPr>
        <w:pStyle w:val="Heading1"/>
      </w:pPr>
      <w:r>
        <w:t>Tema della dashboard</w:t>
      </w:r>
    </w:p>
    <w:p>
      <w:r>
        <w:t>Il tema neutro Astryx supporta modalità chiara e scura. Il selettore è implementato nella parte superiore delle pagine autenticate e sotto il modulo di accesso, anche su mobile. Il valore iniziale è scuro. La preferenza viene conservata per un anno nel cookie trd-dashboard-theme, limitato all’host e al percorso /, SameSite=Lax e Secure su HTTPS. Contiene soltanto light o dark; valori non riconosciuti ripristinano il tema scuro. La lettura sul server applica la scelta già al primo rendering, senza attendere il caricamento nel browser.</w:t>
      </w:r>
    </w:p>
    <w:p>
      <w:r>
        <w:t>Non richiede variabili d’ambiente, credenziali o modifiche del database. La preferenza appartiene al browser e all’host, non all’utente TRD. Sono verificati in locale cambio in entrambe le direzioni, persistenza al ricaricamento e layout mobile; il collaudo sul dominio finale va incluso nella consegna del deployment.</w:t>
      </w:r>
    </w:p>
    <w:p>
      <w:pPr>
        <w:pStyle w:val="Heading1"/>
      </w:pPr>
      <w:r>
        <w:t>Variabili necessarie per il nucleo applicativo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Variabili</w:t>
            </w:r>
          </w:p>
        </w:tc>
        <w:tc>
          <w:tcPr>
            <w:tcW w:type="dxa" w:w="4762"/>
            <w:tcMar>
              <w:top w:w="95" w:type="dxa"/>
              <w:left w:w="95" w:type="dxa"/>
              <w:bottom w:w="95" w:type="dxa"/>
              <w:right w:w="95" w:type="dxa"/>
            </w:tcMar>
            <w:shd w:fill="F2F2F2"/>
          </w:tcPr>
          <w:p>
            <w:pPr>
              <w:pStyle w:val="GuideTable"/>
            </w:pPr>
            <w:r>
              <w:rPr>
                <w:b/>
              </w:rPr>
              <w:t>Preparazione e valore iniziale</w:t>
            </w:r>
          </w:p>
        </w:tc>
      </w:tr>
      <w:tr>
        <w:trPr>
          <w:cantSplit/>
        </w:trPr>
        <w:tc>
          <w:tcPr>
            <w:tcW w:type="dxa" w:w="4762"/>
            <w:tcMar>
              <w:top w:w="95" w:type="dxa"/>
              <w:left w:w="95" w:type="dxa"/>
              <w:bottom w:w="95" w:type="dxa"/>
              <w:right w:w="95" w:type="dxa"/>
            </w:tcMar>
          </w:tcPr>
          <w:p>
            <w:pPr>
              <w:pStyle w:val="GuideTable"/>
            </w:pPr>
            <w:r>
              <w:rPr>
                <w:b w:val="0"/>
              </w:rPr>
              <w:t>APP_ENV e ENVIRONMENT_ID</w:t>
            </w:r>
          </w:p>
        </w:tc>
        <w:tc>
          <w:tcPr>
            <w:tcW w:type="dxa" w:w="4762"/>
            <w:tcMar>
              <w:top w:w="95" w:type="dxa"/>
              <w:left w:w="95" w:type="dxa"/>
              <w:bottom w:w="95" w:type="dxa"/>
              <w:right w:w="95" w:type="dxa"/>
            </w:tcMar>
          </w:tcPr>
          <w:p>
            <w:pPr>
              <w:pStyle w:val="GuideTable"/>
            </w:pPr>
            <w:r>
              <w:rPr>
                <w:b w:val="0"/>
              </w:rPr>
              <w:t>development/local-paper, staging/staging-paper o production/production-paper; coerenti tra processi</w:t>
            </w:r>
          </w:p>
        </w:tc>
      </w:tr>
      <w:tr>
        <w:trPr>
          <w:cantSplit/>
        </w:trPr>
        <w:tc>
          <w:tcPr>
            <w:tcW w:type="dxa" w:w="4762"/>
            <w:tcMar>
              <w:top w:w="95" w:type="dxa"/>
              <w:left w:w="95" w:type="dxa"/>
              <w:bottom w:w="95" w:type="dxa"/>
              <w:right w:w="95" w:type="dxa"/>
            </w:tcMar>
          </w:tcPr>
          <w:p>
            <w:pPr>
              <w:pStyle w:val="GuideTable"/>
            </w:pPr>
            <w:r>
              <w:rPr>
                <w:b w:val="0"/>
              </w:rPr>
              <w:t>APP_URL e TIMEZONE</w:t>
            </w:r>
          </w:p>
        </w:tc>
        <w:tc>
          <w:tcPr>
            <w:tcW w:type="dxa" w:w="4762"/>
            <w:tcMar>
              <w:top w:w="95" w:type="dxa"/>
              <w:left w:w="95" w:type="dxa"/>
              <w:bottom w:w="95" w:type="dxa"/>
              <w:right w:w="95" w:type="dxa"/>
            </w:tcMar>
          </w:tcPr>
          <w:p>
            <w:pPr>
              <w:pStyle w:val="GuideTable"/>
            </w:pPr>
            <w:r>
              <w:rPr>
                <w:b w:val="0"/>
              </w:rPr>
              <w:t>http://localhost:3000 ed Europe/Rome; l’origine deve coincidere con quella usata dal browser</w:t>
            </w:r>
          </w:p>
        </w:tc>
      </w:tr>
      <w:tr>
        <w:trPr>
          <w:cantSplit/>
        </w:trPr>
        <w:tc>
          <w:tcPr>
            <w:tcW w:type="dxa" w:w="4762"/>
            <w:tcMar>
              <w:top w:w="95" w:type="dxa"/>
              <w:left w:w="95" w:type="dxa"/>
              <w:bottom w:w="95" w:type="dxa"/>
              <w:right w:w="95" w:type="dxa"/>
            </w:tcMar>
          </w:tcPr>
          <w:p>
            <w:pPr>
              <w:pStyle w:val="GuideTable"/>
            </w:pPr>
            <w:r>
              <w:rPr>
                <w:b w:val="0"/>
              </w:rPr>
              <w:t>TRADING_MODE</w:t>
            </w:r>
          </w:p>
        </w:tc>
        <w:tc>
          <w:tcPr>
            <w:tcW w:type="dxa" w:w="4762"/>
            <w:tcMar>
              <w:top w:w="95" w:type="dxa"/>
              <w:left w:w="95" w:type="dxa"/>
              <w:bottom w:w="95" w:type="dxa"/>
              <w:right w:w="95" w:type="dxa"/>
            </w:tcMar>
          </w:tcPr>
          <w:p>
            <w:pPr>
              <w:pStyle w:val="GuideTable"/>
            </w:pPr>
            <w:r>
              <w:rPr>
                <w:b w:val="0"/>
              </w:rPr>
              <w:t>paper; altri modi vengono ancora rifiutati dai servizi</w:t>
            </w:r>
          </w:p>
        </w:tc>
      </w:tr>
      <w:tr>
        <w:trPr>
          <w:cantSplit/>
        </w:trPr>
        <w:tc>
          <w:tcPr>
            <w:tcW w:type="dxa" w:w="4762"/>
            <w:tcMar>
              <w:top w:w="95" w:type="dxa"/>
              <w:left w:w="95" w:type="dxa"/>
              <w:bottom w:w="95" w:type="dxa"/>
              <w:right w:w="95" w:type="dxa"/>
            </w:tcMar>
          </w:tcPr>
          <w:p>
            <w:pPr>
              <w:pStyle w:val="GuideTable"/>
            </w:pPr>
            <w:r>
              <w:rPr>
                <w:b w:val="0"/>
              </w:rPr>
              <w:t>ENABLE_AUTOMATION e ENABLE_LIVE_TRADING</w:t>
            </w:r>
          </w:p>
        </w:tc>
        <w:tc>
          <w:tcPr>
            <w:tcW w:type="dxa" w:w="4762"/>
            <w:tcMar>
              <w:top w:w="95" w:type="dxa"/>
              <w:left w:w="95" w:type="dxa"/>
              <w:bottom w:w="95" w:type="dxa"/>
              <w:right w:w="95" w:type="dxa"/>
            </w:tcMar>
          </w:tcPr>
          <w:p>
            <w:pPr>
              <w:pStyle w:val="GuideTable"/>
            </w:pPr>
            <w:r>
              <w:rPr>
                <w:b w:val="0"/>
              </w:rPr>
              <w:t>false; non abilitarli per provare Telegram</w:t>
            </w:r>
          </w:p>
        </w:tc>
      </w:tr>
      <w:tr>
        <w:trPr>
          <w:cantSplit/>
        </w:trPr>
        <w:tc>
          <w:tcPr>
            <w:tcW w:type="dxa" w:w="4762"/>
            <w:tcMar>
              <w:top w:w="95" w:type="dxa"/>
              <w:left w:w="95" w:type="dxa"/>
              <w:bottom w:w="95" w:type="dxa"/>
              <w:right w:w="95" w:type="dxa"/>
            </w:tcMar>
          </w:tcPr>
          <w:p>
            <w:pPr>
              <w:pStyle w:val="GuideTable"/>
            </w:pPr>
            <w:r>
              <w:rPr>
                <w:b w:val="0"/>
              </w:rPr>
              <w:t>POSTGRES_DB, POSTGRES_USER, POSTGRES_PASSWORD</w:t>
            </w:r>
          </w:p>
        </w:tc>
        <w:tc>
          <w:tcPr>
            <w:tcW w:type="dxa" w:w="4762"/>
            <w:tcMar>
              <w:top w:w="95" w:type="dxa"/>
              <w:left w:w="95" w:type="dxa"/>
              <w:bottom w:w="95" w:type="dxa"/>
              <w:right w:w="95" w:type="dxa"/>
            </w:tcMar>
          </w:tcPr>
          <w:p>
            <w:pPr>
              <w:pStyle w:val="GuideTable"/>
            </w:pPr>
            <w:r>
              <w:rPr>
                <w:b w:val="0"/>
              </w:rPr>
              <w:t>Nome database, operatore locale e password generata dal setup</w:t>
            </w:r>
          </w:p>
        </w:tc>
      </w:tr>
      <w:tr>
        <w:trPr>
          <w:cantSplit/>
        </w:trPr>
        <w:tc>
          <w:tcPr>
            <w:tcW w:type="dxa" w:w="4762"/>
            <w:tcMar>
              <w:top w:w="95" w:type="dxa"/>
              <w:left w:w="95" w:type="dxa"/>
              <w:bottom w:w="95" w:type="dxa"/>
              <w:right w:w="95" w:type="dxa"/>
            </w:tcMar>
          </w:tcPr>
          <w:p>
            <w:pPr>
              <w:pStyle w:val="GuideTable"/>
            </w:pPr>
            <w:r>
              <w:rPr>
                <w:b w:val="0"/>
              </w:rPr>
              <w:t>POSTGRES_HOST e POSTGRES_PORT</w:t>
            </w:r>
          </w:p>
        </w:tc>
        <w:tc>
          <w:tcPr>
            <w:tcW w:type="dxa" w:w="4762"/>
            <w:tcMar>
              <w:top w:w="95" w:type="dxa"/>
              <w:left w:w="95" w:type="dxa"/>
              <w:bottom w:w="95" w:type="dxa"/>
              <w:right w:w="95" w:type="dxa"/>
            </w:tcMar>
          </w:tcPr>
          <w:p>
            <w:pPr>
              <w:pStyle w:val="GuideTable"/>
            </w:pPr>
            <w:r>
              <w:rPr>
                <w:b w:val="0"/>
              </w:rPr>
              <w:t>127.0.0.1 e 5432 per lo sviluppo host; Compose usa l’indirizzo interno postgres</w:t>
            </w:r>
          </w:p>
        </w:tc>
      </w:tr>
      <w:tr>
        <w:trPr>
          <w:cantSplit/>
        </w:trPr>
        <w:tc>
          <w:tcPr>
            <w:tcW w:type="dxa" w:w="4762"/>
            <w:tcMar>
              <w:top w:w="95" w:type="dxa"/>
              <w:left w:w="95" w:type="dxa"/>
              <w:bottom w:w="95" w:type="dxa"/>
              <w:right w:w="95" w:type="dxa"/>
            </w:tcMar>
          </w:tcPr>
          <w:p>
            <w:pPr>
              <w:pStyle w:val="GuideTable"/>
            </w:pPr>
            <w:r>
              <w:rPr>
                <w:b w:val="0"/>
              </w:rPr>
              <w:t>DATABASE_ADMIN_URL</w:t>
            </w:r>
          </w:p>
        </w:tc>
        <w:tc>
          <w:tcPr>
            <w:tcW w:type="dxa" w:w="4762"/>
            <w:tcMar>
              <w:top w:w="95" w:type="dxa"/>
              <w:left w:w="95" w:type="dxa"/>
              <w:bottom w:w="95" w:type="dxa"/>
              <w:right w:w="95" w:type="dxa"/>
            </w:tcMar>
          </w:tcPr>
          <w:p>
            <w:pPr>
              <w:pStyle w:val="GuideTable"/>
            </w:pPr>
            <w:r>
              <w:rPr>
                <w:b w:val="0"/>
              </w:rPr>
              <w:t>Credenziale operatore per creare database e ruoli; assente dai runtime</w:t>
            </w:r>
          </w:p>
        </w:tc>
      </w:tr>
      <w:tr>
        <w:trPr>
          <w:cantSplit/>
        </w:trPr>
        <w:tc>
          <w:tcPr>
            <w:tcW w:type="dxa" w:w="4762"/>
            <w:tcMar>
              <w:top w:w="95" w:type="dxa"/>
              <w:left w:w="95" w:type="dxa"/>
              <w:bottom w:w="95" w:type="dxa"/>
              <w:right w:w="95" w:type="dxa"/>
            </w:tcMar>
          </w:tcPr>
          <w:p>
            <w:pPr>
              <w:pStyle w:val="GuideTable"/>
            </w:pPr>
            <w:r>
              <w:rPr>
                <w:b w:val="0"/>
              </w:rPr>
              <w:t>MIGRATION_DATABASE_URL</w:t>
            </w:r>
          </w:p>
        </w:tc>
        <w:tc>
          <w:tcPr>
            <w:tcW w:type="dxa" w:w="4762"/>
            <w:tcMar>
              <w:top w:w="95" w:type="dxa"/>
              <w:left w:w="95" w:type="dxa"/>
              <w:bottom w:w="95" w:type="dxa"/>
              <w:right w:w="95" w:type="dxa"/>
            </w:tcMar>
          </w:tcPr>
          <w:p>
            <w:pPr>
              <w:pStyle w:val="GuideTable"/>
            </w:pPr>
            <w:r>
              <w:rPr>
                <w:b w:val="0"/>
              </w:rPr>
              <w:t>Ruolo trd_migrator per migrazioni e bootstrap; assente dai runtime</w:t>
            </w:r>
          </w:p>
        </w:tc>
      </w:tr>
      <w:tr>
        <w:trPr>
          <w:cantSplit/>
        </w:trPr>
        <w:tc>
          <w:tcPr>
            <w:tcW w:type="dxa" w:w="4762"/>
            <w:tcMar>
              <w:top w:w="95" w:type="dxa"/>
              <w:left w:w="95" w:type="dxa"/>
              <w:bottom w:w="95" w:type="dxa"/>
              <w:right w:w="95" w:type="dxa"/>
            </w:tcMar>
          </w:tcPr>
          <w:p>
            <w:pPr>
              <w:pStyle w:val="GuideTable"/>
            </w:pPr>
            <w:r>
              <w:rPr>
                <w:b w:val="0"/>
              </w:rPr>
              <w:t>API_DATABASE_URL e COLLECTOR_DATABASE_URL</w:t>
            </w:r>
          </w:p>
        </w:tc>
        <w:tc>
          <w:tcPr>
            <w:tcW w:type="dxa" w:w="4762"/>
            <w:tcMar>
              <w:top w:w="95" w:type="dxa"/>
              <w:left w:w="95" w:type="dxa"/>
              <w:bottom w:w="95" w:type="dxa"/>
              <w:right w:w="95" w:type="dxa"/>
            </w:tcMar>
          </w:tcPr>
          <w:p>
            <w:pPr>
              <w:pStyle w:val="GuideTable"/>
            </w:pPr>
            <w:r>
              <w:rPr>
                <w:b w:val="0"/>
              </w:rPr>
              <w:t>Ruoli trd_api e trd_collector con password distinte</w:t>
            </w:r>
          </w:p>
        </w:tc>
      </w:tr>
      <w:tr>
        <w:trPr>
          <w:cantSplit/>
        </w:trPr>
        <w:tc>
          <w:tcPr>
            <w:tcW w:type="dxa" w:w="4762"/>
            <w:tcMar>
              <w:top w:w="95" w:type="dxa"/>
              <w:left w:w="95" w:type="dxa"/>
              <w:bottom w:w="95" w:type="dxa"/>
              <w:right w:w="95" w:type="dxa"/>
            </w:tcMar>
          </w:tcPr>
          <w:p>
            <w:pPr>
              <w:pStyle w:val="GuideTable"/>
            </w:pPr>
            <w:r>
              <w:rPr>
                <w:b w:val="0"/>
              </w:rPr>
              <w:t>AI_DATABASE_URL, RISK_DATABASE_URL, MAINTENANCE_DATABASE_URL</w:t>
            </w:r>
          </w:p>
        </w:tc>
        <w:tc>
          <w:tcPr>
            <w:tcW w:type="dxa" w:w="4762"/>
            <w:tcMar>
              <w:top w:w="95" w:type="dxa"/>
              <w:left w:w="95" w:type="dxa"/>
              <w:bottom w:w="95" w:type="dxa"/>
              <w:right w:w="95" w:type="dxa"/>
            </w:tcMar>
          </w:tcPr>
          <w:p>
            <w:pPr>
              <w:pStyle w:val="GuideTable"/>
            </w:pPr>
            <w:r>
              <w:rPr>
                <w:b w:val="0"/>
              </w:rPr>
              <w:t>Ruoli trd_ai, trd_risk e trd_maintenance con password distinte</w:t>
            </w:r>
          </w:p>
        </w:tc>
      </w:tr>
      <w:tr>
        <w:trPr>
          <w:cantSplit/>
        </w:trPr>
        <w:tc>
          <w:tcPr>
            <w:tcW w:type="dxa" w:w="4762"/>
            <w:tcMar>
              <w:top w:w="95" w:type="dxa"/>
              <w:left w:w="95" w:type="dxa"/>
              <w:bottom w:w="95" w:type="dxa"/>
              <w:right w:w="95" w:type="dxa"/>
            </w:tcMar>
          </w:tcPr>
          <w:p>
            <w:pPr>
              <w:pStyle w:val="GuideTable"/>
            </w:pPr>
            <w:r>
              <w:rPr>
                <w:b w:val="0"/>
              </w:rPr>
              <w:t>ADMIN_BOOTSTRAP_EMAIL e ADMIN_BOOTSTRAP_PASSWORD</w:t>
            </w:r>
          </w:p>
        </w:tc>
        <w:tc>
          <w:tcPr>
            <w:tcW w:type="dxa" w:w="4762"/>
            <w:tcMar>
              <w:top w:w="95" w:type="dxa"/>
              <w:left w:w="95" w:type="dxa"/>
              <w:bottom w:w="95" w:type="dxa"/>
              <w:right w:w="95" w:type="dxa"/>
            </w:tcMar>
          </w:tcPr>
          <w:p>
            <w:pPr>
              <w:pStyle w:val="GuideTable"/>
            </w:pPr>
            <w:r>
              <w:rPr>
                <w:b w:val="0"/>
              </w:rPr>
              <w:t>Utente iniziale e password privata generata; usati solo dal bootstrap</w:t>
            </w:r>
          </w:p>
        </w:tc>
      </w:tr>
      <w:tr>
        <w:trPr>
          <w:cantSplit/>
        </w:trPr>
        <w:tc>
          <w:tcPr>
            <w:tcW w:type="dxa" w:w="4762"/>
            <w:tcMar>
              <w:top w:w="95" w:type="dxa"/>
              <w:left w:w="95" w:type="dxa"/>
              <w:bottom w:w="95" w:type="dxa"/>
              <w:right w:w="95" w:type="dxa"/>
            </w:tcMar>
          </w:tcPr>
          <w:p>
            <w:pPr>
              <w:pStyle w:val="GuideTable"/>
            </w:pPr>
            <w:r>
              <w:rPr>
                <w:b w:val="0"/>
              </w:rPr>
              <w:t>AUTH_COOKIE_SECURE</w:t>
            </w:r>
          </w:p>
        </w:tc>
        <w:tc>
          <w:tcPr>
            <w:tcW w:type="dxa" w:w="4762"/>
            <w:tcMar>
              <w:top w:w="95" w:type="dxa"/>
              <w:left w:w="95" w:type="dxa"/>
              <w:bottom w:w="95" w:type="dxa"/>
              <w:right w:w="95" w:type="dxa"/>
            </w:tcMar>
          </w:tcPr>
          <w:p>
            <w:pPr>
              <w:pStyle w:val="GuideTable"/>
            </w:pPr>
            <w:r>
              <w:rPr>
                <w:b w:val="0"/>
              </w:rPr>
              <w:t>false soltanto nel locale HTTP; in produzione HTTPS è obbligatorio</w:t>
            </w:r>
          </w:p>
        </w:tc>
      </w:tr>
      <w:tr>
        <w:trPr>
          <w:cantSplit/>
        </w:trPr>
        <w:tc>
          <w:tcPr>
            <w:tcW w:type="dxa" w:w="4762"/>
            <w:tcMar>
              <w:top w:w="95" w:type="dxa"/>
              <w:left w:w="95" w:type="dxa"/>
              <w:bottom w:w="95" w:type="dxa"/>
              <w:right w:w="95" w:type="dxa"/>
            </w:tcMar>
          </w:tcPr>
          <w:p>
            <w:pPr>
              <w:pStyle w:val="GuideTable"/>
            </w:pPr>
            <w:r>
              <w:rPr>
                <w:b w:val="0"/>
              </w:rPr>
              <w:t>AUTH_SESSION_TTL_SECONDS e AUTH_IDLE_TTL_SECONDS</w:t>
            </w:r>
          </w:p>
        </w:tc>
        <w:tc>
          <w:tcPr>
            <w:tcW w:type="dxa" w:w="4762"/>
            <w:tcMar>
              <w:top w:w="95" w:type="dxa"/>
              <w:left w:w="95" w:type="dxa"/>
              <w:bottom w:w="95" w:type="dxa"/>
              <w:right w:w="95" w:type="dxa"/>
            </w:tcMar>
          </w:tcPr>
          <w:p>
            <w:pPr>
              <w:pStyle w:val="GuideTable"/>
            </w:pPr>
            <w:r>
              <w:rPr>
                <w:b w:val="0"/>
              </w:rPr>
              <w:t>28800 e 1800; massimo otto ore assolute e trenta minuti inattive</w:t>
            </w:r>
          </w:p>
        </w:tc>
      </w:tr>
      <w:tr>
        <w:trPr>
          <w:cantSplit/>
        </w:trPr>
        <w:tc>
          <w:tcPr>
            <w:tcW w:type="dxa" w:w="4762"/>
            <w:tcMar>
              <w:top w:w="95" w:type="dxa"/>
              <w:left w:w="95" w:type="dxa"/>
              <w:bottom w:w="95" w:type="dxa"/>
              <w:right w:w="95" w:type="dxa"/>
            </w:tcMar>
          </w:tcPr>
          <w:p>
            <w:pPr>
              <w:pStyle w:val="GuideTable"/>
            </w:pPr>
            <w:r>
              <w:rPr>
                <w:b w:val="0"/>
              </w:rPr>
              <w:t>AUTH_MFA_REQUIRED</w:t>
            </w:r>
          </w:p>
        </w:tc>
        <w:tc>
          <w:tcPr>
            <w:tcW w:type="dxa" w:w="4762"/>
            <w:tcMar>
              <w:top w:w="95" w:type="dxa"/>
              <w:left w:w="95" w:type="dxa"/>
              <w:bottom w:w="95" w:type="dxa"/>
              <w:right w:w="95" w:type="dxa"/>
            </w:tcMar>
          </w:tcPr>
          <w:p>
            <w:pPr>
              <w:pStyle w:val="GuideTable"/>
            </w:pPr>
            <w:r>
              <w:rPr>
                <w:b w:val="0"/>
              </w:rPr>
              <w:t>false in locale; true obbligatorio con REMOTE_ACCESS_MODE=cloudflare</w:t>
            </w:r>
          </w:p>
        </w:tc>
      </w:tr>
      <w:tr>
        <w:trPr>
          <w:cantSplit/>
        </w:trPr>
        <w:tc>
          <w:tcPr>
            <w:tcW w:type="dxa" w:w="4762"/>
            <w:tcMar>
              <w:top w:w="95" w:type="dxa"/>
              <w:left w:w="95" w:type="dxa"/>
              <w:bottom w:w="95" w:type="dxa"/>
              <w:right w:w="95" w:type="dxa"/>
            </w:tcMar>
          </w:tcPr>
          <w:p>
            <w:pPr>
              <w:pStyle w:val="GuideTable"/>
            </w:pPr>
            <w:r>
              <w:rPr>
                <w:b w:val="0"/>
              </w:rPr>
              <w:t>API_PORT, BRIDGE_PORT, DASHBOARD_PORT</w:t>
            </w:r>
          </w:p>
        </w:tc>
        <w:tc>
          <w:tcPr>
            <w:tcW w:type="dxa" w:w="4762"/>
            <w:tcMar>
              <w:top w:w="95" w:type="dxa"/>
              <w:left w:w="95" w:type="dxa"/>
              <w:bottom w:w="95" w:type="dxa"/>
              <w:right w:w="95" w:type="dxa"/>
            </w:tcMar>
          </w:tcPr>
          <w:p>
            <w:pPr>
              <w:pStyle w:val="GuideTable"/>
            </w:pPr>
            <w:r>
              <w:rPr>
                <w:b w:val="0"/>
              </w:rPr>
              <w:t>8000, 8001 e 3000; pubblicazione locale su loopback</w:t>
            </w:r>
          </w:p>
        </w:tc>
      </w:tr>
      <w:tr>
        <w:trPr>
          <w:cantSplit/>
        </w:trPr>
        <w:tc>
          <w:tcPr>
            <w:tcW w:type="dxa" w:w="4762"/>
            <w:tcMar>
              <w:top w:w="95" w:type="dxa"/>
              <w:left w:w="95" w:type="dxa"/>
              <w:bottom w:w="95" w:type="dxa"/>
              <w:right w:w="95" w:type="dxa"/>
            </w:tcMar>
          </w:tcPr>
          <w:p>
            <w:pPr>
              <w:pStyle w:val="GuideTable"/>
            </w:pPr>
            <w:r>
              <w:rPr>
                <w:b w:val="0"/>
              </w:rPr>
              <w:t>API_INTERNAL_URL</w:t>
            </w:r>
          </w:p>
        </w:tc>
        <w:tc>
          <w:tcPr>
            <w:tcW w:type="dxa" w:w="4762"/>
            <w:tcMar>
              <w:top w:w="95" w:type="dxa"/>
              <w:left w:w="95" w:type="dxa"/>
              <w:bottom w:w="95" w:type="dxa"/>
              <w:right w:w="95" w:type="dxa"/>
            </w:tcMar>
          </w:tcPr>
          <w:p>
            <w:pPr>
              <w:pStyle w:val="GuideTable"/>
            </w:pPr>
            <w:r>
              <w:rPr>
                <w:b w:val="0"/>
              </w:rPr>
              <w:t>http://127.0.0.1:8000 in sviluppo host; http://api:8000 in Compose</w:t>
            </w:r>
          </w:p>
        </w:tc>
      </w:tr>
      <w:tr>
        <w:trPr>
          <w:cantSplit/>
        </w:trPr>
        <w:tc>
          <w:tcPr>
            <w:tcW w:type="dxa" w:w="4762"/>
            <w:tcMar>
              <w:top w:w="95" w:type="dxa"/>
              <w:left w:w="95" w:type="dxa"/>
              <w:bottom w:w="95" w:type="dxa"/>
              <w:right w:w="95" w:type="dxa"/>
            </w:tcMar>
          </w:tcPr>
          <w:p>
            <w:pPr>
              <w:pStyle w:val="GuideTable"/>
            </w:pPr>
            <w:r>
              <w:rPr>
                <w:b w:val="0"/>
              </w:rPr>
              <w:t>LOG_LEVEL, LOG_MAX_BYTES e LOG_BACKUP_COUNT</w:t>
            </w:r>
          </w:p>
        </w:tc>
        <w:tc>
          <w:tcPr>
            <w:tcW w:type="dxa" w:w="4762"/>
            <w:tcMar>
              <w:top w:w="95" w:type="dxa"/>
              <w:left w:w="95" w:type="dxa"/>
              <w:bottom w:w="95" w:type="dxa"/>
              <w:right w:w="95" w:type="dxa"/>
            </w:tcMar>
          </w:tcPr>
          <w:p>
            <w:pPr>
              <w:pStyle w:val="GuideTable"/>
            </w:pPr>
            <w:r>
              <w:rPr>
                <w:b w:val="0"/>
              </w:rPr>
              <w:t>INFO, 10485760 e 10; log strutturati con redazione delle credenziali</w:t>
            </w:r>
          </w:p>
        </w:tc>
      </w:tr>
      <w:tr>
        <w:trPr>
          <w:cantSplit/>
        </w:trPr>
        <w:tc>
          <w:tcPr>
            <w:tcW w:type="dxa" w:w="4762"/>
            <w:tcMar>
              <w:top w:w="95" w:type="dxa"/>
              <w:left w:w="95" w:type="dxa"/>
              <w:bottom w:w="95" w:type="dxa"/>
              <w:right w:w="95" w:type="dxa"/>
            </w:tcMar>
          </w:tcPr>
          <w:p>
            <w:pPr>
              <w:pStyle w:val="GuideTable"/>
            </w:pPr>
            <w:r>
              <w:rPr>
                <w:b w:val="0"/>
              </w:rPr>
              <w:t>REDIS_ENABLED, REDIS_PORT e REDIS_URL</w:t>
            </w:r>
          </w:p>
        </w:tc>
        <w:tc>
          <w:tcPr>
            <w:tcW w:type="dxa" w:w="4762"/>
            <w:tcMar>
              <w:top w:w="95" w:type="dxa"/>
              <w:left w:w="95" w:type="dxa"/>
              <w:bottom w:w="95" w:type="dxa"/>
              <w:right w:w="95" w:type="dxa"/>
            </w:tcMar>
          </w:tcPr>
          <w:p>
            <w:pPr>
              <w:pStyle w:val="GuideTable"/>
            </w:pPr>
            <w:r>
              <w:rPr>
                <w:b w:val="0"/>
              </w:rPr>
              <w:t>false, 6379 e URL locale; Redis non è necessario alla correttezza</w:t>
            </w:r>
          </w:p>
        </w:tc>
      </w:tr>
    </w:tbl>
    <w:p>
      <w:pPr>
        <w:spacing w:after="40"/>
      </w:pPr>
    </w:p>
    <w:p>
      <w:r>
        <w:t>Ogni URL PostgreSQL deve usare postgresql+psycopg, porta esplicita e il ruolo previsto. Il file .env operatore non viene passato integralmente ai servizi. DATA_DIR e LOG_DIR sono forniti dall’avvio con directory distinte per processo; in produzione devono essere assoluti. ENCRYPTION_KEY è riservata a capacità future del servizio API e non sostituisce la chiave della sessione Telegram.</w:t>
      </w:r>
    </w:p>
    <w:p>
      <w:pPr>
        <w:pStyle w:val="Heading1"/>
      </w:pPr>
      <w:r>
        <w:t>Preparare Vercel e gli ambienti remoti</w:t>
      </w:r>
    </w:p>
    <w:p>
      <w:r>
        <w:t>La dashboard e le sue API di inoltro vengono distribuite su Vercel. API Python, PostgreSQL, collector, worker AI, manutenzione e bridge restano persistenti sul VPS Windows. Non usare richieste Vercel o cron Vercel per tenere in vita Telegram e il worker. Il backend è portabile su Linux; MT5 resta una futura componente Windows.</w:t>
      </w:r>
    </w:p>
    <w:p>
      <w:r>
        <w:t>Creare gli ambienti con pnpm env:new --stage staging --output-dir private/staging e la variante production. Vengono generati operator.env con password e chiavi indipendenti, senza stampa e senza sovrascrittura. Completare domini, account e RUNTIME_STATE_DIR assoluto sul server. Non riutilizzare il file .env locale o password di produzione. Per esportare usare pnpm env:export --operator-env private/staging/operator.env --output-dir private/staging/scoped-v1. La directory di export deve essere nuova; applicare ACL prima di usarla su Windows.</w:t>
      </w:r>
    </w:p>
    <w:p>
      <w:r>
        <w:t>Usare istanze PostgreSQL separate: gli stessi ruoli trd_api e trd_ai non possono avere password diverse in due database dello stesso cluster. Separare porte, volumi, directory di stato, utenti, service token, chiavi di inoltro e account OpenRouter. Per Telegram usare account distinti, perché lease in database diversi non coordinano uno stesso account.</w:t>
      </w:r>
    </w:p>
    <w:p>
      <w:r>
        <w:t>Creare un’applicazione Cloudflare Access sull’intero dominio dashboard, con utenti nominativi e MFA IdP obbligatorio. Il JWT umano deve esporre amr o custom.amr come lista contenente mfa. Configurare l’esportazione del claim OIDC/SAML e verificare un token reale senza conservarlo negli artifact. Il semplice OTP email non basta. Creare una seconda applicazione Access API con policy Service Auth e token dedicato a Vercel; nessun Bypass pubblico. Il tunnel raggiunge soltanto l’API amministrativa su loopback e termina con una regola 404. Non pubblicare bridge, PostgreSQL o Redis.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Variabili remoto e dashboard</w:t>
            </w:r>
          </w:p>
        </w:tc>
        <w:tc>
          <w:tcPr>
            <w:tcW w:type="dxa" w:w="4762"/>
            <w:tcMar>
              <w:top w:w="95" w:type="dxa"/>
              <w:left w:w="95" w:type="dxa"/>
              <w:bottom w:w="95" w:type="dxa"/>
              <w:right w:w="95" w:type="dxa"/>
            </w:tcMar>
            <w:shd w:fill="F2F2F2"/>
          </w:tcPr>
          <w:p>
            <w:pPr>
              <w:pStyle w:val="GuideTable"/>
            </w:pPr>
            <w:r>
              <w:rPr>
                <w:b/>
              </w:rPr>
              <w:t>Preparazione</w:t>
            </w:r>
          </w:p>
        </w:tc>
      </w:tr>
      <w:tr>
        <w:trPr>
          <w:cantSplit/>
        </w:trPr>
        <w:tc>
          <w:tcPr>
            <w:tcW w:type="dxa" w:w="4762"/>
            <w:tcMar>
              <w:top w:w="95" w:type="dxa"/>
              <w:left w:w="95" w:type="dxa"/>
              <w:bottom w:w="95" w:type="dxa"/>
              <w:right w:w="95" w:type="dxa"/>
            </w:tcMar>
          </w:tcPr>
          <w:p>
            <w:pPr>
              <w:pStyle w:val="GuideTable"/>
            </w:pPr>
            <w:r>
              <w:rPr>
                <w:b w:val="0"/>
              </w:rPr>
              <w:t>REMOTE_ACCESS_MODE</w:t>
            </w:r>
          </w:p>
        </w:tc>
        <w:tc>
          <w:tcPr>
            <w:tcW w:type="dxa" w:w="4762"/>
            <w:tcMar>
              <w:top w:w="95" w:type="dxa"/>
              <w:left w:w="95" w:type="dxa"/>
              <w:bottom w:w="95" w:type="dxa"/>
              <w:right w:w="95" w:type="dxa"/>
            </w:tcMar>
          </w:tcPr>
          <w:p>
            <w:pPr>
              <w:pStyle w:val="GuideTable"/>
            </w:pPr>
            <w:r>
              <w:rPr>
                <w:b w:val="0"/>
              </w:rPr>
              <w:t>local in sviluppo; cloudflare per staging e produzione</w:t>
            </w:r>
          </w:p>
        </w:tc>
      </w:tr>
      <w:tr>
        <w:trPr>
          <w:cantSplit/>
        </w:trPr>
        <w:tc>
          <w:tcPr>
            <w:tcW w:type="dxa" w:w="4762"/>
            <w:tcMar>
              <w:top w:w="95" w:type="dxa"/>
              <w:left w:w="95" w:type="dxa"/>
              <w:bottom w:w="95" w:type="dxa"/>
              <w:right w:w="95" w:type="dxa"/>
            </w:tcMar>
          </w:tcPr>
          <w:p>
            <w:pPr>
              <w:pStyle w:val="GuideTable"/>
            </w:pPr>
            <w:r>
              <w:rPr>
                <w:b w:val="0"/>
              </w:rPr>
              <w:t>AUTH_COOKIE_SECURE e AUTH_MFA_REQUIRED</w:t>
            </w:r>
          </w:p>
        </w:tc>
        <w:tc>
          <w:tcPr>
            <w:tcW w:type="dxa" w:w="4762"/>
            <w:tcMar>
              <w:top w:w="95" w:type="dxa"/>
              <w:left w:w="95" w:type="dxa"/>
              <w:bottom w:w="95" w:type="dxa"/>
              <w:right w:w="95" w:type="dxa"/>
            </w:tcMar>
          </w:tcPr>
          <w:p>
            <w:pPr>
              <w:pStyle w:val="GuideTable"/>
            </w:pPr>
            <w:r>
              <w:rPr>
                <w:b w:val="0"/>
              </w:rPr>
              <w:t>true nel remoto; APP_URL deve essere HTTPS e coincidere con il dominio dashboard</w:t>
            </w:r>
          </w:p>
        </w:tc>
      </w:tr>
      <w:tr>
        <w:trPr>
          <w:cantSplit/>
        </w:trPr>
        <w:tc>
          <w:tcPr>
            <w:tcW w:type="dxa" w:w="4762"/>
            <w:tcMar>
              <w:top w:w="95" w:type="dxa"/>
              <w:left w:w="95" w:type="dxa"/>
              <w:bottom w:w="95" w:type="dxa"/>
              <w:right w:w="95" w:type="dxa"/>
            </w:tcMar>
          </w:tcPr>
          <w:p>
            <w:pPr>
              <w:pStyle w:val="GuideTable"/>
            </w:pPr>
            <w:r>
              <w:rPr>
                <w:b w:val="0"/>
              </w:rPr>
              <w:t>CLOUDFLARE_ACCESS_ISSUER e CLOUDFLARE_ACCESS_AUDIENCE</w:t>
            </w:r>
          </w:p>
        </w:tc>
        <w:tc>
          <w:tcPr>
            <w:tcW w:type="dxa" w:w="4762"/>
            <w:tcMar>
              <w:top w:w="95" w:type="dxa"/>
              <w:left w:w="95" w:type="dxa"/>
              <w:bottom w:w="95" w:type="dxa"/>
              <w:right w:w="95" w:type="dxa"/>
            </w:tcMar>
          </w:tcPr>
          <w:p>
            <w:pPr>
              <w:pStyle w:val="GuideTable"/>
            </w:pPr>
            <w:r>
              <w:rPr>
                <w:b w:val="0"/>
              </w:rPr>
              <w:t>Issuer fisso del team e audience dell’applicazione umana dashboard; solo all’API</w:t>
            </w:r>
          </w:p>
        </w:tc>
      </w:tr>
      <w:tr>
        <w:trPr>
          <w:cantSplit/>
        </w:trPr>
        <w:tc>
          <w:tcPr>
            <w:tcW w:type="dxa" w:w="4762"/>
            <w:tcMar>
              <w:top w:w="95" w:type="dxa"/>
              <w:left w:w="95" w:type="dxa"/>
              <w:bottom w:w="95" w:type="dxa"/>
              <w:right w:w="95" w:type="dxa"/>
            </w:tcMar>
          </w:tcPr>
          <w:p>
            <w:pPr>
              <w:pStyle w:val="GuideTable"/>
            </w:pPr>
            <w:r>
              <w:rPr>
                <w:b w:val="0"/>
              </w:rPr>
              <w:t>DASHBOARD_PROXY_SECRET</w:t>
            </w:r>
          </w:p>
        </w:tc>
        <w:tc>
          <w:tcPr>
            <w:tcW w:type="dxa" w:w="4762"/>
            <w:tcMar>
              <w:top w:w="95" w:type="dxa"/>
              <w:left w:w="95" w:type="dxa"/>
              <w:bottom w:w="95" w:type="dxa"/>
              <w:right w:w="95" w:type="dxa"/>
            </w:tcMar>
          </w:tcPr>
          <w:p>
            <w:pPr>
              <w:pStyle w:val="GuideTable"/>
            </w:pPr>
            <w:r>
              <w:rPr>
                <w:b w:val="0"/>
              </w:rPr>
              <w:t>Chiave indipendente di almeno 43 caratteri condivisa solo fra API e dashboard dello stesso ambiente</w:t>
            </w:r>
          </w:p>
        </w:tc>
      </w:tr>
      <w:tr>
        <w:trPr>
          <w:cantSplit/>
        </w:trPr>
        <w:tc>
          <w:tcPr>
            <w:tcW w:type="dxa" w:w="4762"/>
            <w:tcMar>
              <w:top w:w="95" w:type="dxa"/>
              <w:left w:w="95" w:type="dxa"/>
              <w:bottom w:w="95" w:type="dxa"/>
              <w:right w:w="95" w:type="dxa"/>
            </w:tcMar>
          </w:tcPr>
          <w:p>
            <w:pPr>
              <w:pStyle w:val="GuideTable"/>
            </w:pPr>
            <w:r>
              <w:rPr>
                <w:b w:val="0"/>
              </w:rPr>
              <w:t>CF_ACCESS_CLIENT_ID e CF_ACCESS_CLIENT_SECRET</w:t>
            </w:r>
          </w:p>
        </w:tc>
        <w:tc>
          <w:tcPr>
            <w:tcW w:type="dxa" w:w="4762"/>
            <w:tcMar>
              <w:top w:w="95" w:type="dxa"/>
              <w:left w:w="95" w:type="dxa"/>
              <w:bottom w:w="95" w:type="dxa"/>
              <w:right w:w="95" w:type="dxa"/>
            </w:tcMar>
          </w:tcPr>
          <w:p>
            <w:pPr>
              <w:pStyle w:val="GuideTable"/>
            </w:pPr>
            <w:r>
              <w:rPr>
                <w:b w:val="0"/>
              </w:rPr>
              <w:t>Token dell’applicazione API; solo al server dashboard su Vercel</w:t>
            </w:r>
          </w:p>
        </w:tc>
      </w:tr>
      <w:tr>
        <w:trPr>
          <w:cantSplit/>
        </w:trPr>
        <w:tc>
          <w:tcPr>
            <w:tcW w:type="dxa" w:w="4762"/>
            <w:tcMar>
              <w:top w:w="95" w:type="dxa"/>
              <w:left w:w="95" w:type="dxa"/>
              <w:bottom w:w="95" w:type="dxa"/>
              <w:right w:w="95" w:type="dxa"/>
            </w:tcMar>
          </w:tcPr>
          <w:p>
            <w:pPr>
              <w:pStyle w:val="GuideTable"/>
            </w:pPr>
            <w:r>
              <w:rPr>
                <w:b w:val="0"/>
              </w:rPr>
              <w:t>API_INTERNAL_URL</w:t>
            </w:r>
          </w:p>
        </w:tc>
        <w:tc>
          <w:tcPr>
            <w:tcW w:type="dxa" w:w="4762"/>
            <w:tcMar>
              <w:top w:w="95" w:type="dxa"/>
              <w:left w:w="95" w:type="dxa"/>
              <w:bottom w:w="95" w:type="dxa"/>
              <w:right w:w="95" w:type="dxa"/>
            </w:tcMar>
          </w:tcPr>
          <w:p>
            <w:pPr>
              <w:pStyle w:val="GuideTable"/>
            </w:pPr>
            <w:r>
              <w:rPr>
                <w:b w:val="0"/>
              </w:rPr>
              <w:t>Origine HTTPS protetta dell’API remota, senza percorsi</w:t>
            </w:r>
          </w:p>
        </w:tc>
      </w:tr>
      <w:tr>
        <w:trPr>
          <w:cantSplit/>
        </w:trPr>
        <w:tc>
          <w:tcPr>
            <w:tcW w:type="dxa" w:w="4762"/>
            <w:tcMar>
              <w:top w:w="95" w:type="dxa"/>
              <w:left w:w="95" w:type="dxa"/>
              <w:bottom w:w="95" w:type="dxa"/>
              <w:right w:w="95" w:type="dxa"/>
            </w:tcMar>
          </w:tcPr>
          <w:p>
            <w:pPr>
              <w:pStyle w:val="GuideTable"/>
            </w:pPr>
            <w:r>
              <w:rPr>
                <w:b w:val="0"/>
              </w:rPr>
              <w:t>DASHBOARD_ACCESS_MODE</w:t>
            </w:r>
          </w:p>
        </w:tc>
        <w:tc>
          <w:tcPr>
            <w:tcW w:type="dxa" w:w="4762"/>
            <w:tcMar>
              <w:top w:w="95" w:type="dxa"/>
              <w:left w:w="95" w:type="dxa"/>
              <w:bottom w:w="95" w:type="dxa"/>
              <w:right w:w="95" w:type="dxa"/>
            </w:tcMar>
          </w:tcPr>
          <w:p>
            <w:pPr>
              <w:pStyle w:val="GuideTable"/>
            </w:pPr>
            <w:r>
              <w:rPr>
                <w:b w:val="0"/>
              </w:rPr>
              <w:t>cloudflare; generato dall’export per il server dashboard</w:t>
            </w:r>
          </w:p>
        </w:tc>
      </w:tr>
      <w:tr>
        <w:trPr>
          <w:cantSplit/>
        </w:trPr>
        <w:tc>
          <w:tcPr>
            <w:tcW w:type="dxa" w:w="4762"/>
            <w:tcMar>
              <w:top w:w="95" w:type="dxa"/>
              <w:left w:w="95" w:type="dxa"/>
              <w:bottom w:w="95" w:type="dxa"/>
              <w:right w:w="95" w:type="dxa"/>
            </w:tcMar>
          </w:tcPr>
          <w:p>
            <w:pPr>
              <w:pStyle w:val="GuideTable"/>
            </w:pPr>
            <w:r>
              <w:rPr>
                <w:b w:val="0"/>
              </w:rPr>
              <w:t>DASHBOARD_DEPLOYMENT_ENV</w:t>
            </w:r>
          </w:p>
        </w:tc>
        <w:tc>
          <w:tcPr>
            <w:tcW w:type="dxa" w:w="4762"/>
            <w:tcMar>
              <w:top w:w="95" w:type="dxa"/>
              <w:left w:w="95" w:type="dxa"/>
              <w:bottom w:w="95" w:type="dxa"/>
              <w:right w:w="95" w:type="dxa"/>
            </w:tcMar>
          </w:tcPr>
          <w:p>
            <w:pPr>
              <w:pStyle w:val="GuideTable"/>
            </w:pPr>
            <w:r>
              <w:rPr>
                <w:b w:val="0"/>
              </w:rPr>
              <w:t>staging oppure production; generato da APP_ENV</w:t>
            </w:r>
          </w:p>
        </w:tc>
      </w:tr>
      <w:tr>
        <w:trPr>
          <w:cantSplit/>
        </w:trPr>
        <w:tc>
          <w:tcPr>
            <w:tcW w:type="dxa" w:w="4762"/>
            <w:tcMar>
              <w:top w:w="95" w:type="dxa"/>
              <w:left w:w="95" w:type="dxa"/>
              <w:bottom w:w="95" w:type="dxa"/>
              <w:right w:w="95" w:type="dxa"/>
            </w:tcMar>
          </w:tcPr>
          <w:p>
            <w:pPr>
              <w:pStyle w:val="GuideTable"/>
            </w:pPr>
            <w:r>
              <w:rPr>
                <w:b w:val="0"/>
              </w:rPr>
              <w:t>DASHBOARD_ENVIRONMENT_ID e DASHBOARD_PUBLIC_URL</w:t>
            </w:r>
          </w:p>
        </w:tc>
        <w:tc>
          <w:tcPr>
            <w:tcW w:type="dxa" w:w="4762"/>
            <w:tcMar>
              <w:top w:w="95" w:type="dxa"/>
              <w:left w:w="95" w:type="dxa"/>
              <w:bottom w:w="95" w:type="dxa"/>
              <w:right w:w="95" w:type="dxa"/>
            </w:tcMar>
          </w:tcPr>
          <w:p>
            <w:pPr>
              <w:pStyle w:val="GuideTable"/>
            </w:pPr>
            <w:r>
              <w:rPr>
                <w:b w:val="0"/>
              </w:rPr>
              <w:t>Identificativo del backend e origine esatta della dashboard; generati dall’export</w:t>
            </w:r>
          </w:p>
        </w:tc>
      </w:tr>
      <w:tr>
        <w:trPr>
          <w:cantSplit/>
        </w:trPr>
        <w:tc>
          <w:tcPr>
            <w:tcW w:type="dxa" w:w="4762"/>
            <w:tcMar>
              <w:top w:w="95" w:type="dxa"/>
              <w:left w:w="95" w:type="dxa"/>
              <w:bottom w:w="95" w:type="dxa"/>
              <w:right w:w="95" w:type="dxa"/>
            </w:tcMar>
          </w:tcPr>
          <w:p>
            <w:pPr>
              <w:pStyle w:val="GuideTable"/>
            </w:pPr>
            <w:r>
              <w:rPr>
                <w:b w:val="0"/>
              </w:rPr>
              <w:t>RUNTIME_STATE_DIR</w:t>
            </w:r>
          </w:p>
        </w:tc>
        <w:tc>
          <w:tcPr>
            <w:tcW w:type="dxa" w:w="4762"/>
            <w:tcMar>
              <w:top w:w="95" w:type="dxa"/>
              <w:left w:w="95" w:type="dxa"/>
              <w:bottom w:w="95" w:type="dxa"/>
              <w:right w:w="95" w:type="dxa"/>
            </w:tcMar>
          </w:tcPr>
          <w:p>
            <w:pPr>
              <w:pStyle w:val="GuideTable"/>
            </w:pPr>
            <w:r>
              <w:rPr>
                <w:b w:val="0"/>
              </w:rPr>
              <w:t>Directory privata assoluta e distinta per ambiente; genera DATA_DIR e LOG_DIR per ruolo</w:t>
            </w:r>
          </w:p>
        </w:tc>
      </w:tr>
      <w:tr>
        <w:trPr>
          <w:cantSplit/>
        </w:trPr>
        <w:tc>
          <w:tcPr>
            <w:tcW w:type="dxa" w:w="4762"/>
            <w:tcMar>
              <w:top w:w="95" w:type="dxa"/>
              <w:left w:w="95" w:type="dxa"/>
              <w:bottom w:w="95" w:type="dxa"/>
              <w:right w:w="95" w:type="dxa"/>
            </w:tcMar>
          </w:tcPr>
          <w:p>
            <w:pPr>
              <w:pStyle w:val="GuideTable"/>
            </w:pPr>
            <w:r>
              <w:rPr>
                <w:b w:val="0"/>
              </w:rPr>
              <w:t>ENABLE_EXPERIMENTAL_COREPACK</w:t>
            </w:r>
          </w:p>
        </w:tc>
        <w:tc>
          <w:tcPr>
            <w:tcW w:type="dxa" w:w="4762"/>
            <w:tcMar>
              <w:top w:w="95" w:type="dxa"/>
              <w:left w:w="95" w:type="dxa"/>
              <w:bottom w:w="95" w:type="dxa"/>
              <w:right w:w="95" w:type="dxa"/>
            </w:tcMar>
          </w:tcPr>
          <w:p>
            <w:pPr>
              <w:pStyle w:val="GuideTable"/>
            </w:pPr>
            <w:r>
              <w:rPr>
                <w:b w:val="0"/>
              </w:rPr>
              <w:t>1 nelle impostazioni build Vercel, per usare il pnpm fissato dal repository</w:t>
            </w:r>
          </w:p>
        </w:tc>
      </w:tr>
    </w:tbl>
    <w:p>
      <w:pPr>
        <w:spacing w:after="40"/>
      </w:pPr>
    </w:p>
    <w:p>
      <w:r>
        <w:t xml:space="preserve">Su Vercel importare il monorepo, Root Directory apps/dashboard, includendo file esterni alla directory per shared-types e preflight. Usare due progetti, Node 24.x e il vercel.json fornito. Trasferire soltanto i campi di .env.dashboard nelle variabili server; mai operator.env, URL PostgreSQL o chiavi Telegram/AI/MT5. Non usare NEXT_PUBLIC_ per questi campi. Production e Preview devono avere valori espliciti; ogni preview usa staging e un dominio/alias stabile approvato. Le preview configurate su production e le richieste dai normali URL casuali vengono rifiutate. Le modifiche alle variabili richiedono un nuovo deployment. </w:t>
      </w:r>
      <w:hyperlink r:id="rId11">
        <w:r>
          <w:rPr>
            <w:rStyle w:val="Hyperlink"/>
          </w:rPr>
          <w:t>Variabili Vercel</w:t>
        </w:r>
      </w:hyperlink>
      <w:r/>
    </w:p>
    <w:p>
      <w:r>
        <w:t>La verifica remota controlla firma, issuer, audience, scadenze, email, soggetto e MFA del JWT originale su ogni richiesta. Next inoltra separatamente la credenziale del servizio e il token umano. Il backend verifica l’ambiente prima di modificare dati; Next verifica l’ambiente della risposta. La sessione TRD richiede la stessa email e lo stesso soggetto autenticato, conservando password, ruoli, CSRF e conferme esistenti. Le preview non possono condividere dati di produzione. Il proxy Cloudflare davanti a Vercel serve alla protezione privata e richiede collaudo di DNS, TLS e cache nella topologia effettiva.</w:t>
      </w:r>
    </w:p>
    <w:p>
      <w:r>
        <w:t>Windows: usare New-NativeServiceTemplates.ps1 -BackendOnly con ServicePrefix, ApiPort, BridgePort, LayoutPath PostgreSQL e directory di ambiente distinti. Crea cinque servizi e non richiede una dashboard locale. Linux: docker-compose.backend.yml esclude dashboard e Redis dall’avvio ordinario e abilita esplicitamente staging/production, conservando pubblicazione su loopback. Il mount data/ai del worker è in sola lettura per le ricevute. Le istruzioni complete sono in docs/DEPLOYMENT_VERCEL.md; generazione dei piani non equivale a installazione Windows o prova di riavvio.</w:t>
      </w:r>
    </w:p>
    <w:p>
      <w:r>
        <w:t>Prima di consegnare il dominio provare MFA reale, ruoli, sessioni scadute, JWT falsi, accesso diretto Vercel, token di servizio errato, ambiente errato, Origin/CSRF, indisponibilità API/database e rotazione delle chiavi. Confermare con una modifica di staging che produzione resti invariata. Il collaudo automatico locale non sostituisce queste prove.</w:t>
      </w:r>
    </w:p>
    <w:p>
      <w:pPr>
        <w:pStyle w:val="Heading1"/>
      </w:pPr>
      <w:r>
        <w:t>Credenziali e collegamento Telegram</w:t>
      </w:r>
    </w:p>
    <w:p>
      <w:r>
        <w:t xml:space="preserve">Il team o il titolare dell’account deve predisporre un’applicazione nella sezione API development tools di https://my.telegram.org. Registrare TELEGRAM_API_ID e TELEGRAM_API_HASH nel file locale protetto. Sono credenziali dell’applicazione Telegram, distinte dal token di un bot e dagli identificativi dei canali. </w:t>
      </w:r>
      <w:hyperlink r:id="rId12">
        <w:r>
          <w:rPr>
            <w:rStyle w:val="Hyperlink"/>
          </w:rPr>
          <w:t>Procedura ufficiale Telegram</w:t>
        </w:r>
      </w:hyperlink>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Variabile</w:t>
            </w:r>
          </w:p>
        </w:tc>
        <w:tc>
          <w:tcPr>
            <w:tcW w:type="dxa" w:w="4762"/>
            <w:tcMar>
              <w:top w:w="95" w:type="dxa"/>
              <w:left w:w="95" w:type="dxa"/>
              <w:bottom w:w="95" w:type="dxa"/>
              <w:right w:w="95" w:type="dxa"/>
            </w:tcMar>
            <w:shd w:fill="F2F2F2"/>
          </w:tcPr>
          <w:p>
            <w:pPr>
              <w:pStyle w:val="GuideTable"/>
            </w:pPr>
            <w:r>
              <w:rPr>
                <w:b/>
              </w:rPr>
              <w:t>Origine o impostazione</w:t>
            </w:r>
          </w:p>
        </w:tc>
      </w:tr>
      <w:tr>
        <w:trPr>
          <w:cantSplit/>
        </w:trPr>
        <w:tc>
          <w:tcPr>
            <w:tcW w:type="dxa" w:w="4762"/>
            <w:tcMar>
              <w:top w:w="95" w:type="dxa"/>
              <w:left w:w="95" w:type="dxa"/>
              <w:bottom w:w="95" w:type="dxa"/>
              <w:right w:w="95" w:type="dxa"/>
            </w:tcMar>
          </w:tcPr>
          <w:p>
            <w:pPr>
              <w:pStyle w:val="GuideTable"/>
            </w:pPr>
            <w:r>
              <w:rPr>
                <w:b w:val="0"/>
              </w:rPr>
              <w:t>TELEGRAM_ENABLED</w:t>
            </w:r>
          </w:p>
        </w:tc>
        <w:tc>
          <w:tcPr>
            <w:tcW w:type="dxa" w:w="4762"/>
            <w:tcMar>
              <w:top w:w="95" w:type="dxa"/>
              <w:left w:w="95" w:type="dxa"/>
              <w:bottom w:w="95" w:type="dxa"/>
              <w:right w:w="95" w:type="dxa"/>
            </w:tcMar>
          </w:tcPr>
          <w:p>
            <w:pPr>
              <w:pStyle w:val="GuideTable"/>
            </w:pPr>
            <w:r>
              <w:rPr>
                <w:b w:val="0"/>
              </w:rPr>
              <w:t>false fino all’accesso locale riuscito; true attiva solo la lettura</w:t>
            </w:r>
          </w:p>
        </w:tc>
      </w:tr>
      <w:tr>
        <w:trPr>
          <w:cantSplit/>
        </w:trPr>
        <w:tc>
          <w:tcPr>
            <w:tcW w:type="dxa" w:w="4762"/>
            <w:tcMar>
              <w:top w:w="95" w:type="dxa"/>
              <w:left w:w="95" w:type="dxa"/>
              <w:bottom w:w="95" w:type="dxa"/>
              <w:right w:w="95" w:type="dxa"/>
            </w:tcMar>
          </w:tcPr>
          <w:p>
            <w:pPr>
              <w:pStyle w:val="GuideTable"/>
            </w:pPr>
            <w:r>
              <w:rPr>
                <w:b w:val="0"/>
              </w:rPr>
              <w:t>TELEGRAM_API_ID</w:t>
            </w:r>
          </w:p>
        </w:tc>
        <w:tc>
          <w:tcPr>
            <w:tcW w:type="dxa" w:w="4762"/>
            <w:tcMar>
              <w:top w:w="95" w:type="dxa"/>
              <w:left w:w="95" w:type="dxa"/>
              <w:bottom w:w="95" w:type="dxa"/>
              <w:right w:w="95" w:type="dxa"/>
            </w:tcMar>
          </w:tcPr>
          <w:p>
            <w:pPr>
              <w:pStyle w:val="GuideTable"/>
            </w:pPr>
            <w:r>
              <w:rPr>
                <w:b w:val="0"/>
              </w:rPr>
              <w:t>Intero positivo assegnato all’applicazione Telegram</w:t>
            </w:r>
          </w:p>
        </w:tc>
      </w:tr>
      <w:tr>
        <w:trPr>
          <w:cantSplit/>
        </w:trPr>
        <w:tc>
          <w:tcPr>
            <w:tcW w:type="dxa" w:w="4762"/>
            <w:tcMar>
              <w:top w:w="95" w:type="dxa"/>
              <w:left w:w="95" w:type="dxa"/>
              <w:bottom w:w="95" w:type="dxa"/>
              <w:right w:w="95" w:type="dxa"/>
            </w:tcMar>
          </w:tcPr>
          <w:p>
            <w:pPr>
              <w:pStyle w:val="GuideTable"/>
            </w:pPr>
            <w:r>
              <w:rPr>
                <w:b w:val="0"/>
              </w:rPr>
              <w:t>TELEGRAM_API_HASH</w:t>
            </w:r>
          </w:p>
        </w:tc>
        <w:tc>
          <w:tcPr>
            <w:tcW w:type="dxa" w:w="4762"/>
            <w:tcMar>
              <w:top w:w="95" w:type="dxa"/>
              <w:left w:w="95" w:type="dxa"/>
              <w:bottom w:w="95" w:type="dxa"/>
              <w:right w:w="95" w:type="dxa"/>
            </w:tcMar>
          </w:tcPr>
          <w:p>
            <w:pPr>
              <w:pStyle w:val="GuideTable"/>
            </w:pPr>
            <w:r>
              <w:rPr>
                <w:b w:val="0"/>
              </w:rPr>
              <w:t>Hash applicativo di 32 caratteri esadecimali</w:t>
            </w:r>
          </w:p>
        </w:tc>
      </w:tr>
      <w:tr>
        <w:trPr>
          <w:cantSplit/>
        </w:trPr>
        <w:tc>
          <w:tcPr>
            <w:tcW w:type="dxa" w:w="4762"/>
            <w:tcMar>
              <w:top w:w="95" w:type="dxa"/>
              <w:left w:w="95" w:type="dxa"/>
              <w:bottom w:w="95" w:type="dxa"/>
              <w:right w:w="95" w:type="dxa"/>
            </w:tcMar>
          </w:tcPr>
          <w:p>
            <w:pPr>
              <w:pStyle w:val="GuideTable"/>
            </w:pPr>
            <w:r>
              <w:rPr>
                <w:b w:val="0"/>
              </w:rPr>
              <w:t>TELEGRAM_SESSION_ENCRYPTION_KEY</w:t>
            </w:r>
          </w:p>
        </w:tc>
        <w:tc>
          <w:tcPr>
            <w:tcW w:type="dxa" w:w="4762"/>
            <w:tcMar>
              <w:top w:w="95" w:type="dxa"/>
              <w:left w:w="95" w:type="dxa"/>
              <w:bottom w:w="95" w:type="dxa"/>
              <w:right w:w="95" w:type="dxa"/>
            </w:tcMar>
          </w:tcPr>
          <w:p>
            <w:pPr>
              <w:pStyle w:val="GuideTable"/>
            </w:pPr>
            <w:r>
              <w:rPr>
                <w:b w:val="0"/>
              </w:rPr>
              <w:t>Chiave casuale distinta di 256 bit, codificata con 64 caratteri esadecimali; generata dal setup</w:t>
            </w:r>
          </w:p>
        </w:tc>
      </w:tr>
      <w:tr>
        <w:trPr>
          <w:cantSplit/>
        </w:trPr>
        <w:tc>
          <w:tcPr>
            <w:tcW w:type="dxa" w:w="4762"/>
            <w:tcMar>
              <w:top w:w="95" w:type="dxa"/>
              <w:left w:w="95" w:type="dxa"/>
              <w:bottom w:w="95" w:type="dxa"/>
              <w:right w:w="95" w:type="dxa"/>
            </w:tcMar>
          </w:tcPr>
          <w:p>
            <w:pPr>
              <w:pStyle w:val="GuideTable"/>
            </w:pPr>
            <w:r>
              <w:rPr>
                <w:b w:val="0"/>
              </w:rPr>
              <w:t>TELEGRAM_SESSION_KEY_ID</w:t>
            </w:r>
          </w:p>
        </w:tc>
        <w:tc>
          <w:tcPr>
            <w:tcW w:type="dxa" w:w="4762"/>
            <w:tcMar>
              <w:top w:w="95" w:type="dxa"/>
              <w:left w:w="95" w:type="dxa"/>
              <w:bottom w:w="95" w:type="dxa"/>
              <w:right w:w="95" w:type="dxa"/>
            </w:tcMar>
          </w:tcPr>
          <w:p>
            <w:pPr>
              <w:pStyle w:val="GuideTable"/>
            </w:pPr>
            <w:r>
              <w:rPr>
                <w:b w:val="0"/>
              </w:rPr>
              <w:t>local-v1 inizialmente; cambiare insieme alla chiave quando si esegue una rotazione</w:t>
            </w:r>
          </w:p>
        </w:tc>
      </w:tr>
      <w:tr>
        <w:trPr>
          <w:cantSplit/>
        </w:trPr>
        <w:tc>
          <w:tcPr>
            <w:tcW w:type="dxa" w:w="4762"/>
            <w:tcMar>
              <w:top w:w="95" w:type="dxa"/>
              <w:left w:w="95" w:type="dxa"/>
              <w:bottom w:w="95" w:type="dxa"/>
              <w:right w:w="95" w:type="dxa"/>
            </w:tcMar>
          </w:tcPr>
          <w:p>
            <w:pPr>
              <w:pStyle w:val="GuideTable"/>
            </w:pPr>
            <w:r>
              <w:rPr>
                <w:b w:val="0"/>
              </w:rPr>
              <w:t>TELEGRAM_SESSION_PATH</w:t>
            </w:r>
          </w:p>
        </w:tc>
        <w:tc>
          <w:tcPr>
            <w:tcW w:type="dxa" w:w="4762"/>
            <w:tcMar>
              <w:top w:w="95" w:type="dxa"/>
              <w:left w:w="95" w:type="dxa"/>
              <w:bottom w:w="95" w:type="dxa"/>
              <w:right w:w="95" w:type="dxa"/>
            </w:tcMar>
          </w:tcPr>
          <w:p>
            <w:pPr>
              <w:pStyle w:val="GuideTable"/>
            </w:pPr>
            <w:r>
              <w:rPr>
                <w:b w:val="0"/>
              </w:rPr>
              <w:t>data/telegram.session.enc per l’host; /var/trd/data/telegram.session.enc nel contenitore</w:t>
            </w:r>
          </w:p>
        </w:tc>
      </w:tr>
      <w:tr>
        <w:trPr>
          <w:cantSplit/>
        </w:trPr>
        <w:tc>
          <w:tcPr>
            <w:tcW w:type="dxa" w:w="4762"/>
            <w:tcMar>
              <w:top w:w="95" w:type="dxa"/>
              <w:left w:w="95" w:type="dxa"/>
              <w:bottom w:w="95" w:type="dxa"/>
              <w:right w:w="95" w:type="dxa"/>
            </w:tcMar>
          </w:tcPr>
          <w:p>
            <w:pPr>
              <w:pStyle w:val="GuideTable"/>
            </w:pPr>
            <w:r>
              <w:rPr>
                <w:b w:val="0"/>
              </w:rPr>
              <w:t>TELEGRAM_COLLECTOR_IDENTITY</w:t>
            </w:r>
          </w:p>
        </w:tc>
        <w:tc>
          <w:tcPr>
            <w:tcW w:type="dxa" w:w="4762"/>
            <w:tcMar>
              <w:top w:w="95" w:type="dxa"/>
              <w:left w:w="95" w:type="dxa"/>
              <w:bottom w:w="95" w:type="dxa"/>
              <w:right w:w="95" w:type="dxa"/>
            </w:tcMar>
          </w:tcPr>
          <w:p>
            <w:pPr>
              <w:pStyle w:val="GuideTable"/>
            </w:pPr>
            <w:r>
              <w:rPr>
                <w:b w:val="0"/>
              </w:rPr>
              <w:t>primary; la dashboard prepara fonti per questa identità</w:t>
            </w:r>
          </w:p>
        </w:tc>
      </w:tr>
      <w:tr>
        <w:trPr>
          <w:cantSplit/>
        </w:trPr>
        <w:tc>
          <w:tcPr>
            <w:tcW w:type="dxa" w:w="4762"/>
            <w:tcMar>
              <w:top w:w="95" w:type="dxa"/>
              <w:left w:w="95" w:type="dxa"/>
              <w:bottom w:w="95" w:type="dxa"/>
              <w:right w:w="95" w:type="dxa"/>
            </w:tcMar>
          </w:tcPr>
          <w:p>
            <w:pPr>
              <w:pStyle w:val="GuideTable"/>
            </w:pPr>
            <w:r>
              <w:rPr>
                <w:b w:val="0"/>
              </w:rPr>
              <w:t>TELEGRAM_POLL_SECONDS</w:t>
            </w:r>
          </w:p>
        </w:tc>
        <w:tc>
          <w:tcPr>
            <w:tcW w:type="dxa" w:w="4762"/>
            <w:tcMar>
              <w:top w:w="95" w:type="dxa"/>
              <w:left w:w="95" w:type="dxa"/>
              <w:bottom w:w="95" w:type="dxa"/>
              <w:right w:w="95" w:type="dxa"/>
            </w:tcMar>
          </w:tcPr>
          <w:p>
            <w:pPr>
              <w:pStyle w:val="GuideTable"/>
            </w:pPr>
            <w:r>
              <w:rPr>
                <w:b w:val="0"/>
              </w:rPr>
              <w:t>30; intervallo configurabile fra 5 e 300 secondi</w:t>
            </w:r>
          </w:p>
        </w:tc>
      </w:tr>
      <w:tr>
        <w:trPr>
          <w:cantSplit/>
        </w:trPr>
        <w:tc>
          <w:tcPr>
            <w:tcW w:type="dxa" w:w="4762"/>
            <w:tcMar>
              <w:top w:w="95" w:type="dxa"/>
              <w:left w:w="95" w:type="dxa"/>
              <w:bottom w:w="95" w:type="dxa"/>
              <w:right w:w="95" w:type="dxa"/>
            </w:tcMar>
          </w:tcPr>
          <w:p>
            <w:pPr>
              <w:pStyle w:val="GuideTable"/>
            </w:pPr>
            <w:r>
              <w:rPr>
                <w:b w:val="0"/>
              </w:rPr>
              <w:t>TELEGRAM_BACKFILL_MAX_AGE_SECONDS</w:t>
            </w:r>
          </w:p>
        </w:tc>
        <w:tc>
          <w:tcPr>
            <w:tcW w:type="dxa" w:w="4762"/>
            <w:tcMar>
              <w:top w:w="95" w:type="dxa"/>
              <w:left w:w="95" w:type="dxa"/>
              <w:bottom w:w="95" w:type="dxa"/>
              <w:right w:w="95" w:type="dxa"/>
            </w:tcMar>
          </w:tcPr>
          <w:p>
            <w:pPr>
              <w:pStyle w:val="GuideTable"/>
            </w:pPr>
            <w:r>
              <w:rPr>
                <w:b w:val="0"/>
              </w:rPr>
              <w:t>86400; finestra di recupero, fra un minuto e sette giorni</w:t>
            </w:r>
          </w:p>
        </w:tc>
      </w:tr>
      <w:tr>
        <w:trPr>
          <w:cantSplit/>
        </w:trPr>
        <w:tc>
          <w:tcPr>
            <w:tcW w:type="dxa" w:w="4762"/>
            <w:tcMar>
              <w:top w:w="95" w:type="dxa"/>
              <w:left w:w="95" w:type="dxa"/>
              <w:bottom w:w="95" w:type="dxa"/>
              <w:right w:w="95" w:type="dxa"/>
            </w:tcMar>
          </w:tcPr>
          <w:p>
            <w:pPr>
              <w:pStyle w:val="GuideTable"/>
            </w:pPr>
            <w:r>
              <w:rPr>
                <w:b w:val="0"/>
              </w:rPr>
              <w:t>TELEGRAM_HISTORY_BATCH_SIZE</w:t>
            </w:r>
          </w:p>
        </w:tc>
        <w:tc>
          <w:tcPr>
            <w:tcW w:type="dxa" w:w="4762"/>
            <w:tcMar>
              <w:top w:w="95" w:type="dxa"/>
              <w:left w:w="95" w:type="dxa"/>
              <w:bottom w:w="95" w:type="dxa"/>
              <w:right w:w="95" w:type="dxa"/>
            </w:tcMar>
          </w:tcPr>
          <w:p>
            <w:pPr>
              <w:pStyle w:val="GuideTable"/>
            </w:pPr>
            <w:r>
              <w:rPr>
                <w:b w:val="0"/>
              </w:rPr>
              <w:t>100; da 1 a 100 messaggi per richiesta di cronologia</w:t>
            </w:r>
          </w:p>
        </w:tc>
      </w:tr>
      <w:tr>
        <w:trPr>
          <w:cantSplit/>
        </w:trPr>
        <w:tc>
          <w:tcPr>
            <w:tcW w:type="dxa" w:w="4762"/>
            <w:tcMar>
              <w:top w:w="95" w:type="dxa"/>
              <w:left w:w="95" w:type="dxa"/>
              <w:bottom w:w="95" w:type="dxa"/>
              <w:right w:w="95" w:type="dxa"/>
            </w:tcMar>
          </w:tcPr>
          <w:p>
            <w:pPr>
              <w:pStyle w:val="GuideTable"/>
            </w:pPr>
            <w:r>
              <w:rPr>
                <w:b w:val="0"/>
              </w:rPr>
              <w:t>TELEGRAM_REQUEST_TIMEOUT_SECONDS</w:t>
            </w:r>
          </w:p>
        </w:tc>
        <w:tc>
          <w:tcPr>
            <w:tcW w:type="dxa" w:w="4762"/>
            <w:tcMar>
              <w:top w:w="95" w:type="dxa"/>
              <w:left w:w="95" w:type="dxa"/>
              <w:bottom w:w="95" w:type="dxa"/>
              <w:right w:w="95" w:type="dxa"/>
            </w:tcMar>
          </w:tcPr>
          <w:p>
            <w:pPr>
              <w:pStyle w:val="GuideTable"/>
            </w:pPr>
            <w:r>
              <w:rPr>
                <w:b w:val="0"/>
              </w:rPr>
              <w:t>20; da 1 a 30 secondi per operazione di rete</w:t>
            </w:r>
          </w:p>
        </w:tc>
      </w:tr>
      <w:tr>
        <w:trPr>
          <w:cantSplit/>
        </w:trPr>
        <w:tc>
          <w:tcPr>
            <w:tcW w:type="dxa" w:w="4762"/>
            <w:tcMar>
              <w:top w:w="95" w:type="dxa"/>
              <w:left w:w="95" w:type="dxa"/>
              <w:bottom w:w="95" w:type="dxa"/>
              <w:right w:w="95" w:type="dxa"/>
            </w:tcMar>
          </w:tcPr>
          <w:p>
            <w:pPr>
              <w:pStyle w:val="GuideTable"/>
            </w:pPr>
            <w:r>
              <w:rPr>
                <w:b w:val="0"/>
              </w:rPr>
              <w:t>TELEGRAM_SIGNAL_MAX_AGE_SECONDS</w:t>
            </w:r>
          </w:p>
        </w:tc>
        <w:tc>
          <w:tcPr>
            <w:tcW w:type="dxa" w:w="4762"/>
            <w:tcMar>
              <w:top w:w="95" w:type="dxa"/>
              <w:left w:w="95" w:type="dxa"/>
              <w:bottom w:w="95" w:type="dxa"/>
              <w:right w:w="95" w:type="dxa"/>
            </w:tcMar>
          </w:tcPr>
          <w:p>
            <w:pPr>
              <w:pStyle w:val="GuideTable"/>
            </w:pPr>
            <w:r>
              <w:rPr>
                <w:b w:val="0"/>
              </w:rPr>
              <w:t>900; filtro preliminare dei job di analisi, non autorizzazione al trading</w:t>
            </w:r>
          </w:p>
        </w:tc>
      </w:tr>
    </w:tbl>
    <w:p>
      <w:pPr>
        <w:spacing w:after="40"/>
      </w:pPr>
    </w:p>
    <w:p>
      <w:r>
        <w:t xml:space="preserve">Il numero di telefono, il codice di accesso e l’eventuale password Telegram a due passaggi sono richiesti senza eco dalla procedura locale. Non salvarli in variabili del servizio e non raccoglierli in un modulo della dashboard. La sessione viene cifrata con AES GCM e legata a schema, ambiente, account, identità del collector e identificativo della chiave. La sessione Telethon in memoria non produce un file SQLite in chiaro. </w:t>
      </w:r>
      <w:hyperlink r:id="rId13">
        <w:r>
          <w:rPr>
            <w:rStyle w:val="Hyperlink"/>
          </w:rPr>
          <w:t>Sessioni Telethon</w:t>
        </w:r>
      </w:hyperlink>
      <w:r/>
    </w:p>
    <w:p>
      <w:r>
        <w:t>Per lo sviluppo host, fermare il collector ed eseguire pnpm telegram:enroll. Impostare poi TELEGRAM_ENABLED=true e avviare nuovamente il servizio. Per Compose, fermare telegram ed eseguire da un terminale interattivo:</w:t>
      </w:r>
    </w:p>
    <w:p>
      <w:pPr>
        <w:pStyle w:val="GuideCode"/>
      </w:pPr>
      <w:r>
        <w:t>docker compose stop telegram</w:t>
      </w:r>
    </w:p>
    <w:p>
      <w:pPr>
        <w:pStyle w:val="GuideCode"/>
      </w:pPr>
      <w:r>
        <w:t>docker compose run --rm --no-deps --entrypoint python telegram -m backend.integrations.telegram.enroll</w:t>
      </w:r>
    </w:p>
    <w:p>
      <w:r>
        <w:t>L’accesso salva la sessione nel volume Telegram del contenitore, leggibile dal relativo utente di servizio. Non copiare semplicemente la sessione host nel volume senza gestire proprietario e permessi. Dopo l’accesso impostare TELEGRAM_ENABLED=true e ricreare il servizio con docker compose up -d telegram. Quando si eseguono i comandi Compose dopo una modifica a .env, le variabili nuove vengono nuovamente interpolate.</w:t>
      </w:r>
    </w:p>
    <w:p>
      <w:r>
        <w:t>Per sostituire una sessione esistente, fermare prima il collector e invocare il modulo di accesso con --replace-session. Per ruotare la cifratura, fermarlo, configurare la nuova chiave e il nuovo identificativo, poi invocare lo stesso modulo con --rotate-key: richiede la chiave e l’identificativo precedenti in locale e ricifra atomicamente la sessione. Conservare una possibilità di ripristino protetta prima della rotazione. La revoca dall’app Telegram rende la sessione inutilizzabile e richiede un nuovo accesso.</w:t>
      </w:r>
    </w:p>
    <w:p>
      <w:r>
        <w:t>Su macOS e Linux il file sessione deve essere privato con permessi 600. Su Windows predisporre ACL per il solo account del servizio e gli operatori autorizzati. Le ACL del server Windows richiedono un collaudo sul sistema di destinazione.</w:t>
      </w:r>
    </w:p>
    <w:p>
      <w:r>
        <w:t>Il collector conserva nello stesso file cifrato anche gli aggiornamenti interni della sessione richiesti dalla connessione Telegram. Il volume deve quindi restare scrivibile per il suo account di servizio; non sostituirlo con un file montato in sola lettura.</w:t>
      </w:r>
    </w:p>
    <w:p>
      <w:pPr>
        <w:pStyle w:val="Heading1"/>
      </w:pPr>
      <w:r>
        <w:t>Verifiche prima della consegna al cliente</w:t>
      </w:r>
    </w:p>
    <w:p>
      <w:pPr>
        <w:pStyle w:val="ListNumber"/>
        <w:keepNext/>
      </w:pPr>
      <w:r>
        <w:t>Verificare migrazione 0005b_remote_openrouter e servizi avviati con i propri ruoli.</w:t>
      </w:r>
    </w:p>
    <w:p>
      <w:pPr>
        <w:pStyle w:val="ListNumber"/>
        <w:keepNext/>
      </w:pPr>
      <w:r>
        <w:t>Provare accesso, uscita e comportamento VIEWER; nessun lettore deve salvare configurazioni.</w:t>
      </w:r>
    </w:p>
    <w:p>
      <w:pPr>
        <w:pStyle w:val="ListNumber"/>
        <w:keepNext/>
      </w:pPr>
      <w:r>
        <w:t>Inserire una fonte autorizzata dalla dashboard, verificare conferma e voce nel Registro attività.</w:t>
      </w:r>
    </w:p>
    <w:p>
      <w:pPr>
        <w:pStyle w:val="ListNumber"/>
        <w:keepNext/>
      </w:pPr>
      <w:r>
        <w:t>Collegare l’account reale e verificare lo stato Lettura verificata con un’osservazione recente.</w:t>
      </w:r>
    </w:p>
    <w:p>
      <w:pPr>
        <w:pStyle w:val="ListNumber"/>
        <w:keepNext/>
      </w:pPr>
      <w:r>
        <w:t>Su una fonte di prova autorizzata, verificare nuovo messaggio, modifica, risposta e cancellazione senza duplicati.</w:t>
      </w:r>
    </w:p>
    <w:p>
      <w:pPr>
        <w:pStyle w:val="ListNumber"/>
        <w:keepNext/>
      </w:pPr>
      <w:r>
        <w:t>Interrompere e riavviare il collector; verificare recupero delle revisioni nella finestra e segnalazione dei periodi non coperti.</w:t>
      </w:r>
    </w:p>
    <w:p>
      <w:pPr>
        <w:pStyle w:val="ListNumber"/>
        <w:keepNext w:val="0"/>
      </w:pPr>
      <w:r>
        <w:t>Verificare Analisi messaggi e il dettaglio delle proposte con agenti locali configurati; mantenere IA esterna, automazione e ordini disabilitati.</w:t>
      </w:r>
    </w:p>
    <w:p>
      <w:r>
        <w:t>Il collector usa una lease PostgreSQL per un solo proprietario attivo dell’account nello stesso database. Ogni scrittura verifica proprietario, generazione, scadenza, ambiente e versione della fonte. Nessuna transazione resta aperta durante una richiesta Telegram. Le limitazioni imposte da Telegram vengono rispettate con un’attesa persistita; perdita del database o della lease impedisce di avanzare il cursore.</w:t>
      </w:r>
    </w:p>
    <w:p>
      <w:r>
        <w:t>La cronologia viene recuperata a lotti in ordine, con controlli sovrapposti e verifiche dei messaggi già registrati per rilevare modifiche e cancellazioni. Il polling non mantiene una coda di aggiornamenti Telethon in memoria. La copertura è limitata alla finestra configurata: non dichiarare recupero completo oltre quella finestra o per eventi spariti prima della prima osservazione. Lease in database diversi non si coordinano: non avviare copie indipendenti dello stesso collector sul medesimo account.</w:t>
      </w:r>
    </w:p>
    <w:p>
      <w:r>
        <w:t>I test automatici usano PostgreSQL 17 e database casuali trd_test_* separati dall’istanza applicativa. I test di protocollo e UI non sostituiscono il collaudo su Telegram reale. Non utilizzare un server PostgreSQL di produzione come TEST_ADMIN_DATABASE_URL.</w:t>
      </w:r>
    </w:p>
    <w:p>
      <w:pPr>
        <w:pStyle w:val="Heading1"/>
      </w:pPr>
      <w:r>
        <w:t>Preparare e collaudare l’analisi locale</w:t>
      </w:r>
    </w:p>
    <w:p>
      <w:r>
        <w:t>L’aggiornamento aggiunge la migrazione 0005_analysis. Il worker AI usa il solo ruolo trd_ai e consuma i job Telegram già persistiti. Analisi, proposta, transizioni, audit, outbox e completamento del job vengono confermati atomicamente. Le chiamate al simulatore restano fuori dalle transazioni. Ogni tentativo verifica lease, generazione, fonte, revisione del messaggio e configurazione; un risultato tardivo non può sostituire i dati correnti.</w:t>
      </w:r>
    </w:p>
    <w:p>
      <w:r>
        <w:t>Il bootstrap aggiunge istruzioni immutabili di versione 2 per i cinque agenti implementati, conservando le versioni precedenti e le configurazioni esistenti. Gli agenti non vengono attivati automaticamente. Dalla dashboard ADMIN attivare i quattro agenti di classificazione, interpretazione, analisi e decisione, scegliendo il simulatore locale e confermando la revisione. La conferma seleziona le istruzioni di versione 2. L’agente critico viene eseguito se attivato; se obbligatorio dal server, la sua indisponibilità ferma il percorso. La revisione delle posizioni resta disabilitata.</w:t>
      </w:r>
    </w:p>
    <w:p>
      <w:r>
        <w:t>Il parser accetta un solo messaggio completo nel formato BUY oppure SELL, simbolo, ENTRY, prezzo, SL, prezzo, TP, prezzo. Un esempio di prova è BUY EURUSD ENTRY 1.10000 SL 1.09500 TP 1.11000. Sono riconosciuti EURUSD, GBPUSD, USDJPY, USDCHF, AUDUSD, USDCAD e NZDUSD, senza risoluzione di suffissi o mapping al broker. Questo elenco delimita il parser e non approva la negoziazione degli strumenti. I prezzi usano Decimal; controlli economici, quotazioni, conversioni e autorizzazioni per fonte appartengono al futuro gateway del rischio.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Variabile</w:t>
            </w:r>
          </w:p>
        </w:tc>
        <w:tc>
          <w:tcPr>
            <w:tcW w:type="dxa" w:w="4762"/>
            <w:tcMar>
              <w:top w:w="95" w:type="dxa"/>
              <w:left w:w="95" w:type="dxa"/>
              <w:bottom w:w="95" w:type="dxa"/>
              <w:right w:w="95" w:type="dxa"/>
            </w:tcMar>
            <w:shd w:fill="F2F2F2"/>
          </w:tcPr>
          <w:p>
            <w:pPr>
              <w:pStyle w:val="GuideTable"/>
            </w:pPr>
            <w:r>
              <w:rPr>
                <w:b/>
              </w:rPr>
              <w:t>Comportamento implementato</w:t>
            </w:r>
          </w:p>
        </w:tc>
      </w:tr>
      <w:tr>
        <w:trPr>
          <w:cantSplit/>
        </w:trPr>
        <w:tc>
          <w:tcPr>
            <w:tcW w:type="dxa" w:w="4762"/>
            <w:tcMar>
              <w:top w:w="95" w:type="dxa"/>
              <w:left w:w="95" w:type="dxa"/>
              <w:bottom w:w="95" w:type="dxa"/>
              <w:right w:w="95" w:type="dxa"/>
            </w:tcMar>
          </w:tcPr>
          <w:p>
            <w:pPr>
              <w:pStyle w:val="GuideTable"/>
            </w:pPr>
            <w:r>
              <w:rPr>
                <w:b w:val="0"/>
              </w:rPr>
              <w:t>AI_PROVIDER_MODE</w:t>
            </w:r>
          </w:p>
        </w:tc>
        <w:tc>
          <w:tcPr>
            <w:tcW w:type="dxa" w:w="4762"/>
            <w:tcMar>
              <w:top w:w="95" w:type="dxa"/>
              <w:left w:w="95" w:type="dxa"/>
              <w:bottom w:w="95" w:type="dxa"/>
              <w:right w:w="95" w:type="dxa"/>
            </w:tcMar>
          </w:tcPr>
          <w:p>
            <w:pPr>
              <w:pStyle w:val="GuideTable"/>
            </w:pPr>
            <w:r>
              <w:rPr>
                <w:b w:val="0"/>
              </w:rPr>
              <w:t>mock inizialmente; openrouter richiede ricevuta valida, chiave e budget positivi</w:t>
            </w:r>
          </w:p>
        </w:tc>
      </w:tr>
      <w:tr>
        <w:trPr>
          <w:cantSplit/>
        </w:trPr>
        <w:tc>
          <w:tcPr>
            <w:tcW w:type="dxa" w:w="4762"/>
            <w:tcMar>
              <w:top w:w="95" w:type="dxa"/>
              <w:left w:w="95" w:type="dxa"/>
              <w:bottom w:w="95" w:type="dxa"/>
              <w:right w:w="95" w:type="dxa"/>
            </w:tcMar>
          </w:tcPr>
          <w:p>
            <w:pPr>
              <w:pStyle w:val="GuideTable"/>
            </w:pPr>
            <w:r>
              <w:rPr>
                <w:b w:val="0"/>
              </w:rPr>
              <w:t>AI_SIGNAL_MAX_AGE_SECONDS</w:t>
            </w:r>
          </w:p>
        </w:tc>
        <w:tc>
          <w:tcPr>
            <w:tcW w:type="dxa" w:w="4762"/>
            <w:tcMar>
              <w:top w:w="95" w:type="dxa"/>
              <w:left w:w="95" w:type="dxa"/>
              <w:bottom w:w="95" w:type="dxa"/>
              <w:right w:w="95" w:type="dxa"/>
            </w:tcMar>
          </w:tcPr>
          <w:p>
            <w:pPr>
              <w:pStyle w:val="GuideTable"/>
            </w:pPr>
            <w:r>
              <w:rPr>
                <w:b w:val="0"/>
              </w:rPr>
              <w:t>900; da 30 a 3600 secondi dalla pubblicazione, ricontrollata alla conclusione</w:t>
            </w:r>
          </w:p>
        </w:tc>
      </w:tr>
      <w:tr>
        <w:trPr>
          <w:cantSplit/>
        </w:trPr>
        <w:tc>
          <w:tcPr>
            <w:tcW w:type="dxa" w:w="4762"/>
            <w:tcMar>
              <w:top w:w="95" w:type="dxa"/>
              <w:left w:w="95" w:type="dxa"/>
              <w:bottom w:w="95" w:type="dxa"/>
              <w:right w:w="95" w:type="dxa"/>
            </w:tcMar>
          </w:tcPr>
          <w:p>
            <w:pPr>
              <w:pStyle w:val="GuideTable"/>
            </w:pPr>
            <w:r>
              <w:rPr>
                <w:b w:val="0"/>
              </w:rPr>
              <w:t>AI_JOB_LEASE_SECONDS</w:t>
            </w:r>
          </w:p>
        </w:tc>
        <w:tc>
          <w:tcPr>
            <w:tcW w:type="dxa" w:w="4762"/>
            <w:tcMar>
              <w:top w:w="95" w:type="dxa"/>
              <w:left w:w="95" w:type="dxa"/>
              <w:bottom w:w="95" w:type="dxa"/>
              <w:right w:w="95" w:type="dxa"/>
            </w:tcMar>
          </w:tcPr>
          <w:p>
            <w:pPr>
              <w:pStyle w:val="GuideTable"/>
            </w:pPr>
            <w:r>
              <w:rPr>
                <w:b w:val="0"/>
              </w:rPr>
              <w:t>180; da 10 a 300 secondi, oltre il timeout totale più cinque secondi</w:t>
            </w:r>
          </w:p>
        </w:tc>
      </w:tr>
      <w:tr>
        <w:trPr>
          <w:cantSplit/>
        </w:trPr>
        <w:tc>
          <w:tcPr>
            <w:tcW w:type="dxa" w:w="4762"/>
            <w:tcMar>
              <w:top w:w="95" w:type="dxa"/>
              <w:left w:w="95" w:type="dxa"/>
              <w:bottom w:w="95" w:type="dxa"/>
              <w:right w:w="95" w:type="dxa"/>
            </w:tcMar>
          </w:tcPr>
          <w:p>
            <w:pPr>
              <w:pStyle w:val="GuideTable"/>
            </w:pPr>
            <w:r>
              <w:rPr>
                <w:b w:val="0"/>
              </w:rPr>
              <w:t>AI_HARD_TIMEOUT_SECONDS</w:t>
            </w:r>
          </w:p>
        </w:tc>
        <w:tc>
          <w:tcPr>
            <w:tcW w:type="dxa" w:w="4762"/>
            <w:tcMar>
              <w:top w:w="95" w:type="dxa"/>
              <w:left w:w="95" w:type="dxa"/>
              <w:bottom w:w="95" w:type="dxa"/>
              <w:right w:w="95" w:type="dxa"/>
            </w:tcMar>
          </w:tcPr>
          <w:p>
            <w:pPr>
              <w:pStyle w:val="GuideTable"/>
            </w:pPr>
            <w:r>
              <w:rPr>
                <w:b w:val="0"/>
              </w:rPr>
              <w:t>30; da 1 a 120 secondi per l’intero percorso, incluse le alternative</w:t>
            </w:r>
          </w:p>
        </w:tc>
      </w:tr>
      <w:tr>
        <w:trPr>
          <w:cantSplit/>
        </w:trPr>
        <w:tc>
          <w:tcPr>
            <w:tcW w:type="dxa" w:w="4762"/>
            <w:tcMar>
              <w:top w:w="95" w:type="dxa"/>
              <w:left w:w="95" w:type="dxa"/>
              <w:bottom w:w="95" w:type="dxa"/>
              <w:right w:w="95" w:type="dxa"/>
            </w:tcMar>
          </w:tcPr>
          <w:p>
            <w:pPr>
              <w:pStyle w:val="GuideTable"/>
            </w:pPr>
            <w:r>
              <w:rPr>
                <w:b w:val="0"/>
              </w:rPr>
              <w:t>AI_HARD_MAX_OUTPUT_TOKENS</w:t>
            </w:r>
          </w:p>
        </w:tc>
        <w:tc>
          <w:tcPr>
            <w:tcW w:type="dxa" w:w="4762"/>
            <w:tcMar>
              <w:top w:w="95" w:type="dxa"/>
              <w:left w:w="95" w:type="dxa"/>
              <w:bottom w:w="95" w:type="dxa"/>
              <w:right w:w="95" w:type="dxa"/>
            </w:tcMar>
          </w:tcPr>
          <w:p>
            <w:pPr>
              <w:pStyle w:val="GuideTable"/>
            </w:pPr>
            <w:r>
              <w:rPr>
                <w:b w:val="0"/>
              </w:rPr>
              <w:t>4096; limite fra 1 e 4096, ristretto dalla configurazione dell’agente</w:t>
            </w:r>
          </w:p>
        </w:tc>
      </w:tr>
      <w:tr>
        <w:trPr>
          <w:cantSplit/>
        </w:trPr>
        <w:tc>
          <w:tcPr>
            <w:tcW w:type="dxa" w:w="4762"/>
            <w:tcMar>
              <w:top w:w="95" w:type="dxa"/>
              <w:left w:w="95" w:type="dxa"/>
              <w:bottom w:w="95" w:type="dxa"/>
              <w:right w:w="95" w:type="dxa"/>
            </w:tcMar>
          </w:tcPr>
          <w:p>
            <w:pPr>
              <w:pStyle w:val="GuideTable"/>
            </w:pPr>
            <w:r>
              <w:rPr>
                <w:b w:val="0"/>
              </w:rPr>
              <w:t>AI_HARD_DAILY_BUDGET_USD</w:t>
            </w:r>
          </w:p>
        </w:tc>
        <w:tc>
          <w:tcPr>
            <w:tcW w:type="dxa" w:w="4762"/>
            <w:tcMar>
              <w:top w:w="95" w:type="dxa"/>
              <w:left w:w="95" w:type="dxa"/>
              <w:bottom w:w="95" w:type="dxa"/>
              <w:right w:w="95" w:type="dxa"/>
            </w:tcMar>
          </w:tcPr>
          <w:p>
            <w:pPr>
              <w:pStyle w:val="GuideTable"/>
            </w:pPr>
            <w:r>
              <w:rPr>
                <w:b w:val="0"/>
              </w:rPr>
              <w:t>0.00; limite globale giornaliero in USD</w:t>
            </w:r>
          </w:p>
        </w:tc>
      </w:tr>
      <w:tr>
        <w:trPr>
          <w:cantSplit/>
        </w:trPr>
        <w:tc>
          <w:tcPr>
            <w:tcW w:type="dxa" w:w="4762"/>
            <w:tcMar>
              <w:top w:w="95" w:type="dxa"/>
              <w:left w:w="95" w:type="dxa"/>
              <w:bottom w:w="95" w:type="dxa"/>
              <w:right w:w="95" w:type="dxa"/>
            </w:tcMar>
          </w:tcPr>
          <w:p>
            <w:pPr>
              <w:pStyle w:val="GuideTable"/>
            </w:pPr>
            <w:r>
              <w:rPr>
                <w:b w:val="0"/>
              </w:rPr>
              <w:t>AI_HARD_MONTHLY_BUDGET_USD</w:t>
            </w:r>
          </w:p>
        </w:tc>
        <w:tc>
          <w:tcPr>
            <w:tcW w:type="dxa" w:w="4762"/>
            <w:tcMar>
              <w:top w:w="95" w:type="dxa"/>
              <w:left w:w="95" w:type="dxa"/>
              <w:bottom w:w="95" w:type="dxa"/>
              <w:right w:w="95" w:type="dxa"/>
            </w:tcMar>
          </w:tcPr>
          <w:p>
            <w:pPr>
              <w:pStyle w:val="GuideTable"/>
            </w:pPr>
            <w:r>
              <w:rPr>
                <w:b w:val="0"/>
              </w:rPr>
              <w:t>0.00; limite globale mensile in USD</w:t>
            </w:r>
          </w:p>
        </w:tc>
      </w:tr>
      <w:tr>
        <w:trPr>
          <w:cantSplit/>
        </w:trPr>
        <w:tc>
          <w:tcPr>
            <w:tcW w:type="dxa" w:w="4762"/>
            <w:tcMar>
              <w:top w:w="95" w:type="dxa"/>
              <w:left w:w="95" w:type="dxa"/>
              <w:bottom w:w="95" w:type="dxa"/>
              <w:right w:w="95" w:type="dxa"/>
            </w:tcMar>
          </w:tcPr>
          <w:p>
            <w:pPr>
              <w:pStyle w:val="GuideTable"/>
            </w:pPr>
            <w:r>
              <w:rPr>
                <w:b w:val="0"/>
              </w:rPr>
              <w:t>AI_HARD_DAILY_BUDGET_PER_AGENT_USD</w:t>
            </w:r>
          </w:p>
        </w:tc>
        <w:tc>
          <w:tcPr>
            <w:tcW w:type="dxa" w:w="4762"/>
            <w:tcMar>
              <w:top w:w="95" w:type="dxa"/>
              <w:left w:w="95" w:type="dxa"/>
              <w:bottom w:w="95" w:type="dxa"/>
              <w:right w:w="95" w:type="dxa"/>
            </w:tcMar>
          </w:tcPr>
          <w:p>
            <w:pPr>
              <w:pStyle w:val="GuideTable"/>
            </w:pPr>
            <w:r>
              <w:rPr>
                <w:b w:val="0"/>
              </w:rPr>
              <w:t>0.00; nuovo limite giornaliero per singolo agente</w:t>
            </w:r>
          </w:p>
        </w:tc>
      </w:tr>
      <w:tr>
        <w:trPr>
          <w:cantSplit/>
        </w:trPr>
        <w:tc>
          <w:tcPr>
            <w:tcW w:type="dxa" w:w="4762"/>
            <w:tcMar>
              <w:top w:w="95" w:type="dxa"/>
              <w:left w:w="95" w:type="dxa"/>
              <w:bottom w:w="95" w:type="dxa"/>
              <w:right w:w="95" w:type="dxa"/>
            </w:tcMar>
          </w:tcPr>
          <w:p>
            <w:pPr>
              <w:pStyle w:val="GuideTable"/>
            </w:pPr>
            <w:r>
              <w:rPr>
                <w:b w:val="0"/>
              </w:rPr>
              <w:t>AI_HARD_MAX_COST_PER_REQUEST_USD</w:t>
            </w:r>
          </w:p>
        </w:tc>
        <w:tc>
          <w:tcPr>
            <w:tcW w:type="dxa" w:w="4762"/>
            <w:tcMar>
              <w:top w:w="95" w:type="dxa"/>
              <w:left w:w="95" w:type="dxa"/>
              <w:bottom w:w="95" w:type="dxa"/>
              <w:right w:w="95" w:type="dxa"/>
            </w:tcMar>
          </w:tcPr>
          <w:p>
            <w:pPr>
              <w:pStyle w:val="GuideTable"/>
            </w:pPr>
            <w:r>
              <w:rPr>
                <w:b w:val="0"/>
              </w:rPr>
              <w:t>0.00; limite per tentativo, ristretto dal limite dell’agente</w:t>
            </w:r>
          </w:p>
        </w:tc>
      </w:tr>
      <w:tr>
        <w:trPr>
          <w:cantSplit/>
        </w:trPr>
        <w:tc>
          <w:tcPr>
            <w:tcW w:type="dxa" w:w="4762"/>
            <w:tcMar>
              <w:top w:w="95" w:type="dxa"/>
              <w:left w:w="95" w:type="dxa"/>
              <w:bottom w:w="95" w:type="dxa"/>
              <w:right w:w="95" w:type="dxa"/>
            </w:tcMar>
          </w:tcPr>
          <w:p>
            <w:pPr>
              <w:pStyle w:val="GuideTable"/>
            </w:pPr>
            <w:r>
              <w:rPr>
                <w:b w:val="0"/>
              </w:rPr>
              <w:t>ENABLE_CRITIC_AGENT</w:t>
            </w:r>
          </w:p>
        </w:tc>
        <w:tc>
          <w:tcPr>
            <w:tcW w:type="dxa" w:w="4762"/>
            <w:tcMar>
              <w:top w:w="95" w:type="dxa"/>
              <w:left w:w="95" w:type="dxa"/>
              <w:bottom w:w="95" w:type="dxa"/>
              <w:right w:w="95" w:type="dxa"/>
            </w:tcMar>
          </w:tcPr>
          <w:p>
            <w:pPr>
              <w:pStyle w:val="GuideTable"/>
            </w:pPr>
            <w:r>
              <w:rPr>
                <w:b w:val="0"/>
              </w:rPr>
              <w:t>false; true rende obbligatoria la verifica critica con agente configurato</w:t>
            </w:r>
          </w:p>
        </w:tc>
      </w:tr>
      <w:tr>
        <w:trPr>
          <w:cantSplit/>
        </w:trPr>
        <w:tc>
          <w:tcPr>
            <w:tcW w:type="dxa" w:w="4762"/>
            <w:tcMar>
              <w:top w:w="95" w:type="dxa"/>
              <w:left w:w="95" w:type="dxa"/>
              <w:bottom w:w="95" w:type="dxa"/>
              <w:right w:w="95" w:type="dxa"/>
            </w:tcMar>
          </w:tcPr>
          <w:p>
            <w:pPr>
              <w:pStyle w:val="GuideTable"/>
            </w:pPr>
            <w:r>
              <w:rPr>
                <w:b w:val="0"/>
              </w:rPr>
              <w:t>ENABLE_ADAPTIVE_MEMORY</w:t>
            </w:r>
          </w:p>
        </w:tc>
        <w:tc>
          <w:tcPr>
            <w:tcW w:type="dxa" w:w="4762"/>
            <w:tcMar>
              <w:top w:w="95" w:type="dxa"/>
              <w:left w:w="95" w:type="dxa"/>
              <w:bottom w:w="95" w:type="dxa"/>
              <w:right w:w="95" w:type="dxa"/>
            </w:tcMar>
          </w:tcPr>
          <w:p>
            <w:pPr>
              <w:pStyle w:val="GuideTable"/>
            </w:pPr>
            <w:r>
              <w:rPr>
                <w:b w:val="0"/>
              </w:rPr>
              <w:t>false; true resta rifiutato perché la funzione è futura</w:t>
            </w:r>
          </w:p>
        </w:tc>
      </w:tr>
    </w:tbl>
    <w:p>
      <w:pPr>
        <w:spacing w:after="40"/>
      </w:pPr>
    </w:p>
    <w:p>
      <w:r>
        <w:t>Solo il processo AI riceve questi campi. Aggiungere i tre nuovi nomi al file .env esistente se si desidera personalizzarli; altrimenti valgono i default. Dopo una modifica ricreare worker con Compose oppure riavviare il processo host. Conservare i budget a zero per l’installazione locale: il simulatore è gratuito. I valori di spesa richiedono stringhe decimali finite, mai float. Le finestre contabili sono UTC; la dashboard visualizza gli orari in Europe/Rome.</w:t>
      </w:r>
    </w:p>
    <w:p>
      <w:r>
        <w:t>La prenotazione preventiva serializza i limiti globali e per agente in PostgreSQL. Un esito senza consumo confermato conserva l’importo anche dopo cambio di giorno o mese. Un riavvio non ripete un tentativo ancora aperto. Costi IA rende visibili anche le prenotazioni interrotte prima della registrazione del consumo. Per ogni agente sono ammessi al massimo tre tentativi per job, comprese ripartenze e modelli alternativi. Non esiste ancora una procedura operativa per liberare un importo dall’esito sconosciuto: va riconciliato prima di qualsiasi futura attivazione a pagamento.</w:t>
      </w:r>
    </w:p>
    <w:p>
      <w:r>
        <w:t>I test verificano parser, injection, rifiuti, output incompleti, consumi invalidi, spese concorrenti, scadenze, modifiche e permessi su PostgreSQL 17. Per l’uso reale provare in una fonte Telegram autorizzata anche risposte, revisioni e riavvio. Gli esiti del simulatore non validano un modello esterno né certificano una strategia di trading.</w:t>
      </w:r>
    </w:p>
    <w:p>
      <w:pPr>
        <w:pStyle w:val="Heading1"/>
      </w:pPr>
      <w:r>
        <w:t>Collaudare e integrare OpenRouter</w:t>
      </w:r>
    </w:p>
    <w:p>
      <w:r>
        <w:t xml:space="preserve">L’adapter OpenRouter invia soltanto prompt fisso e proposta normalizzata, senza testo Telegram grezzo, strumenti, plugin, redirect o reasoning privato. Fissa modello, un solo provider, schema rigoroso, prezzi massimi, require_parameters=true, data_collection=deny e zdr=true; se un requisito non è disponibile la richiesta fallisce. Verificare anche condizioni e impostazioni dell’account dedicato. Il catalogo deve confermare schema, capacità di token e prezzi correnti. </w:t>
      </w:r>
      <w:hyperlink r:id="rId14">
        <w:r>
          <w:rPr>
            <w:rStyle w:val="Hyperlink"/>
          </w:rPr>
          <w:t>Routing OpenRouter</w:t>
        </w:r>
      </w:hyperlink>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Nuove variabili AI</w:t>
            </w:r>
          </w:p>
        </w:tc>
        <w:tc>
          <w:tcPr>
            <w:tcW w:type="dxa" w:w="4762"/>
            <w:tcMar>
              <w:top w:w="95" w:type="dxa"/>
              <w:left w:w="95" w:type="dxa"/>
              <w:bottom w:w="95" w:type="dxa"/>
              <w:right w:w="95" w:type="dxa"/>
            </w:tcMar>
            <w:shd w:fill="F2F2F2"/>
          </w:tcPr>
          <w:p>
            <w:pPr>
              <w:pStyle w:val="GuideTable"/>
            </w:pPr>
            <w:r>
              <w:rPr>
                <w:b/>
              </w:rPr>
              <w:t>Preparazione</w:t>
            </w:r>
          </w:p>
        </w:tc>
      </w:tr>
      <w:tr>
        <w:trPr>
          <w:cantSplit/>
        </w:trPr>
        <w:tc>
          <w:tcPr>
            <w:tcW w:type="dxa" w:w="4762"/>
            <w:tcMar>
              <w:top w:w="95" w:type="dxa"/>
              <w:left w:w="95" w:type="dxa"/>
              <w:bottom w:w="95" w:type="dxa"/>
              <w:right w:w="95" w:type="dxa"/>
            </w:tcMar>
          </w:tcPr>
          <w:p>
            <w:pPr>
              <w:pStyle w:val="GuideTable"/>
            </w:pPr>
            <w:r>
              <w:rPr>
                <w:b w:val="0"/>
              </w:rPr>
              <w:t>OPENROUTER_API_KEY</w:t>
            </w:r>
          </w:p>
        </w:tc>
        <w:tc>
          <w:tcPr>
            <w:tcW w:type="dxa" w:w="4762"/>
            <w:tcMar>
              <w:top w:w="95" w:type="dxa"/>
              <w:left w:w="95" w:type="dxa"/>
              <w:bottom w:w="95" w:type="dxa"/>
              <w:right w:w="95" w:type="dxa"/>
            </w:tcMar>
          </w:tcPr>
          <w:p>
            <w:pPr>
              <w:pStyle w:val="GuideTable"/>
            </w:pPr>
            <w:r>
              <w:rPr>
                <w:b w:val="0"/>
              </w:rPr>
              <w:t>Chiave dell’ambiente, solo al worker AI e al probe operatore</w:t>
            </w:r>
          </w:p>
        </w:tc>
      </w:tr>
      <w:tr>
        <w:trPr>
          <w:cantSplit/>
        </w:trPr>
        <w:tc>
          <w:tcPr>
            <w:tcW w:type="dxa" w:w="4762"/>
            <w:tcMar>
              <w:top w:w="95" w:type="dxa"/>
              <w:left w:w="95" w:type="dxa"/>
              <w:bottom w:w="95" w:type="dxa"/>
              <w:right w:w="95" w:type="dxa"/>
            </w:tcMar>
          </w:tcPr>
          <w:p>
            <w:pPr>
              <w:pStyle w:val="GuideTable"/>
            </w:pPr>
            <w:r>
              <w:rPr>
                <w:b w:val="0"/>
              </w:rPr>
              <w:t>OPENROUTER_MANIFEST_PATH</w:t>
            </w:r>
          </w:p>
        </w:tc>
        <w:tc>
          <w:tcPr>
            <w:tcW w:type="dxa" w:w="4762"/>
            <w:tcMar>
              <w:top w:w="95" w:type="dxa"/>
              <w:left w:w="95" w:type="dxa"/>
              <w:bottom w:w="95" w:type="dxa"/>
              <w:right w:w="95" w:type="dxa"/>
            </w:tcMar>
          </w:tcPr>
          <w:p>
            <w:pPr>
              <w:pStyle w:val="GuideTable"/>
            </w:pPr>
            <w:r>
              <w:rPr>
                <w:b w:val="0"/>
              </w:rPr>
              <w:t>Percorso facoltativo del manifest operativo; il probe richiede --manifest esplicito</w:t>
            </w:r>
          </w:p>
        </w:tc>
      </w:tr>
      <w:tr>
        <w:trPr>
          <w:cantSplit/>
        </w:trPr>
        <w:tc>
          <w:tcPr>
            <w:tcW w:type="dxa" w:w="4762"/>
            <w:tcMar>
              <w:top w:w="95" w:type="dxa"/>
              <w:left w:w="95" w:type="dxa"/>
              <w:bottom w:w="95" w:type="dxa"/>
              <w:right w:w="95" w:type="dxa"/>
            </w:tcMar>
          </w:tcPr>
          <w:p>
            <w:pPr>
              <w:pStyle w:val="GuideTable"/>
            </w:pPr>
            <w:r>
              <w:rPr>
                <w:b w:val="0"/>
              </w:rPr>
              <w:t>OPENROUTER_ACCEPTANCE_PATH</w:t>
            </w:r>
          </w:p>
        </w:tc>
        <w:tc>
          <w:tcPr>
            <w:tcW w:type="dxa" w:w="4762"/>
            <w:tcMar>
              <w:top w:w="95" w:type="dxa"/>
              <w:left w:w="95" w:type="dxa"/>
              <w:bottom w:w="95" w:type="dxa"/>
              <w:right w:w="95" w:type="dxa"/>
            </w:tcMar>
          </w:tcPr>
          <w:p>
            <w:pPr>
              <w:pStyle w:val="GuideTable"/>
            </w:pPr>
            <w:r>
              <w:rPr>
                <w:b w:val="0"/>
              </w:rPr>
              <w:t>Ricevuta privata valida, visibile dal worker; obbligatoria in modalità openrouter</w:t>
            </w:r>
          </w:p>
        </w:tc>
      </w:tr>
      <w:tr>
        <w:trPr>
          <w:cantSplit/>
        </w:trPr>
        <w:tc>
          <w:tcPr>
            <w:tcW w:type="dxa" w:w="4762"/>
            <w:tcMar>
              <w:top w:w="95" w:type="dxa"/>
              <w:left w:w="95" w:type="dxa"/>
              <w:bottom w:w="95" w:type="dxa"/>
              <w:right w:w="95" w:type="dxa"/>
            </w:tcMar>
          </w:tcPr>
          <w:p>
            <w:pPr>
              <w:pStyle w:val="GuideTable"/>
            </w:pPr>
            <w:r>
              <w:rPr>
                <w:b w:val="0"/>
              </w:rPr>
              <w:t>AI_HARD_MAX_INPUT_TOKENS</w:t>
            </w:r>
          </w:p>
        </w:tc>
        <w:tc>
          <w:tcPr>
            <w:tcW w:type="dxa" w:w="4762"/>
            <w:tcMar>
              <w:top w:w="95" w:type="dxa"/>
              <w:left w:w="95" w:type="dxa"/>
              <w:bottom w:w="95" w:type="dxa"/>
              <w:right w:w="95" w:type="dxa"/>
            </w:tcMar>
          </w:tcPr>
          <w:p>
            <w:pPr>
              <w:pStyle w:val="GuideTable"/>
            </w:pPr>
            <w:r>
              <w:rPr>
                <w:b w:val="0"/>
              </w:rPr>
              <w:t>131072; da 1 a 1000000, limite superiore al contesto approvato del modello</w:t>
            </w:r>
          </w:p>
        </w:tc>
      </w:tr>
    </w:tbl>
    <w:p>
      <w:pPr>
        <w:spacing w:after="40"/>
      </w:pPr>
    </w:p>
    <w:p>
      <w:r>
        <w:t>Copiare infra/openrouter/manifest.example.json in una directory privata. L’esempio pubblico è scaduto e va compilato con dati verificati: modello/versione esatti, tag e nome del provider, intero contesto pubblicato come input_token_limit, schema, output massimo, prezzi in USD per milione e versione dei prezzi. Date UTC con validità massima sette giorni. Ogni revisione usa nuovi id e pricing_version; i profili importati sono immutabili e non vengono riabilitati automaticamente.</w:t>
      </w:r>
    </w:p>
    <w:p>
      <w:r>
        <w:t>Con AI_PROVIDER_MODE ancora mock, configurare chiave e i quattro budget server positivi. Eseguire pnpm ai:accept con --operator-env, --manifest, un nuovo --receipt e --allow-paid-probe. Il comando può generare addebiti: controlla i massimi prima della rete, legge il catalogo e invia tre prove sintetiche per modello senza ritentare. Non utilizza messaggi personali. I probe sono fuori dal registro job: per ripetizioni e spesa complessiva mantenere il limite dell’account OpenRouter. Un fallimento non crea una nuova ricevuta e non modifica agenti.</w:t>
      </w:r>
    </w:p>
    <w:p>
      <w:r>
        <w:t>La ricevuta verifica WAIT con assenza di contesto di mercato, schema, provenienza, token e costo. È legata ad ambiente, manifest, impronta della chiave e scadenza, senza includere la chiave. Importarla con pnpm ai:import --operator-env, --receipt e --admin-email di un amministratore attivo. L’import riceve solo la credenziale di migrazione, scrive modelli e audit, e non attiva agenti. Proteggere la ricevuta con ACL: un amministratore del server resta nel perimetro di fiducia.</w:t>
      </w:r>
    </w:p>
    <w:p>
      <w:r>
        <w:t>Solo dopo l’esito positivo configurare AI_PROVIDER_MODE=openrouter e OPENROUTER_ACCEPTANCE_PATH, quindi riavviare il worker. Per Windows usare un percorso assoluto del relativo ambiente; nel contenitore usare /var/trd/acceptance/nome-ricevuta.json, con il file host data/ai/nome-ricevuta.json montato in sola lettura. Non riusare ricevute fra ambienti o dopo una rotazione della chiave. Il runtime ricontrolla scadenza e limiti anche per ogni richiesta.</w:t>
      </w:r>
    </w:p>
    <w:p>
      <w:r>
        <w:t>Dalla dashboard ADMIN i modelli approvati sono disponibili per Analisi di mercato, Valutazione delle decisioni e Verifica critica. Richiedono un costo massimo positivo per richiesta e una conferma; classificazione/interpretazione restano locali e la revisione delle posizioni indisponibile. Il simulatore richiede costo massimo zero. Non inviare dati autorizzati finché non sono stati verificati account, routing privacy, fatturazione reale, timeout/429/402 e qualità degli esiti su fixture approvate.</w:t>
      </w:r>
    </w:p>
    <w:p>
      <w:r>
        <w:t xml:space="preserve">Ogni tentativo prenota l’intero limite di input e l’output consentito ai prezzi approvati. Il costo contabilizzato è il maggiore fra stima e usage.cost, con costo dichiarato dal provider conservato separatamente e arrotondato verso l’alto a dieci decimali. Se consumo o costo mancano, l’importo rimane impegnato e le alternative si fermano; un costo oltre il preventivo aumenta la trattenuta. Riavvio e cambio periodo non liberano importi sconosciuti. Generation ID e provider permettono una futura riconciliazione; lo sblocco automatico non è implementato. </w:t>
      </w:r>
      <w:hyperlink r:id="rId15">
        <w:r>
          <w:rPr>
            <w:rStyle w:val="Hyperlink"/>
          </w:rPr>
          <w:t>Contabilizzazione OpenRouter</w:t>
        </w:r>
      </w:hyperlink>
      <w:r/>
    </w:p>
    <w:p>
      <w:r>
        <w:t>Le istruzioni complete e i comandi sono in docs/OPENROUTER.md. I test automatici non effettuano chiamate a pagamento. Il collaudo sintetico del protocollo non certifica una strategia finanziaria: anche PROPOSE resta consultivo, senza motore di rischio, approvazione esecutiva o ordine.</w:t>
      </w:r>
    </w:p>
    <w:p>
      <w:pPr>
        <w:pStyle w:val="Heading1"/>
      </w:pPr>
      <w:r>
        <w:t>Preparare le integrazioni delle fasi successive</w:t>
      </w:r>
    </w:p>
    <w:p>
      <w:r>
        <w:t>OpenRouter è il percorso esterno implementato in questa preparazione. Il precedente contratto OpenAI Responses resta limitato al trasporto di test: OPENAI_API_KEY non abilita chiamate dirette. ANTHROPIC_API_KEY, GOOGLE_AI_API_KEY, MOONSHOT_API_KEY e TYPESAFE_API_KEY restano riservati e facoltativi. Non trasferire queste chiavi sulla dashboard.</w:t>
      </w:r>
    </w:p>
    <w:p>
      <w:r>
        <w:t xml:space="preserve">Per gli avvisi predisporre successivamente un bot tramite BotFather e una destinazione autorizzata. ALERT_TELEGRAM_BOT_TOKEN, ALERT_TELEGRAM_CHAT_ID e ALERT_COOLDOWN_SECONDS riguardano il futuro servizio notifiche; il bot non sostituisce il collector e la fase attuale non invia messaggi. </w:t>
      </w:r>
      <w:hyperlink r:id="rId16">
        <w:r>
          <w:rPr>
            <w:rStyle w:val="Hyperlink"/>
          </w:rPr>
          <w:t>Creazione di un bot Telegram</w:t>
        </w:r>
      </w:hyperlink>
      <w:r/>
    </w:p>
    <w:p>
      <w:r>
        <w:t>Per MT5 predisporre prima un conto demo e un terminale sul server Windows. Le password del broker restano nel terminale. MT5_BRIDGE_SHARED_SECRET e MT5_COMMAND_SIGNING_KEY sono chiavi indipendenti generate dal setup, ma il protocollo di esecuzione non è ancora operativo. Preparare MT5_ALLOWED_ACCOUNT_IDS, MT5_BRIDGE_INSTANCE_ID e MT5_BRIDGE_KEY_ID con l’identità verificata del terminale; MT5_BRIDGE_URL deve essere un’origine HTTPS locale approvata. MT5_COMMAND_TTL_SECONDS, MT5_HEARTBEAT_MAX_AGE_SECONDS, MT5_MAX_CLOCK_SKEW_SECONDS e MANAGED_MAGIC_NUMBER preparano scadenza, freschezza e riconoscimento degli ordini. ENABLE_PENDING_ORDERS e ENABLE_PARTIAL_CLOSE restano false.</w:t>
      </w:r>
    </w:p>
    <w:p>
      <w:r>
        <w:t>I campi HARD_MAX_RISK_PER_TRADE, HARD_MAX_DAILY_LOSS, HARD_MAX_TOTAL_OPEN_RISK, HARD_MAX_OPEN_POSITIONS, HARD_MAX_LOTS e HARD_MAX_EFFECTIVE_LEVERAGE rappresentano l’envelope del server. HARD_REQUIRE_STOP_LOSS e HARD_REQUIRE_TAKE_PROFIT devono restare true. HARD_ALLOWED_SYMBOLS, HARD_MAX_SIGNAL_AGE_SECONDS, HARD_MAX_SPREAD_POINTS e HARD_MAX_SLIPPAGE_POINTS sono predisposti per il futuro motore e non costituiscono oggi controlli esecutivi già verificati. Le frazioni 0.01 e 0.03 rappresentano rispettivamente 1% e 3%; non introdurre numeri a virgola mobile nei contratti finanziari.</w:t>
      </w:r>
    </w:p>
    <w:p>
      <w:r>
        <w:t>La verifica remota Cloudflare è ora implementata come descritto sopra. Domini, IdP, claim MFA, service token, TLS e riavvio reale restano configurazioni e prove del team. Non considerare il solo tunnel come prova di autenticazione applicativa; un percorso remoto alternativo richiede un’implementazione e un collaudo equivalenti.</w:t>
      </w:r>
    </w:p>
    <w:p>
      <w:pPr>
        <w:pStyle w:val="Heading1"/>
      </w:pPr>
      <w:r>
        <w:t>Conservazione manutenzione e backup</w:t>
      </w:r>
    </w:p>
    <w:p>
      <w:r>
        <w:t>RAW_LOG_RETENTION_DAYS, AI_RESPONSE_RETENTION_DAYS e TELEGRAM_RETENTION_DAYS nel modello preparano valori iniziali; i periodi effettivi dei contenuti Telegram e IA vengono letti dalle impostazioni versionate nel database. pnpm retention:run esegue un lotto limitato di pulizia tramite il ruolo maintenance, inclusi i record di autenticazione scaduti. Non è ancora pianificato un esecutore periodico. La cancellazione dei log per età non è implementata; la rotazione per dimensione e numero è attiva. AUDIT_RETENTION_DAYS e TRADE_RETENTION_DAYS non attivano oggi una cancellazione degli audit o delle operazioni.</w:t>
      </w:r>
    </w:p>
    <w:p>
      <w:r>
        <w:t>Predisporre backup cifrati e un test di ripristino prima del rilascio operativo. Conservare la chiave Telegram separatamente dalla sessione cifrata e dai backup ordinari. Escludere .env, sessioni, chiavi, log e dati personali dal repository. Un ripristino non deve abilitare automaticamente il trading o introdurre una seconda istanza attiva sullo stesso account.</w:t>
      </w:r>
    </w:p>
    <w:p>
      <w:pPr>
        <w:pStyle w:val="Heading1"/>
      </w:pPr>
      <w:r>
        <w:t>Aggiornare questi documenti</w:t>
      </w:r>
    </w:p>
    <w:p>
      <w:r>
        <w:t>Le fonti mantenute sono docs/cliente/GUIDA_CLIENTE.md e docs/team/GUIDA_PREPARAZIONE.md. Ogni sviluppo che cambia comportamento, controlli, account o variabili richiede l’aggiornamento delle parti interessate, della data e della cronologia, oltre alla rigenerazione dei due file Word. Prima della consegna verificare visivamente tutte le pagine renderizzate. Le istruzioni nel file AGENTS.md della radice rendono questa attività parte del lavoro successivo sul progetto.</w:t>
      </w:r>
    </w:p>
    <w:p>
      <w:r>
        <w:t>Per rigenerare eseguire python infra/scripts/build_guides.py con un interprete che dispone di python-docx, per esempio il runtime documentale di Codex. Questa dipendenza documentale è separata da quelle dei servizi applicativi. Dopo la generazione usare il renderer della skill Documents ed esaminare ogni pagina; la sola creazione del file non conferma la qualità dell’impaginazione.</w:t>
      </w:r>
    </w:p>
    <w:p>
      <w:pPr>
        <w:pStyle w:val="Heading1"/>
      </w:pPr>
      <w:r>
        <w:t>Cronologia degli aggiornamenti</w:t>
      </w:r>
    </w:p>
    <w:p>
      <w:r>
        <w:t>9 ottobre 2026 — Prima guida pratica mantenuta nel progetto. Include ruoli e setup esistenti, gestione delle fonti dalla dashboard, accesso locale Telegram, cifratura, recupero a lotti e preparazione delle integrazioni ancora inattive.</w:t>
      </w:r>
    </w:p>
    <w:p>
      <w:r>
        <w:t>11 ottobre 2026 — Aggiunta la preparazione della fase 5 locale: migrazione, parser, istruzioni versionate, attivazioni confermate, limiti del worker, budget e recupero conservativo. Distinti il contratto OpenAI verificato offline e i gate ancora richiesti per rete, rischio e MT5.</w:t>
      </w:r>
    </w:p>
    <w:p>
      <w:r>
        <w:t>12 ottobre 2026 — Aggiunta la fase 5b prima del rischio: Vercel, JWT Access/MFA, sessioni remote legate all’identità, file privati e istanze indipendenti, servizi Windows senza dashboard e percorso Linux. Integrati OpenRouter, collaudo sintetico esplicito, ricevute con scadenza, import immutabile e costo del provider separato. Domini e account reali ancora da collaudare; fase 6 e MT5 restano futuri.</w:t>
      </w:r>
    </w:p>
    <w:p>
      <w:r>
        <w:t>12 ottobre 2026 — Implementati e verificati tema chiaro e scuro con selettore anche all’accesso e su mobile, cookie di preferenza e applicazione del tema nel rendering del server; nessuna nuova variabile o credenziale.</w:t>
      </w:r>
    </w:p>
    <w:sectPr w:rsidR="00FC693F" w:rsidRPr="0006063C" w:rsidSect="00034616">
      <w:headerReference w:type="default" r:id="rId9"/>
      <w:footerReference w:type="default" r:id="rId10"/>
      <w:pgSz w:w="11906" w:h="16838"/>
      <w:pgMar w:top="1191" w:right="1191" w:bottom="1134"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Aggiornamento 12 ottobre 2026 · 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TRD · Preparazione del team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line="259" w:lineRule="auto" w:after="120"/>
    </w:pPr>
    <w:rPr>
      <w:rFonts w:ascii="Calibri" w:hAnsi="Calibri"/>
      <w:color w:val="000000"/>
      <w:sz w:val="21"/>
      <w:lang w:val="it-IT"/>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ascii="Calibri" w:hAnsi="Calibr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Table">
    <w:name w:val="Guide Table"/>
    <w:basedOn w:val="Normal"/>
    <w:pPr>
      <w:spacing w:after="40" w:line="250" w:lineRule="auto"/>
    </w:pPr>
    <w:rPr>
      <w:sz w:val="18"/>
    </w:rPr>
  </w:style>
  <w:style w:type="paragraph" w:customStyle="1" w:styleId="GuideCode">
    <w:name w:val="Guide Code"/>
    <w:basedOn w:val="Normal"/>
    <w:pPr>
      <w:spacing w:after="6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vercel.com/docs/environment-variables" TargetMode="External"/><Relationship Id="rId12" Type="http://schemas.openxmlformats.org/officeDocument/2006/relationships/hyperlink" Target="https://core.telegram.org/api/obtaining_api_id" TargetMode="External"/><Relationship Id="rId13" Type="http://schemas.openxmlformats.org/officeDocument/2006/relationships/hyperlink" Target="https://docs.telethon.dev/en/stable/concepts/sessions.html" TargetMode="External"/><Relationship Id="rId14" Type="http://schemas.openxmlformats.org/officeDocument/2006/relationships/hyperlink" Target="https://openrouter.ai/docs/guides/routing/provider-selection" TargetMode="External"/><Relationship Id="rId15" Type="http://schemas.openxmlformats.org/officeDocument/2006/relationships/hyperlink" Target="https://openrouter.ai/docs/cookbook/administration/usage-accounting" TargetMode="External"/><Relationship Id="rId16" Type="http://schemas.openxmlformats.org/officeDocument/2006/relationships/hyperlink" Target="https://core.telegram.org/bots#how-do-i-create-a-b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TRD · Preparazione del team</dc:title>
  <dc:subject/>
  <dc:creator>TRD</dc:creator>
  <cp:keywords/>
  <dc:description>generated by python-docx</dc:description>
  <cp:lastModifiedBy/>
  <cp:revision>1</cp:revision>
  <dcterms:created xsi:type="dcterms:W3CDTF">2013-12-23T23:15:00Z</dcterms:created>
  <dcterms:modified xsi:type="dcterms:W3CDTF">2013-12-23T23:15:00Z</dcterms:modified>
  <cp:category/>
  <dc:language>it-IT</dc:language>
</cp:coreProperties>
</file>