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6"/>
          <w:szCs w:val="76"/>
        </w:rPr>
      </w:pPr>
      <w:bookmarkStart w:colFirst="0" w:colLast="0" w:name="_nj23sjpj5u97" w:id="0"/>
      <w:bookmarkEnd w:id="0"/>
      <w:r w:rsidDel="00000000" w:rsidR="00000000" w:rsidRPr="00000000">
        <w:rPr>
          <w:sz w:val="76"/>
          <w:szCs w:val="76"/>
          <w:rtl w:val="0"/>
        </w:rPr>
        <w:t xml:space="preserve">TP 1 - AID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color w:val="783f04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Florencia Altschuler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Base de datos y muestreo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utilizó la base de datos estructurada y abierta “</w:t>
      </w:r>
      <w:r w:rsidDel="00000000" w:rsidR="00000000" w:rsidRPr="00000000">
        <w:rPr>
          <w:i w:val="1"/>
          <w:rtl w:val="0"/>
        </w:rPr>
        <w:t xml:space="preserve">Conjunto de datos de calidad del vino</w:t>
      </w:r>
      <w:r w:rsidDel="00000000" w:rsidR="00000000" w:rsidRPr="00000000">
        <w:rPr>
          <w:rtl w:val="0"/>
        </w:rPr>
        <w:t xml:space="preserve">” (Cortez et al., 2009.) de 13 atributos y 6497 instancias. De todos los atributos, 11 son variables basadas en características fisicoquímicas (variables cuantitativas continuas), una es una variable cardinal que indica la calidad del vino (1 al 10) y la última es una variable cualitativa nominal que indica el tipo de vino (tinto o blanco).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tomó como supuesto la aleatoriedad e independencia de las muestras. Se realizó un muestreo balanceado estratificado según la variedad de vino.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5w9l5ze9kyi" w:id="3"/>
      <w:bookmarkEnd w:id="3"/>
      <w:r w:rsidDel="00000000" w:rsidR="00000000" w:rsidRPr="00000000">
        <w:rPr>
          <w:rtl w:val="0"/>
        </w:rPr>
        <w:t xml:space="preserve">Medidas descriptivas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todas las variables, según la variedad del vino, se obtuvieron medidas de tendencia central (media, mediana y moda), de dispersión (varianza, rango muestral, desviación estándar,  coeficiente de variación, rango intercuartílico), de posición (cuartil 1, cuartil 3) y  de la forma de la distribución (asimetría y curtosis). Para el cálculo de la moda para las 11 variables continuas se utilizó el metodo </w:t>
      </w:r>
      <w:r w:rsidDel="00000000" w:rsidR="00000000" w:rsidRPr="00000000">
        <w:rPr>
          <w:i w:val="1"/>
          <w:rtl w:val="0"/>
        </w:rPr>
        <w:t xml:space="preserve">meanshift</w:t>
      </w:r>
      <w:r w:rsidDel="00000000" w:rsidR="00000000" w:rsidRPr="00000000">
        <w:rPr>
          <w:rtl w:val="0"/>
        </w:rPr>
        <w:t xml:space="preserve">. Para el cálculo del coeficiente de asimetría se utilizó el método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(Fisher) ya que no tiene restricciones.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xj4jswwq3wy" w:id="4"/>
      <w:bookmarkEnd w:id="4"/>
      <w:r w:rsidDel="00000000" w:rsidR="00000000" w:rsidRPr="00000000">
        <w:rPr>
          <w:rtl w:val="0"/>
        </w:rPr>
        <w:t xml:space="preserve">Representación gráfica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variables continuas se graficaron con un </w:t>
      </w:r>
      <w:r w:rsidDel="00000000" w:rsidR="00000000" w:rsidRPr="00000000">
        <w:rPr>
          <w:i w:val="1"/>
          <w:rtl w:val="0"/>
        </w:rPr>
        <w:t xml:space="preserve">boxplot</w:t>
      </w:r>
      <w:r w:rsidDel="00000000" w:rsidR="00000000" w:rsidRPr="00000000">
        <w:rPr>
          <w:rtl w:val="0"/>
        </w:rPr>
        <w:t xml:space="preserve"> mientras que para la variable </w:t>
      </w:r>
      <w:r w:rsidDel="00000000" w:rsidR="00000000" w:rsidRPr="00000000">
        <w:rPr>
          <w:i w:val="1"/>
          <w:rtl w:val="0"/>
        </w:rPr>
        <w:t xml:space="preserve">Calidad</w:t>
      </w:r>
      <w:r w:rsidDel="00000000" w:rsidR="00000000" w:rsidRPr="00000000">
        <w:rPr>
          <w:rtl w:val="0"/>
        </w:rPr>
        <w:t xml:space="preserve"> se realizó un histograma. La variable variedad de vino se excluyó de la gráfica ya que en el muestreo se fijó un N=1000 para cada variedad, por lo que la representacion grafica no aportaria mayor informacion de la que ya se disponía.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realizaron dos diagramas circulares para representar las proporciones de calidad de vino para las dos variedades y un gráfico de barras adyacentes.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5"/>
      <w:bookmarkEnd w:id="5"/>
      <w:r w:rsidDel="00000000" w:rsidR="00000000" w:rsidRPr="00000000">
        <w:rPr>
          <w:rtl w:val="0"/>
        </w:rPr>
        <w:t xml:space="preserve">Tests de hipótesis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Se eligieron las variables anhidrido sulfuroso total y anhidrido sulfuroso libre con la idea de que podrían llegar a estar directamente relacionadas ya que al tratarse del mismo compuesto no sería difícil imaginarse un vino que contenga altos niveles de una pueda llegar a contener altos niveles de la otra variable.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H0</w:t>
      </w:r>
      <w:r w:rsidDel="00000000" w:rsidR="00000000" w:rsidRPr="00000000">
        <w:rPr>
          <w:i w:val="1"/>
          <w:rtl w:val="0"/>
        </w:rPr>
        <w:t xml:space="preserve">: Los niveles de anhidrido sulfuroso libre son independientes de los niveles de anhidrido sulfuroso total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H1</w:t>
      </w:r>
      <w:r w:rsidDel="00000000" w:rsidR="00000000" w:rsidRPr="00000000">
        <w:rPr>
          <w:i w:val="1"/>
          <w:rtl w:val="0"/>
        </w:rPr>
        <w:t xml:space="preserve">: Las variables están asociadas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poner a prueba tal hipótesis se definieron nuevas variables categóricas dividiendo las variables por la mediana aproximadamente. Se </w:t>
      </w:r>
      <w:r w:rsidDel="00000000" w:rsidR="00000000" w:rsidRPr="00000000">
        <w:rPr>
          <w:rtl w:val="0"/>
        </w:rPr>
        <w:t xml:space="preserve">aplicó el test Chi-cuadrado y, viendo que se cumplían los supuestos, se rechazó la H0 y se analizaron las subtablas de contingencia concluyéndose que, con un nivel de confianza del 95%, niveles bajos de anhidrido sulfuroso libre están asociados con niveles bajos de anhidrido sulfuroso total y lo mismo para niveles altos de ambas variables.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Otra pregunta que se quiso responder es si existían diferencias de pH según la variedad del vino. Para eso se estimó un intervalo confianza (α=0.05, suponiendo una distribución cercana a la normal por el teorema central del límite) de pH para tintos (3.18 - 3.20) y blancos (3.31 - 3.33). Como las dos muestras no seguían una distribución normal (aún intentando remover hasta 5 outliers de cada variedad), se optó por el test no paramétrico para dos poblaciones de Mann-Whitney-Wilcoxon a una cola, resultó en un p-valor &lt; 2.2e-16, por lo que se puede rechazar la hipótesis nula; el pH del vino tinto es menos del de vino blanco con una confianza del 95%.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Luego se deseaba saber si existen diferencias significativas en la calidad del vino tinto respecto al vino blanco. Para eso se realizó un test de homogeneidad y se plantearon las hipótesis: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H0</w:t>
      </w:r>
      <w:r w:rsidDel="00000000" w:rsidR="00000000" w:rsidRPr="00000000">
        <w:rPr>
          <w:i w:val="1"/>
          <w:rtl w:val="0"/>
        </w:rPr>
        <w:t xml:space="preserve">: la calidad es homogénea en las variedades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H1</w:t>
      </w:r>
      <w:r w:rsidDel="00000000" w:rsidR="00000000" w:rsidRPr="00000000">
        <w:rPr>
          <w:i w:val="1"/>
          <w:rtl w:val="0"/>
        </w:rPr>
        <w:t xml:space="preserve">: la calidad no es homogénea en las variedades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aplicó el test Chi-cuadrado y habiéndose cumplido los supuestos se obtuvo p &lt; 2.2e-16, realizó un test post hoc de bonferroni y se encontró que hay más probabilidad que un vino sea blanco dado que tiene un puntaje de 5 y hay mas probabilidad que un vino sea tinto dado que tiene un puntaje de 7 y 8-9 . (el puntaje 9 se agrupo con el 8 porque si no no se cumplia el supuesto que las frecuencias esperadas sean mayores a 5).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Por último quiso evaluar si existían diferencias significativas en las proporciones de alcohol entre los vinos de calidad baja (3 a 5) , media (6 a 7) y alta (8 a 9). Para ello se realizó el test no parametrico de kruscal wallis (dado que no se cumplían los supuestos de normlidad y homocedasticidad de los errores)</w:t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</w:t>
      </w:r>
      <w:r w:rsidDel="00000000" w:rsidR="00000000" w:rsidRPr="00000000">
        <w:rPr>
          <w:i w:val="1"/>
          <w:rtl w:val="0"/>
        </w:rPr>
        <w:t xml:space="preserve"> Las tres calidades de vino tienen la misma posición para la proporcion de alcohol dada por el puntaje</w:t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Ha</w:t>
      </w:r>
      <w:r w:rsidDel="00000000" w:rsidR="00000000" w:rsidRPr="00000000">
        <w:rPr>
          <w:i w:val="1"/>
          <w:rtl w:val="0"/>
        </w:rPr>
        <w:t xml:space="preserve"> al menos una calidad de vino tiene diferente posición para proporcion de alcohol dada por el puntaje.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encontraron diferencias significativas entre la proporcion de alcohol y la calidad (para las tres comparaciones) siendo los de menor calidad los vinos de menor proporción de alcohol y aquellos de mayor calidad los de mayor volúmen de alcohol.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